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0BC4C" w14:textId="1855E312" w:rsidR="00D201B0" w:rsidRPr="00D06E2E" w:rsidRDefault="00A14C30" w:rsidP="000E710E">
      <w:pPr>
        <w:rPr>
          <w:lang w:val="sr-Latn-RS"/>
        </w:rPr>
      </w:pPr>
      <w:bookmarkStart w:id="0" w:name="_Toc382672127"/>
      <w:r w:rsidRPr="00D06E2E">
        <w:rPr>
          <w:lang w:val="sr-Latn-RS"/>
        </w:rPr>
        <w:t xml:space="preserve"> </w:t>
      </w:r>
      <w:r w:rsidR="00EB5503" w:rsidRPr="00D06E2E">
        <w:rPr>
          <w:lang w:val="sr-Latn-RS"/>
        </w:rPr>
        <w:t xml:space="preserve"> </w:t>
      </w:r>
    </w:p>
    <w:p w14:paraId="56946901" w14:textId="77777777" w:rsidR="00D201B0" w:rsidRPr="00D06E2E" w:rsidRDefault="00D201B0" w:rsidP="000E710E">
      <w:pPr>
        <w:rPr>
          <w:lang w:val="sr-Latn-RS"/>
        </w:rPr>
      </w:pPr>
    </w:p>
    <w:p w14:paraId="168D2A73" w14:textId="77777777" w:rsidR="00D201B0" w:rsidRPr="00D06E2E" w:rsidRDefault="00D201B0" w:rsidP="000E710E">
      <w:pPr>
        <w:rPr>
          <w:lang w:val="sr-Latn-RS"/>
        </w:rPr>
      </w:pPr>
    </w:p>
    <w:p w14:paraId="40A24483" w14:textId="77777777" w:rsidR="00D201B0" w:rsidRPr="00D06E2E" w:rsidRDefault="00D201B0" w:rsidP="000E710E">
      <w:pPr>
        <w:rPr>
          <w:lang w:val="sr-Latn-RS"/>
        </w:rPr>
      </w:pPr>
    </w:p>
    <w:p w14:paraId="2C2B1B0D" w14:textId="77777777" w:rsidR="00D201B0" w:rsidRPr="00D06E2E" w:rsidRDefault="00D201B0" w:rsidP="000E710E">
      <w:pPr>
        <w:rPr>
          <w:lang w:val="sr-Latn-RS"/>
        </w:rPr>
      </w:pPr>
      <w:bookmarkStart w:id="1" w:name="_GoBack"/>
      <w:bookmarkEnd w:id="1"/>
    </w:p>
    <w:p w14:paraId="0CB983D0" w14:textId="77777777" w:rsidR="00D201B0" w:rsidRPr="00D06E2E" w:rsidRDefault="00D201B0" w:rsidP="000E710E">
      <w:pPr>
        <w:rPr>
          <w:lang w:val="sr-Latn-RS"/>
        </w:rPr>
      </w:pPr>
    </w:p>
    <w:p w14:paraId="44027DFB" w14:textId="77777777" w:rsidR="00D201B0" w:rsidRPr="00D06E2E" w:rsidRDefault="00D201B0" w:rsidP="000E710E">
      <w:pPr>
        <w:rPr>
          <w:lang w:val="sr-Latn-RS"/>
        </w:rPr>
      </w:pPr>
    </w:p>
    <w:p w14:paraId="2EA7E199" w14:textId="77777777" w:rsidR="00D201B0" w:rsidRPr="00D06E2E" w:rsidRDefault="00D201B0" w:rsidP="000E710E">
      <w:pPr>
        <w:rPr>
          <w:lang w:val="sr-Latn-RS"/>
        </w:rPr>
      </w:pPr>
    </w:p>
    <w:p w14:paraId="74883CF0" w14:textId="77777777" w:rsidR="007E5CDE" w:rsidRPr="00D06E2E" w:rsidRDefault="007E5CDE" w:rsidP="007E5CDE">
      <w:pPr>
        <w:jc w:val="center"/>
        <w:rPr>
          <w:b/>
          <w:noProof/>
          <w:sz w:val="36"/>
          <w:szCs w:val="36"/>
          <w:lang w:val="sr-Latn-RS"/>
        </w:rPr>
      </w:pPr>
      <w:bookmarkStart w:id="2" w:name="_Toc351375663"/>
      <w:bookmarkStart w:id="3" w:name="_Toc382672120"/>
      <w:bookmarkStart w:id="4" w:name="_Toc412986082"/>
      <w:bookmarkStart w:id="5" w:name="_Toc413341321"/>
      <w:bookmarkStart w:id="6" w:name="_Toc413419242"/>
      <w:bookmarkStart w:id="7" w:name="_Toc413423574"/>
      <w:bookmarkStart w:id="8" w:name="_Toc414094338"/>
      <w:bookmarkStart w:id="9" w:name="_Toc414098388"/>
      <w:bookmarkStart w:id="10" w:name="_Toc445123059"/>
      <w:bookmarkStart w:id="11" w:name="_Toc445123202"/>
      <w:bookmarkStart w:id="12" w:name="_Toc445125333"/>
      <w:bookmarkStart w:id="13" w:name="_Toc445474922"/>
      <w:bookmarkStart w:id="14" w:name="_Toc445476367"/>
      <w:bookmarkStart w:id="15" w:name="_Toc445639369"/>
      <w:bookmarkStart w:id="16" w:name="_Toc445721061"/>
      <w:bookmarkStart w:id="17" w:name="_Toc445738939"/>
      <w:bookmarkStart w:id="18" w:name="_Toc445791229"/>
      <w:bookmarkStart w:id="19" w:name="_Toc445803432"/>
      <w:bookmarkStart w:id="20" w:name="_Toc476406032"/>
      <w:bookmarkStart w:id="21" w:name="_Toc476663181"/>
      <w:bookmarkStart w:id="22" w:name="_Toc477267209"/>
      <w:bookmarkStart w:id="23" w:name="_Toc508634951"/>
      <w:bookmarkStart w:id="24" w:name="_Toc508708195"/>
      <w:bookmarkStart w:id="25" w:name="_Toc508805518"/>
      <w:bookmarkStart w:id="26" w:name="_Toc508882977"/>
      <w:bookmarkStart w:id="27" w:name="_Toc508883323"/>
      <w:bookmarkStart w:id="28" w:name="_Toc508972506"/>
      <w:bookmarkStart w:id="29" w:name="_Toc508973532"/>
      <w:bookmarkStart w:id="30" w:name="_Toc447634"/>
      <w:bookmarkStart w:id="31" w:name="_Toc943702"/>
      <w:bookmarkStart w:id="32" w:name="_Toc963947"/>
      <w:r w:rsidRPr="00D06E2E">
        <w:rPr>
          <w:b/>
          <w:noProof/>
          <w:sz w:val="36"/>
          <w:szCs w:val="36"/>
          <w:lang w:val="sr-Latn-RS"/>
        </w:rPr>
        <w:t xml:space="preserve">REGULAR ANNUAL REPORT </w:t>
      </w:r>
    </w:p>
    <w:p w14:paraId="2996B348" w14:textId="77777777" w:rsidR="007E5CDE" w:rsidRPr="00D06E2E" w:rsidRDefault="007E5CDE" w:rsidP="007E5CDE">
      <w:pPr>
        <w:jc w:val="center"/>
        <w:rPr>
          <w:b/>
          <w:noProof/>
          <w:sz w:val="36"/>
          <w:szCs w:val="36"/>
          <w:lang w:val="sr-Latn-RS"/>
        </w:rPr>
      </w:pPr>
      <w:r w:rsidRPr="00D06E2E">
        <w:rPr>
          <w:b/>
          <w:noProof/>
          <w:sz w:val="36"/>
          <w:szCs w:val="36"/>
          <w:lang w:val="sr-Latn-RS"/>
        </w:rPr>
        <w:t xml:space="preserve">OF THE PROTECTOR OF CITIZENS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568A0CF" w14:textId="3EE619CC" w:rsidR="007E5CDE" w:rsidRPr="00D06E2E" w:rsidRDefault="007E5CDE" w:rsidP="007E5CDE">
      <w:pPr>
        <w:jc w:val="center"/>
        <w:rPr>
          <w:noProof/>
          <w:lang w:val="sr-Latn-RS"/>
        </w:rPr>
      </w:pPr>
      <w:r w:rsidRPr="00D06E2E">
        <w:rPr>
          <w:b/>
          <w:noProof/>
          <w:sz w:val="36"/>
          <w:szCs w:val="36"/>
          <w:lang w:val="sr-Latn-RS"/>
        </w:rPr>
        <w:t>FOR 2023</w:t>
      </w:r>
    </w:p>
    <w:p w14:paraId="79867522" w14:textId="201F86EF" w:rsidR="00D201B0" w:rsidRPr="00D06E2E" w:rsidRDefault="00D201B0" w:rsidP="00751D24">
      <w:pPr>
        <w:jc w:val="center"/>
        <w:rPr>
          <w:rFonts w:cs="Times New Roman"/>
          <w:b/>
          <w:noProof/>
          <w:sz w:val="36"/>
          <w:szCs w:val="36"/>
          <w:lang w:val="sr-Latn-RS"/>
        </w:rPr>
      </w:pPr>
    </w:p>
    <w:p w14:paraId="36488F4A" w14:textId="77777777" w:rsidR="00D201B0" w:rsidRPr="00D06E2E" w:rsidRDefault="00D201B0" w:rsidP="000E710E">
      <w:pPr>
        <w:rPr>
          <w:noProof/>
          <w:lang w:val="sr-Latn-RS"/>
        </w:rPr>
      </w:pPr>
    </w:p>
    <w:p w14:paraId="18ADE021" w14:textId="77777777" w:rsidR="00D201B0" w:rsidRPr="00D06E2E" w:rsidRDefault="00D201B0" w:rsidP="000E710E">
      <w:pPr>
        <w:rPr>
          <w:noProof/>
          <w:lang w:val="sr-Latn-RS"/>
        </w:rPr>
      </w:pPr>
    </w:p>
    <w:p w14:paraId="617C0816" w14:textId="77777777" w:rsidR="00D201B0" w:rsidRPr="00D06E2E" w:rsidRDefault="00D201B0" w:rsidP="000E710E">
      <w:pPr>
        <w:rPr>
          <w:noProof/>
          <w:lang w:val="sr-Latn-RS"/>
        </w:rPr>
      </w:pPr>
    </w:p>
    <w:p w14:paraId="6E4F1360" w14:textId="77777777" w:rsidR="00D201B0" w:rsidRPr="00D06E2E" w:rsidRDefault="00D201B0" w:rsidP="000E710E">
      <w:pPr>
        <w:rPr>
          <w:noProof/>
          <w:lang w:val="sr-Latn-RS"/>
        </w:rPr>
      </w:pPr>
    </w:p>
    <w:p w14:paraId="6AA72C7A" w14:textId="77777777" w:rsidR="00751D24" w:rsidRPr="00D06E2E" w:rsidRDefault="00751D24" w:rsidP="000E710E">
      <w:pPr>
        <w:rPr>
          <w:noProof/>
          <w:lang w:val="sr-Latn-RS"/>
        </w:rPr>
      </w:pPr>
    </w:p>
    <w:p w14:paraId="2A624606" w14:textId="77777777" w:rsidR="00751D24" w:rsidRPr="00D06E2E" w:rsidRDefault="00751D24" w:rsidP="000E710E">
      <w:pPr>
        <w:rPr>
          <w:noProof/>
          <w:lang w:val="sr-Latn-RS"/>
        </w:rPr>
      </w:pPr>
    </w:p>
    <w:p w14:paraId="172517C5" w14:textId="77777777" w:rsidR="00751D24" w:rsidRPr="00D06E2E" w:rsidRDefault="00751D24" w:rsidP="000E710E">
      <w:pPr>
        <w:rPr>
          <w:noProof/>
          <w:lang w:val="sr-Latn-RS"/>
        </w:rPr>
      </w:pPr>
    </w:p>
    <w:p w14:paraId="050D8DE7" w14:textId="77777777" w:rsidR="00D201B0" w:rsidRPr="00D06E2E" w:rsidRDefault="00D201B0" w:rsidP="000E710E">
      <w:pPr>
        <w:tabs>
          <w:tab w:val="left" w:pos="7740"/>
        </w:tabs>
        <w:rPr>
          <w:noProof/>
          <w:lang w:val="sr-Latn-RS"/>
        </w:rPr>
      </w:pPr>
      <w:r w:rsidRPr="00D06E2E">
        <w:rPr>
          <w:noProof/>
          <w:lang w:val="sr-Latn-RS"/>
        </w:rPr>
        <w:tab/>
      </w:r>
    </w:p>
    <w:p w14:paraId="74098645" w14:textId="77777777" w:rsidR="00D201B0" w:rsidRPr="00D06E2E" w:rsidRDefault="00D201B0" w:rsidP="000E710E">
      <w:pPr>
        <w:rPr>
          <w:noProof/>
          <w:lang w:val="sr-Latn-RS"/>
        </w:rPr>
      </w:pPr>
    </w:p>
    <w:p w14:paraId="2C70FD7A" w14:textId="77777777" w:rsidR="00D201B0" w:rsidRPr="00D06E2E" w:rsidRDefault="00D201B0" w:rsidP="000E710E">
      <w:pPr>
        <w:rPr>
          <w:noProof/>
          <w:lang w:val="sr-Latn-RS"/>
        </w:rPr>
      </w:pPr>
      <w:bookmarkStart w:id="33" w:name="_Toc350551288"/>
      <w:bookmarkStart w:id="34" w:name="_Toc351031411"/>
      <w:bookmarkStart w:id="35" w:name="_Toc351041676"/>
      <w:bookmarkStart w:id="36" w:name="_Toc351124749"/>
    </w:p>
    <w:p w14:paraId="05B90744" w14:textId="77777777" w:rsidR="00D201B0" w:rsidRPr="00D06E2E" w:rsidRDefault="00D201B0" w:rsidP="000E710E">
      <w:pPr>
        <w:rPr>
          <w:noProof/>
          <w:lang w:val="sr-Latn-RS"/>
        </w:rPr>
      </w:pPr>
    </w:p>
    <w:p w14:paraId="2BA512C1" w14:textId="55C6453C" w:rsidR="00D201B0" w:rsidRPr="00D06E2E" w:rsidRDefault="00D201B0" w:rsidP="000E710E">
      <w:pPr>
        <w:rPr>
          <w:noProof/>
          <w:lang w:val="sr-Latn-RS"/>
        </w:rPr>
      </w:pPr>
    </w:p>
    <w:p w14:paraId="38D82AFC" w14:textId="4B3DA5E0" w:rsidR="00E41502" w:rsidRPr="00D06E2E" w:rsidRDefault="007E5CDE" w:rsidP="007E5CDE">
      <w:pPr>
        <w:jc w:val="center"/>
        <w:rPr>
          <w:noProof/>
          <w:lang w:val="sr-Latn-RS"/>
        </w:rPr>
      </w:pPr>
      <w:bookmarkStart w:id="37" w:name="_Toc351375666"/>
      <w:bookmarkEnd w:id="33"/>
      <w:bookmarkEnd w:id="34"/>
      <w:bookmarkEnd w:id="35"/>
      <w:bookmarkEnd w:id="36"/>
      <w:r w:rsidRPr="00D06E2E">
        <w:rPr>
          <w:noProof/>
          <w:lang w:val="sr-Latn-RS"/>
        </w:rPr>
        <w:t>Belgrade, 15</w:t>
      </w:r>
      <w:r w:rsidRPr="00D06E2E">
        <w:rPr>
          <w:noProof/>
          <w:vertAlign w:val="superscript"/>
          <w:lang w:val="sr-Latn-RS"/>
        </w:rPr>
        <w:t>th</w:t>
      </w:r>
      <w:r w:rsidRPr="00D06E2E">
        <w:rPr>
          <w:noProof/>
          <w:lang w:val="sr-Latn-RS"/>
        </w:rPr>
        <w:t xml:space="preserve"> March, 20</w:t>
      </w:r>
      <w:bookmarkEnd w:id="37"/>
      <w:r w:rsidRPr="00D06E2E">
        <w:rPr>
          <w:noProof/>
          <w:lang w:val="sr-Latn-RS"/>
        </w:rPr>
        <w:t>24</w:t>
      </w:r>
    </w:p>
    <w:sdt>
      <w:sdtPr>
        <w:rPr>
          <w:rFonts w:ascii="Book Antiqua" w:hAnsi="Book Antiqua" w:cs="Book Antiqua"/>
          <w:b w:val="0"/>
          <w:color w:val="auto"/>
          <w:sz w:val="22"/>
          <w:szCs w:val="22"/>
          <w:lang w:val="sr-Latn-RS"/>
        </w:rPr>
        <w:id w:val="-805540315"/>
        <w:docPartObj>
          <w:docPartGallery w:val="Table of Contents"/>
          <w:docPartUnique/>
        </w:docPartObj>
      </w:sdtPr>
      <w:sdtEndPr>
        <w:rPr>
          <w:bCs/>
          <w:noProof/>
        </w:rPr>
      </w:sdtEndPr>
      <w:sdtContent>
        <w:p w14:paraId="57F5CEE7" w14:textId="7A5A39AA" w:rsidR="00E41502" w:rsidRPr="00D06E2E" w:rsidRDefault="00E41502" w:rsidP="00C1347F">
          <w:pPr>
            <w:pStyle w:val="TOCHeading"/>
            <w:ind w:left="0" w:firstLine="0"/>
            <w:rPr>
              <w:lang w:val="sr-Latn-RS"/>
            </w:rPr>
          </w:pPr>
          <w:r w:rsidRPr="00D06E2E">
            <w:rPr>
              <w:lang w:val="sr-Latn-RS"/>
            </w:rPr>
            <w:t xml:space="preserve">                                                    </w:t>
          </w:r>
          <w:r w:rsidR="007E5CDE" w:rsidRPr="00D06E2E">
            <w:rPr>
              <w:rFonts w:ascii="Book Antiqua" w:hAnsi="Book Antiqua"/>
              <w:color w:val="auto"/>
              <w:lang w:val="sr-Latn-RS"/>
            </w:rPr>
            <w:t>TABLE OF CONTENTS</w:t>
          </w:r>
        </w:p>
        <w:p w14:paraId="59FC48CF" w14:textId="787006B0" w:rsidR="00D46F9D" w:rsidRPr="00D06E2E" w:rsidRDefault="00E41502">
          <w:pPr>
            <w:pStyle w:val="TOC1"/>
            <w:tabs>
              <w:tab w:val="left" w:pos="440"/>
              <w:tab w:val="right" w:leader="dot" w:pos="9017"/>
            </w:tabs>
            <w:rPr>
              <w:rFonts w:asciiTheme="minorHAnsi" w:eastAsiaTheme="minorEastAsia" w:hAnsiTheme="minorHAnsi" w:cstheme="minorBidi"/>
              <w:noProof/>
              <w:lang w:val="sr-Latn-RS" w:eastAsia="sr-Latn-RS"/>
            </w:rPr>
          </w:pPr>
          <w:r w:rsidRPr="00D06E2E">
            <w:rPr>
              <w:lang w:val="sr-Latn-RS"/>
            </w:rPr>
            <w:fldChar w:fldCharType="begin"/>
          </w:r>
          <w:r w:rsidRPr="00D06E2E">
            <w:rPr>
              <w:lang w:val="sr-Latn-RS"/>
            </w:rPr>
            <w:instrText xml:space="preserve"> TOC \o "1-3" \h \z \u </w:instrText>
          </w:r>
          <w:r w:rsidRPr="00D06E2E">
            <w:rPr>
              <w:lang w:val="sr-Latn-RS"/>
            </w:rPr>
            <w:fldChar w:fldCharType="separate"/>
          </w:r>
          <w:hyperlink w:anchor="_Toc161659191" w:history="1">
            <w:r w:rsidR="00D46F9D" w:rsidRPr="00D06E2E">
              <w:rPr>
                <w:rStyle w:val="Hyperlink"/>
                <w:noProof/>
                <w:lang w:val="sr-Latn-RS"/>
              </w:rPr>
              <w:t>1.</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INTRODUCTION</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_Toc161659191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w:t>
            </w:r>
            <w:r w:rsidR="00D46F9D" w:rsidRPr="00D06E2E">
              <w:rPr>
                <w:noProof/>
                <w:webHidden/>
                <w:lang w:val="sr-Latn-RS"/>
              </w:rPr>
              <w:fldChar w:fldCharType="end"/>
            </w:r>
          </w:hyperlink>
        </w:p>
        <w:p w14:paraId="3E82235D" w14:textId="77124B70"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192" w:history="1">
            <w:r w:rsidR="00D46F9D" w:rsidRPr="00D06E2E">
              <w:rPr>
                <w:rStyle w:val="Hyperlink"/>
                <w:noProof/>
                <w:lang w:val="sr-Latn-RS"/>
              </w:rPr>
              <w:t>1.1.</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FOREWORD</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_Toc161659192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w:t>
            </w:r>
            <w:r w:rsidR="00D46F9D" w:rsidRPr="00D06E2E">
              <w:rPr>
                <w:noProof/>
                <w:webHidden/>
                <w:lang w:val="sr-Latn-RS"/>
              </w:rPr>
              <w:fldChar w:fldCharType="end"/>
            </w:r>
          </w:hyperlink>
        </w:p>
        <w:p w14:paraId="21936B6C" w14:textId="4485F0E4" w:rsidR="00D46F9D" w:rsidRPr="00D06E2E" w:rsidRDefault="002714BB">
          <w:pPr>
            <w:pStyle w:val="TOC1"/>
            <w:tabs>
              <w:tab w:val="left" w:pos="440"/>
              <w:tab w:val="right" w:leader="dot" w:pos="9017"/>
            </w:tabs>
            <w:rPr>
              <w:rFonts w:asciiTheme="minorHAnsi" w:eastAsiaTheme="minorEastAsia" w:hAnsiTheme="minorHAnsi" w:cstheme="minorBidi"/>
              <w:noProof/>
              <w:lang w:val="sr-Latn-RS" w:eastAsia="sr-Latn-RS"/>
            </w:rPr>
          </w:pPr>
          <w:hyperlink w:anchor="_Toc161659193" w:history="1">
            <w:r w:rsidR="00D46F9D" w:rsidRPr="00D06E2E">
              <w:rPr>
                <w:rStyle w:val="Hyperlink"/>
                <w:noProof/>
                <w:lang w:val="sr-Latn-RS"/>
              </w:rPr>
              <w:t>2.</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GENERAL ASSESSMENT OF THE OBSERVANCE OF CITIZENS’ RIGHTS IN 2023</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_Toc161659193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3</w:t>
            </w:r>
            <w:r w:rsidR="00D46F9D" w:rsidRPr="00D06E2E">
              <w:rPr>
                <w:noProof/>
                <w:webHidden/>
                <w:lang w:val="sr-Latn-RS"/>
              </w:rPr>
              <w:fldChar w:fldCharType="end"/>
            </w:r>
          </w:hyperlink>
        </w:p>
        <w:p w14:paraId="2F8CD066" w14:textId="7B3D9884" w:rsidR="00D46F9D" w:rsidRPr="00D06E2E" w:rsidRDefault="002714BB">
          <w:pPr>
            <w:pStyle w:val="TOC1"/>
            <w:tabs>
              <w:tab w:val="left" w:pos="440"/>
              <w:tab w:val="right" w:leader="dot" w:pos="9017"/>
            </w:tabs>
            <w:rPr>
              <w:rFonts w:asciiTheme="minorHAnsi" w:eastAsiaTheme="minorEastAsia" w:hAnsiTheme="minorHAnsi" w:cstheme="minorBidi"/>
              <w:noProof/>
              <w:lang w:val="sr-Latn-RS" w:eastAsia="sr-Latn-RS"/>
            </w:rPr>
          </w:pPr>
          <w:hyperlink w:anchor="_Toc161659194" w:history="1">
            <w:r w:rsidR="00D46F9D" w:rsidRPr="00D06E2E">
              <w:rPr>
                <w:rStyle w:val="Hyperlink"/>
                <w:noProof/>
                <w:lang w:val="sr-Latn-RS"/>
              </w:rPr>
              <w:t>3.</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BASIC STATISTICAL REVIEW</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_Toc161659194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16</w:t>
            </w:r>
            <w:r w:rsidR="00D46F9D" w:rsidRPr="00D06E2E">
              <w:rPr>
                <w:noProof/>
                <w:webHidden/>
                <w:lang w:val="sr-Latn-RS"/>
              </w:rPr>
              <w:fldChar w:fldCharType="end"/>
            </w:r>
          </w:hyperlink>
        </w:p>
        <w:p w14:paraId="48239B71" w14:textId="11102889"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195" w:history="1">
            <w:r w:rsidR="00D46F9D" w:rsidRPr="00D06E2E">
              <w:rPr>
                <w:rStyle w:val="Hyperlink"/>
                <w:noProof/>
                <w:lang w:val="sr-Latn-RS"/>
              </w:rPr>
              <w:t>3.1.</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TOTAL NUMBER AND CLASSIFICATION OF COMPLAINTS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_Toc161659195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16</w:t>
            </w:r>
            <w:r w:rsidR="00D46F9D" w:rsidRPr="00D06E2E">
              <w:rPr>
                <w:noProof/>
                <w:webHidden/>
                <w:lang w:val="sr-Latn-RS"/>
              </w:rPr>
              <w:fldChar w:fldCharType="end"/>
            </w:r>
          </w:hyperlink>
        </w:p>
        <w:p w14:paraId="190F1558" w14:textId="07F928CB"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196" w:history="1">
            <w:r w:rsidR="00D46F9D" w:rsidRPr="00D06E2E">
              <w:rPr>
                <w:rStyle w:val="Hyperlink"/>
                <w:noProof/>
                <w:lang w:val="sr-Latn-RS"/>
              </w:rPr>
              <w:t>3.2.</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RECOMMENDATIONS</w:t>
            </w:r>
            <w:r w:rsidR="00D46F9D" w:rsidRPr="00D06E2E">
              <w:rPr>
                <w:rStyle w:val="Hyperlink"/>
                <w:noProof/>
                <w:lang w:val="sr-Latn-RS"/>
              </w:rPr>
              <w:t xml:space="preserve">, </w:t>
            </w:r>
            <w:r w:rsidR="007E5CDE" w:rsidRPr="00D06E2E">
              <w:rPr>
                <w:rStyle w:val="Hyperlink"/>
                <w:noProof/>
                <w:lang w:val="sr-Latn-RS"/>
              </w:rPr>
              <w:t>OPINIONS AND LEGISLATIVE INITIATIVES OF THE PROTECTOR OF CITIZENS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_Toc161659196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20</w:t>
            </w:r>
            <w:r w:rsidR="00D46F9D" w:rsidRPr="00D06E2E">
              <w:rPr>
                <w:noProof/>
                <w:webHidden/>
                <w:lang w:val="sr-Latn-RS"/>
              </w:rPr>
              <w:fldChar w:fldCharType="end"/>
            </w:r>
          </w:hyperlink>
        </w:p>
        <w:p w14:paraId="72B29BE5" w14:textId="27BD319B" w:rsidR="00D46F9D" w:rsidRPr="00D06E2E" w:rsidRDefault="002714BB">
          <w:pPr>
            <w:pStyle w:val="TOC1"/>
            <w:tabs>
              <w:tab w:val="left" w:pos="440"/>
              <w:tab w:val="right" w:leader="dot" w:pos="9017"/>
            </w:tabs>
            <w:rPr>
              <w:rFonts w:asciiTheme="minorHAnsi" w:eastAsiaTheme="minorEastAsia" w:hAnsiTheme="minorHAnsi" w:cstheme="minorBidi"/>
              <w:noProof/>
              <w:lang w:val="sr-Latn-RS" w:eastAsia="sr-Latn-RS"/>
            </w:rPr>
          </w:pPr>
          <w:hyperlink w:anchor="_Toc161659197" w:history="1">
            <w:r w:rsidR="00D46F9D" w:rsidRPr="00D06E2E">
              <w:rPr>
                <w:rStyle w:val="Hyperlink"/>
                <w:noProof/>
                <w:lang w:val="sr-Latn-RS"/>
              </w:rPr>
              <w:t>4.</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EXERCISE OF THE RIGHTS OF PARTICULARLY VULNERABLE GROUPS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_Toc161659197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26</w:t>
            </w:r>
            <w:r w:rsidR="00D46F9D" w:rsidRPr="00D06E2E">
              <w:rPr>
                <w:noProof/>
                <w:webHidden/>
                <w:lang w:val="sr-Latn-RS"/>
              </w:rPr>
              <w:fldChar w:fldCharType="end"/>
            </w:r>
          </w:hyperlink>
        </w:p>
        <w:p w14:paraId="4913929B" w14:textId="667E939F"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198" w:history="1">
            <w:r w:rsidR="00D46F9D" w:rsidRPr="00D06E2E">
              <w:rPr>
                <w:rStyle w:val="Hyperlink"/>
                <w:noProof/>
                <w:lang w:val="sr-Latn-RS"/>
              </w:rPr>
              <w:t>4.1.</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CHILD RIGHTS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_Toc161659198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26</w:t>
            </w:r>
            <w:r w:rsidR="00D46F9D" w:rsidRPr="00D06E2E">
              <w:rPr>
                <w:noProof/>
                <w:webHidden/>
                <w:lang w:val="sr-Latn-RS"/>
              </w:rPr>
              <w:fldChar w:fldCharType="end"/>
            </w:r>
          </w:hyperlink>
        </w:p>
        <w:p w14:paraId="0EEC2C3D" w14:textId="208433CC"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199" w:history="1">
            <w:r w:rsidR="00D46F9D" w:rsidRPr="00D06E2E">
              <w:rPr>
                <w:rStyle w:val="Hyperlink"/>
                <w:noProof/>
                <w:lang w:val="sr-Latn-RS"/>
              </w:rPr>
              <w:t>4.2.</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GENDER EQUALITY AND RIGHTS OF LGBTI PERSONS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_Toc161659199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39</w:t>
            </w:r>
            <w:r w:rsidR="00D46F9D" w:rsidRPr="00D06E2E">
              <w:rPr>
                <w:noProof/>
                <w:webHidden/>
                <w:lang w:val="sr-Latn-RS"/>
              </w:rPr>
              <w:fldChar w:fldCharType="end"/>
            </w:r>
          </w:hyperlink>
        </w:p>
        <w:p w14:paraId="1569D12B" w14:textId="28C75A5D"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200" w:history="1">
            <w:r w:rsidR="00D46F9D" w:rsidRPr="00D06E2E">
              <w:rPr>
                <w:rStyle w:val="Hyperlink"/>
                <w:noProof/>
                <w:lang w:val="sr-Latn-RS"/>
              </w:rPr>
              <w:t>4.3.</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RIG</w:t>
            </w:r>
            <w:r w:rsidR="00477BC8" w:rsidRPr="00D06E2E">
              <w:rPr>
                <w:rStyle w:val="Hyperlink"/>
                <w:noProof/>
                <w:lang w:val="sr-Latn-RS"/>
              </w:rPr>
              <w:t>HTS OF PERSONS WITH DISABILITIES</w:t>
            </w:r>
            <w:r w:rsidR="007E5CDE" w:rsidRPr="00D06E2E">
              <w:rPr>
                <w:rStyle w:val="Hyperlink"/>
                <w:noProof/>
                <w:lang w:val="sr-Latn-RS"/>
              </w:rPr>
              <w:t xml:space="preserve"> AND RIGHTS OF THE ELDERLY</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_Toc161659200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47</w:t>
            </w:r>
            <w:r w:rsidR="00D46F9D" w:rsidRPr="00D06E2E">
              <w:rPr>
                <w:noProof/>
                <w:webHidden/>
                <w:lang w:val="sr-Latn-RS"/>
              </w:rPr>
              <w:fldChar w:fldCharType="end"/>
            </w:r>
          </w:hyperlink>
        </w:p>
        <w:p w14:paraId="178A0A28" w14:textId="25CD7190" w:rsidR="00D46F9D" w:rsidRPr="00D06E2E" w:rsidRDefault="002714BB">
          <w:pPr>
            <w:pStyle w:val="TOC3"/>
            <w:tabs>
              <w:tab w:val="left" w:pos="1320"/>
              <w:tab w:val="right" w:leader="dot" w:pos="9017"/>
            </w:tabs>
            <w:rPr>
              <w:rFonts w:asciiTheme="minorHAnsi" w:eastAsiaTheme="minorEastAsia" w:hAnsiTheme="minorHAnsi" w:cstheme="minorBidi"/>
              <w:noProof/>
              <w:lang w:val="sr-Latn-RS" w:eastAsia="sr-Latn-RS"/>
            </w:rPr>
          </w:pPr>
          <w:hyperlink w:anchor="_Toc161659201" w:history="1">
            <w:r w:rsidR="00D46F9D" w:rsidRPr="00D06E2E">
              <w:rPr>
                <w:rStyle w:val="Hyperlink"/>
                <w:noProof/>
                <w:lang w:val="sr-Latn-RS"/>
              </w:rPr>
              <w:t>4.3.1.</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INDEPENDENT MECHANISM FOR MONITORING IMPLEMENTATION OF THE UNITED NATIONS CONVENTION ON RIG</w:t>
            </w:r>
            <w:r w:rsidR="00C82594" w:rsidRPr="00D06E2E">
              <w:rPr>
                <w:rStyle w:val="Hyperlink"/>
                <w:noProof/>
                <w:lang w:val="sr-Latn-RS"/>
              </w:rPr>
              <w:t>HTS OF PERSONS WITH DISABILI</w:t>
            </w:r>
            <w:r w:rsidR="00477BC8" w:rsidRPr="00D06E2E">
              <w:rPr>
                <w:rStyle w:val="Hyperlink"/>
                <w:noProof/>
                <w:lang w:val="sr-Latn-RS"/>
              </w:rPr>
              <w:t>TIES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_Toc161659201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54</w:t>
            </w:r>
            <w:r w:rsidR="00D46F9D" w:rsidRPr="00D06E2E">
              <w:rPr>
                <w:noProof/>
                <w:webHidden/>
                <w:lang w:val="sr-Latn-RS"/>
              </w:rPr>
              <w:fldChar w:fldCharType="end"/>
            </w:r>
          </w:hyperlink>
        </w:p>
        <w:p w14:paraId="25B46877" w14:textId="50B55EF1"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202" w:history="1">
            <w:r w:rsidR="00D46F9D" w:rsidRPr="00D06E2E">
              <w:rPr>
                <w:rStyle w:val="Hyperlink"/>
                <w:noProof/>
                <w:lang w:val="sr-Latn-RS"/>
              </w:rPr>
              <w:t>4.4.</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NATIONAL MINORITY RIGHTS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_Toc161659202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58</w:t>
            </w:r>
            <w:r w:rsidR="00D46F9D" w:rsidRPr="00D06E2E">
              <w:rPr>
                <w:noProof/>
                <w:webHidden/>
                <w:lang w:val="sr-Latn-RS"/>
              </w:rPr>
              <w:fldChar w:fldCharType="end"/>
            </w:r>
          </w:hyperlink>
        </w:p>
        <w:p w14:paraId="15185F18" w14:textId="54ED14CE"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203" w:history="1">
            <w:r w:rsidR="00D46F9D" w:rsidRPr="00D06E2E">
              <w:rPr>
                <w:rStyle w:val="Hyperlink"/>
                <w:noProof/>
                <w:lang w:val="sr-Latn-RS"/>
              </w:rPr>
              <w:t>4.5.</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RIGHTS OF PERSONS DEPRIVED OF LIBERTY</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_Toc161659203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64</w:t>
            </w:r>
            <w:r w:rsidR="00D46F9D" w:rsidRPr="00D06E2E">
              <w:rPr>
                <w:noProof/>
                <w:webHidden/>
                <w:lang w:val="sr-Latn-RS"/>
              </w:rPr>
              <w:fldChar w:fldCharType="end"/>
            </w:r>
          </w:hyperlink>
        </w:p>
        <w:p w14:paraId="6304E898" w14:textId="1AE6F0BD" w:rsidR="00D46F9D" w:rsidRPr="00D06E2E" w:rsidRDefault="002714BB">
          <w:pPr>
            <w:pStyle w:val="TOC3"/>
            <w:tabs>
              <w:tab w:val="left" w:pos="1320"/>
              <w:tab w:val="right" w:leader="dot" w:pos="9017"/>
            </w:tabs>
            <w:rPr>
              <w:rFonts w:asciiTheme="minorHAnsi" w:eastAsiaTheme="minorEastAsia" w:hAnsiTheme="minorHAnsi" w:cstheme="minorBidi"/>
              <w:noProof/>
              <w:lang w:val="sr-Latn-RS" w:eastAsia="sr-Latn-RS"/>
            </w:rPr>
          </w:pPr>
          <w:hyperlink w:anchor="_Toc161659204" w:history="1">
            <w:r w:rsidR="00D46F9D" w:rsidRPr="00D06E2E">
              <w:rPr>
                <w:rStyle w:val="Hyperlink"/>
                <w:noProof/>
                <w:lang w:val="sr-Latn-RS"/>
              </w:rPr>
              <w:t>4.5.1.</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NATIONAL PREVENTIVE MECHANISM</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_Toc161659204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71</w:t>
            </w:r>
            <w:r w:rsidR="00D46F9D" w:rsidRPr="00D06E2E">
              <w:rPr>
                <w:noProof/>
                <w:webHidden/>
                <w:lang w:val="sr-Latn-RS"/>
              </w:rPr>
              <w:fldChar w:fldCharType="end"/>
            </w:r>
          </w:hyperlink>
        </w:p>
        <w:p w14:paraId="4E5BF6FE" w14:textId="2C910B5C"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205" w:history="1">
            <w:r w:rsidR="00D46F9D" w:rsidRPr="00D06E2E">
              <w:rPr>
                <w:rStyle w:val="Hyperlink"/>
                <w:noProof/>
                <w:lang w:val="sr-Latn-RS"/>
              </w:rPr>
              <w:t>4.6.</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NATIONAL RAPPORTEUR ON HUMAN TRAFFICKING</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_Toc161659205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79</w:t>
            </w:r>
            <w:r w:rsidR="00D46F9D" w:rsidRPr="00D06E2E">
              <w:rPr>
                <w:noProof/>
                <w:webHidden/>
                <w:lang w:val="sr-Latn-RS"/>
              </w:rPr>
              <w:fldChar w:fldCharType="end"/>
            </w:r>
          </w:hyperlink>
        </w:p>
        <w:p w14:paraId="391F5E11" w14:textId="58FA818D" w:rsidR="00D46F9D" w:rsidRPr="00D06E2E" w:rsidRDefault="002714BB">
          <w:pPr>
            <w:pStyle w:val="TOC1"/>
            <w:tabs>
              <w:tab w:val="left" w:pos="440"/>
              <w:tab w:val="right" w:leader="dot" w:pos="9017"/>
            </w:tabs>
            <w:rPr>
              <w:rFonts w:asciiTheme="minorHAnsi" w:eastAsiaTheme="minorEastAsia" w:hAnsiTheme="minorHAnsi" w:cstheme="minorBidi"/>
              <w:noProof/>
              <w:lang w:val="sr-Latn-RS" w:eastAsia="sr-Latn-RS"/>
            </w:rPr>
          </w:pPr>
          <w:hyperlink w:anchor="_Toc161659206" w:history="1">
            <w:r w:rsidR="00D46F9D" w:rsidRPr="00D06E2E">
              <w:rPr>
                <w:rStyle w:val="Hyperlink"/>
                <w:noProof/>
                <w:lang w:val="sr-Latn-RS"/>
              </w:rPr>
              <w:t>5.</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OTHER ACTIVITIES IN AREAS OF WORK OF THE PROTECTOR OF CITIZENS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_Toc161659206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86</w:t>
            </w:r>
            <w:r w:rsidR="00D46F9D" w:rsidRPr="00D06E2E">
              <w:rPr>
                <w:noProof/>
                <w:webHidden/>
                <w:lang w:val="sr-Latn-RS"/>
              </w:rPr>
              <w:fldChar w:fldCharType="end"/>
            </w:r>
          </w:hyperlink>
        </w:p>
        <w:p w14:paraId="03688C52" w14:textId="431DEE75"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207" w:history="1">
            <w:r w:rsidR="00D46F9D" w:rsidRPr="00D06E2E">
              <w:rPr>
                <w:rStyle w:val="Hyperlink"/>
                <w:noProof/>
                <w:lang w:val="sr-Latn-RS"/>
              </w:rPr>
              <w:t>5.1.</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AREA OF CIVIL AND POLITICAL RIGHTS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_Toc161659207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86</w:t>
            </w:r>
            <w:r w:rsidR="00D46F9D" w:rsidRPr="00D06E2E">
              <w:rPr>
                <w:noProof/>
                <w:webHidden/>
                <w:lang w:val="sr-Latn-RS"/>
              </w:rPr>
              <w:fldChar w:fldCharType="end"/>
            </w:r>
          </w:hyperlink>
        </w:p>
        <w:p w14:paraId="5CDBC69B" w14:textId="42A857A2"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208" w:history="1">
            <w:r w:rsidR="00D46F9D" w:rsidRPr="00D06E2E">
              <w:rPr>
                <w:rStyle w:val="Hyperlink"/>
                <w:noProof/>
                <w:lang w:val="sr-Latn-RS"/>
              </w:rPr>
              <w:t>5.2.</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AREA OF ECONOMIC AND PROPERTY RIGHTS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_Toc161659208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96</w:t>
            </w:r>
            <w:r w:rsidR="00D46F9D" w:rsidRPr="00D06E2E">
              <w:rPr>
                <w:noProof/>
                <w:webHidden/>
                <w:lang w:val="sr-Latn-RS"/>
              </w:rPr>
              <w:fldChar w:fldCharType="end"/>
            </w:r>
          </w:hyperlink>
        </w:p>
        <w:p w14:paraId="765F1793" w14:textId="6FF3EBE3"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209" w:history="1">
            <w:r w:rsidR="00D46F9D" w:rsidRPr="00D06E2E">
              <w:rPr>
                <w:rStyle w:val="Hyperlink"/>
                <w:noProof/>
                <w:lang w:val="sr-Latn-RS"/>
              </w:rPr>
              <w:t>5.3.</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AREA OF SOCIAL AND CULTURAL RIGHTS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_Toc161659209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106</w:t>
            </w:r>
            <w:r w:rsidR="00D46F9D" w:rsidRPr="00D06E2E">
              <w:rPr>
                <w:noProof/>
                <w:webHidden/>
                <w:lang w:val="sr-Latn-RS"/>
              </w:rPr>
              <w:fldChar w:fldCharType="end"/>
            </w:r>
          </w:hyperlink>
        </w:p>
        <w:p w14:paraId="3918587D" w14:textId="31B0B2D8" w:rsidR="00D46F9D" w:rsidRPr="00D06E2E" w:rsidRDefault="002714BB">
          <w:pPr>
            <w:pStyle w:val="TOC1"/>
            <w:tabs>
              <w:tab w:val="left" w:pos="440"/>
              <w:tab w:val="right" w:leader="dot" w:pos="9017"/>
            </w:tabs>
            <w:rPr>
              <w:rFonts w:asciiTheme="minorHAnsi" w:eastAsiaTheme="minorEastAsia" w:hAnsiTheme="minorHAnsi" w:cstheme="minorBidi"/>
              <w:noProof/>
              <w:lang w:val="sr-Latn-RS" w:eastAsia="sr-Latn-RS"/>
            </w:rPr>
          </w:pPr>
          <w:hyperlink w:anchor="_Toc161659210" w:history="1">
            <w:r w:rsidR="00D46F9D" w:rsidRPr="00D06E2E">
              <w:rPr>
                <w:rStyle w:val="Hyperlink"/>
                <w:noProof/>
                <w:lang w:val="sr-Latn-RS"/>
              </w:rPr>
              <w:t>6.</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SECTOR FOR RECEPTION OF CITIZENS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_Toc161659210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113</w:t>
            </w:r>
            <w:r w:rsidR="00D46F9D" w:rsidRPr="00D06E2E">
              <w:rPr>
                <w:noProof/>
                <w:webHidden/>
                <w:lang w:val="sr-Latn-RS"/>
              </w:rPr>
              <w:fldChar w:fldCharType="end"/>
            </w:r>
          </w:hyperlink>
        </w:p>
        <w:p w14:paraId="76079770" w14:textId="7C6CCC89" w:rsidR="00D46F9D" w:rsidRPr="00D06E2E" w:rsidRDefault="002714BB">
          <w:pPr>
            <w:pStyle w:val="TOC1"/>
            <w:tabs>
              <w:tab w:val="left" w:pos="440"/>
              <w:tab w:val="right" w:leader="dot" w:pos="9017"/>
            </w:tabs>
            <w:rPr>
              <w:rFonts w:asciiTheme="minorHAnsi" w:eastAsiaTheme="minorEastAsia" w:hAnsiTheme="minorHAnsi" w:cstheme="minorBidi"/>
              <w:noProof/>
              <w:lang w:val="sr-Latn-RS" w:eastAsia="sr-Latn-RS"/>
            </w:rPr>
          </w:pPr>
          <w:hyperlink w:anchor="_Toc161659211" w:history="1">
            <w:r w:rsidR="00D46F9D" w:rsidRPr="00D06E2E">
              <w:rPr>
                <w:rStyle w:val="Hyperlink"/>
                <w:noProof/>
                <w:lang w:val="sr-Latn-RS"/>
              </w:rPr>
              <w:t>7.</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EMERGENCY RESPONSE DEPARTMENT</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_Toc161659211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117</w:t>
            </w:r>
            <w:r w:rsidR="00D46F9D" w:rsidRPr="00D06E2E">
              <w:rPr>
                <w:noProof/>
                <w:webHidden/>
                <w:lang w:val="sr-Latn-RS"/>
              </w:rPr>
              <w:fldChar w:fldCharType="end"/>
            </w:r>
          </w:hyperlink>
        </w:p>
        <w:p w14:paraId="1C499056" w14:textId="1760F06D" w:rsidR="00D46F9D" w:rsidRPr="00D06E2E" w:rsidRDefault="002714BB">
          <w:pPr>
            <w:pStyle w:val="TOC1"/>
            <w:tabs>
              <w:tab w:val="left" w:pos="440"/>
              <w:tab w:val="right" w:leader="dot" w:pos="9017"/>
            </w:tabs>
            <w:rPr>
              <w:rFonts w:asciiTheme="minorHAnsi" w:eastAsiaTheme="minorEastAsia" w:hAnsiTheme="minorHAnsi" w:cstheme="minorBidi"/>
              <w:noProof/>
              <w:lang w:val="sr-Latn-RS" w:eastAsia="sr-Latn-RS"/>
            </w:rPr>
          </w:pPr>
          <w:hyperlink w:anchor="_Toc161659212" w:history="1">
            <w:r w:rsidR="00D46F9D" w:rsidRPr="00D06E2E">
              <w:rPr>
                <w:rStyle w:val="Hyperlink"/>
                <w:noProof/>
                <w:lang w:val="sr-Latn-RS"/>
              </w:rPr>
              <w:t>8.</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COOPERATION BY THE PROTECTOR OF CITIZENS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_Toc161659212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124</w:t>
            </w:r>
            <w:r w:rsidR="00D46F9D" w:rsidRPr="00D06E2E">
              <w:rPr>
                <w:noProof/>
                <w:webHidden/>
                <w:lang w:val="sr-Latn-RS"/>
              </w:rPr>
              <w:fldChar w:fldCharType="end"/>
            </w:r>
          </w:hyperlink>
        </w:p>
        <w:p w14:paraId="4D32F567" w14:textId="19AAD164"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213" w:history="1">
            <w:r w:rsidR="00D46F9D" w:rsidRPr="00D06E2E">
              <w:rPr>
                <w:rStyle w:val="Hyperlink"/>
                <w:noProof/>
                <w:lang w:val="sr-Latn-RS"/>
              </w:rPr>
              <w:t>8.1.</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COOPERATION WITH PUBLIC AUTHORITIES EXCLUDED FROM THE OVERSIGHTS BY THE PROTECTOR OF CITIZENS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_Toc161659213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124</w:t>
            </w:r>
            <w:r w:rsidR="00D46F9D" w:rsidRPr="00D06E2E">
              <w:rPr>
                <w:noProof/>
                <w:webHidden/>
                <w:lang w:val="sr-Latn-RS"/>
              </w:rPr>
              <w:fldChar w:fldCharType="end"/>
            </w:r>
          </w:hyperlink>
        </w:p>
        <w:p w14:paraId="36FD592B" w14:textId="3CC31336"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214" w:history="1">
            <w:r w:rsidR="00D46F9D" w:rsidRPr="00D06E2E">
              <w:rPr>
                <w:rStyle w:val="Hyperlink"/>
                <w:noProof/>
                <w:lang w:val="sr-Latn-RS"/>
              </w:rPr>
              <w:t>8.2.</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INTERNATIONAL COOPERATION AND PROJECTS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_Toc161659214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124</w:t>
            </w:r>
            <w:r w:rsidR="00D46F9D" w:rsidRPr="00D06E2E">
              <w:rPr>
                <w:noProof/>
                <w:webHidden/>
                <w:lang w:val="sr-Latn-RS"/>
              </w:rPr>
              <w:fldChar w:fldCharType="end"/>
            </w:r>
          </w:hyperlink>
        </w:p>
        <w:p w14:paraId="30529DEA" w14:textId="006E1207" w:rsidR="00D46F9D" w:rsidRPr="00D06E2E" w:rsidRDefault="002714BB">
          <w:pPr>
            <w:pStyle w:val="TOC2"/>
            <w:tabs>
              <w:tab w:val="left" w:pos="880"/>
              <w:tab w:val="right" w:leader="dot" w:pos="9017"/>
            </w:tabs>
            <w:rPr>
              <w:rFonts w:asciiTheme="minorHAnsi" w:eastAsiaTheme="minorEastAsia" w:hAnsiTheme="minorHAnsi" w:cstheme="minorBidi"/>
              <w:noProof/>
              <w:lang w:val="sr-Latn-RS" w:eastAsia="sr-Latn-RS"/>
            </w:rPr>
          </w:pPr>
          <w:hyperlink w:anchor="_Toc161659215" w:history="1">
            <w:r w:rsidR="00D46F9D" w:rsidRPr="00D06E2E">
              <w:rPr>
                <w:rStyle w:val="Hyperlink"/>
                <w:noProof/>
                <w:lang w:val="sr-Latn-RS"/>
              </w:rPr>
              <w:t>8.3.</w:t>
            </w:r>
            <w:r w:rsidR="00D46F9D" w:rsidRPr="00D06E2E">
              <w:rPr>
                <w:rFonts w:asciiTheme="minorHAnsi" w:eastAsiaTheme="minorEastAsia" w:hAnsiTheme="minorHAnsi" w:cstheme="minorBidi"/>
                <w:noProof/>
                <w:lang w:val="sr-Latn-RS" w:eastAsia="sr-Latn-RS"/>
              </w:rPr>
              <w:tab/>
            </w:r>
            <w:r w:rsidR="007E5CDE" w:rsidRPr="00D06E2E">
              <w:rPr>
                <w:rStyle w:val="Hyperlink"/>
                <w:noProof/>
                <w:lang w:val="sr-Latn-RS"/>
              </w:rPr>
              <w:t>PROTECTOR OF CITIZENS IN THE MEDIA</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_Toc161659215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128</w:t>
            </w:r>
            <w:r w:rsidR="00D46F9D" w:rsidRPr="00D06E2E">
              <w:rPr>
                <w:noProof/>
                <w:webHidden/>
                <w:lang w:val="sr-Latn-RS"/>
              </w:rPr>
              <w:fldChar w:fldCharType="end"/>
            </w:r>
          </w:hyperlink>
        </w:p>
        <w:p w14:paraId="6C80E4EF" w14:textId="3478307A" w:rsidR="00D46F9D" w:rsidRPr="00D06E2E" w:rsidRDefault="002714BB">
          <w:pPr>
            <w:pStyle w:val="TOC1"/>
            <w:tabs>
              <w:tab w:val="right" w:leader="dot" w:pos="9017"/>
            </w:tabs>
            <w:rPr>
              <w:rFonts w:asciiTheme="minorHAnsi" w:eastAsiaTheme="minorEastAsia" w:hAnsiTheme="minorHAnsi" w:cstheme="minorBidi"/>
              <w:noProof/>
              <w:lang w:val="sr-Latn-RS" w:eastAsia="sr-Latn-RS"/>
            </w:rPr>
          </w:pPr>
          <w:hyperlink w:anchor="_Toc161659216" w:history="1">
            <w:r w:rsidR="007E5CDE" w:rsidRPr="00D06E2E">
              <w:rPr>
                <w:rStyle w:val="Hyperlink"/>
                <w:noProof/>
                <w:lang w:val="sr-Latn-RS"/>
              </w:rPr>
              <w:t>ANNEX</w:t>
            </w:r>
            <w:r w:rsidR="00D46F9D" w:rsidRPr="00D06E2E">
              <w:rPr>
                <w:rStyle w:val="Hyperlink"/>
                <w:noProof/>
                <w:lang w:val="sr-Latn-RS"/>
              </w:rPr>
              <w:t xml:space="preserve"> I – </w:t>
            </w:r>
            <w:r w:rsidR="007E5CDE" w:rsidRPr="00D06E2E">
              <w:rPr>
                <w:rStyle w:val="Hyperlink"/>
                <w:noProof/>
                <w:lang w:val="sr-Latn-RS"/>
              </w:rPr>
              <w:t>LEGAL FRAMEWORK AND SCOPE OF WORK OF THE PROTECTOR OF CITIZENS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_Toc161659216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131</w:t>
            </w:r>
            <w:r w:rsidR="00D46F9D" w:rsidRPr="00D06E2E">
              <w:rPr>
                <w:noProof/>
                <w:webHidden/>
                <w:lang w:val="sr-Latn-RS"/>
              </w:rPr>
              <w:fldChar w:fldCharType="end"/>
            </w:r>
          </w:hyperlink>
        </w:p>
        <w:p w14:paraId="27DB973E" w14:textId="090318C8" w:rsidR="00D46F9D" w:rsidRPr="00D06E2E" w:rsidRDefault="002714BB">
          <w:pPr>
            <w:pStyle w:val="TOC1"/>
            <w:tabs>
              <w:tab w:val="right" w:leader="dot" w:pos="9017"/>
            </w:tabs>
            <w:rPr>
              <w:rFonts w:asciiTheme="minorHAnsi" w:eastAsiaTheme="minorEastAsia" w:hAnsiTheme="minorHAnsi" w:cstheme="minorBidi"/>
              <w:noProof/>
              <w:lang w:val="sr-Latn-RS" w:eastAsia="sr-Latn-RS"/>
            </w:rPr>
          </w:pPr>
          <w:hyperlink w:anchor="_Toc161659217" w:history="1">
            <w:r w:rsidR="007E5CDE" w:rsidRPr="00D06E2E">
              <w:rPr>
                <w:lang w:val="sr-Latn-RS"/>
              </w:rPr>
              <w:t xml:space="preserve"> </w:t>
            </w:r>
            <w:r w:rsidR="007E5CDE" w:rsidRPr="00D06E2E">
              <w:rPr>
                <w:rStyle w:val="Hyperlink"/>
                <w:noProof/>
                <w:lang w:val="sr-Latn-RS"/>
              </w:rPr>
              <w:t xml:space="preserve">ANNEX </w:t>
            </w:r>
            <w:r w:rsidR="00D46F9D" w:rsidRPr="00D06E2E">
              <w:rPr>
                <w:rStyle w:val="Hyperlink"/>
                <w:noProof/>
                <w:lang w:val="sr-Latn-RS"/>
              </w:rPr>
              <w:t xml:space="preserve">II </w:t>
            </w:r>
            <w:r w:rsidR="007E5CDE" w:rsidRPr="00D06E2E">
              <w:rPr>
                <w:rStyle w:val="Hyperlink"/>
                <w:noProof/>
                <w:lang w:val="sr-Latn-RS"/>
              </w:rPr>
              <w:t>–</w:t>
            </w:r>
            <w:r w:rsidR="00D46F9D" w:rsidRPr="00D06E2E">
              <w:rPr>
                <w:rStyle w:val="Hyperlink"/>
                <w:noProof/>
                <w:lang w:val="sr-Latn-RS"/>
              </w:rPr>
              <w:t xml:space="preserve"> </w:t>
            </w:r>
            <w:r w:rsidR="007E5CDE" w:rsidRPr="00D06E2E">
              <w:rPr>
                <w:rStyle w:val="Hyperlink"/>
                <w:noProof/>
                <w:lang w:val="sr-Latn-RS"/>
              </w:rPr>
              <w:t>FINANCIAL STATEMENT</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_Toc161659217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141</w:t>
            </w:r>
            <w:r w:rsidR="00D46F9D" w:rsidRPr="00D06E2E">
              <w:rPr>
                <w:noProof/>
                <w:webHidden/>
                <w:lang w:val="sr-Latn-RS"/>
              </w:rPr>
              <w:fldChar w:fldCharType="end"/>
            </w:r>
          </w:hyperlink>
        </w:p>
        <w:p w14:paraId="2E45E716" w14:textId="484F090B" w:rsidR="00D46F9D" w:rsidRPr="00D06E2E" w:rsidRDefault="002714BB">
          <w:pPr>
            <w:pStyle w:val="TOC1"/>
            <w:tabs>
              <w:tab w:val="right" w:leader="dot" w:pos="9017"/>
            </w:tabs>
            <w:rPr>
              <w:rFonts w:asciiTheme="minorHAnsi" w:eastAsiaTheme="minorEastAsia" w:hAnsiTheme="minorHAnsi" w:cstheme="minorBidi"/>
              <w:noProof/>
              <w:lang w:val="sr-Latn-RS" w:eastAsia="sr-Latn-RS"/>
            </w:rPr>
          </w:pPr>
          <w:hyperlink w:anchor="_Toc161659218" w:history="1">
            <w:r w:rsidR="007E5CDE" w:rsidRPr="00D06E2E">
              <w:rPr>
                <w:lang w:val="sr-Latn-RS"/>
              </w:rPr>
              <w:t xml:space="preserve"> </w:t>
            </w:r>
            <w:r w:rsidR="007E5CDE" w:rsidRPr="00D06E2E">
              <w:rPr>
                <w:rStyle w:val="Hyperlink"/>
                <w:noProof/>
                <w:lang w:val="sr-Latn-RS"/>
              </w:rPr>
              <w:t xml:space="preserve">ANNEX </w:t>
            </w:r>
            <w:r w:rsidR="00D46F9D" w:rsidRPr="00D06E2E">
              <w:rPr>
                <w:rStyle w:val="Hyperlink"/>
                <w:noProof/>
                <w:lang w:val="sr-Latn-RS"/>
              </w:rPr>
              <w:t xml:space="preserve">III </w:t>
            </w:r>
            <w:r w:rsidR="007E5CDE" w:rsidRPr="00D06E2E">
              <w:rPr>
                <w:rStyle w:val="Hyperlink"/>
                <w:noProof/>
                <w:lang w:val="sr-Latn-RS"/>
              </w:rPr>
              <w:t>–</w:t>
            </w:r>
            <w:r w:rsidR="00D46F9D" w:rsidRPr="00D06E2E">
              <w:rPr>
                <w:rStyle w:val="Hyperlink"/>
                <w:noProof/>
                <w:lang w:val="sr-Latn-RS"/>
              </w:rPr>
              <w:t xml:space="preserve"> </w:t>
            </w:r>
            <w:r w:rsidR="007E5CDE" w:rsidRPr="00D06E2E">
              <w:rPr>
                <w:rStyle w:val="Hyperlink"/>
                <w:noProof/>
                <w:lang w:val="sr-Latn-RS"/>
              </w:rPr>
              <w:t>HUMAN AND MATERIAL RESOURCES</w:t>
            </w:r>
            <w:r w:rsidR="00D46F9D" w:rsidRPr="00D06E2E">
              <w:rPr>
                <w:noProof/>
                <w:webHidden/>
                <w:lang w:val="sr-Latn-RS"/>
              </w:rPr>
              <w:tab/>
            </w:r>
            <w:r w:rsidR="00D46F9D" w:rsidRPr="00D06E2E">
              <w:rPr>
                <w:noProof/>
                <w:webHidden/>
                <w:lang w:val="sr-Latn-RS"/>
              </w:rPr>
              <w:fldChar w:fldCharType="begin"/>
            </w:r>
            <w:r w:rsidR="00D46F9D" w:rsidRPr="00D06E2E">
              <w:rPr>
                <w:noProof/>
                <w:webHidden/>
                <w:lang w:val="sr-Latn-RS"/>
              </w:rPr>
              <w:instrText xml:space="preserve"> PAGEREF _Toc161659218 \h </w:instrText>
            </w:r>
            <w:r w:rsidR="00D46F9D" w:rsidRPr="00D06E2E">
              <w:rPr>
                <w:noProof/>
                <w:webHidden/>
                <w:lang w:val="sr-Latn-RS"/>
              </w:rPr>
            </w:r>
            <w:r w:rsidR="00D46F9D" w:rsidRPr="00D06E2E">
              <w:rPr>
                <w:noProof/>
                <w:webHidden/>
                <w:lang w:val="sr-Latn-RS"/>
              </w:rPr>
              <w:fldChar w:fldCharType="separate"/>
            </w:r>
            <w:r w:rsidR="006B35A7" w:rsidRPr="00D06E2E">
              <w:rPr>
                <w:noProof/>
                <w:webHidden/>
                <w:lang w:val="sr-Latn-RS"/>
              </w:rPr>
              <w:t>147</w:t>
            </w:r>
            <w:r w:rsidR="00D46F9D" w:rsidRPr="00D06E2E">
              <w:rPr>
                <w:noProof/>
                <w:webHidden/>
                <w:lang w:val="sr-Latn-RS"/>
              </w:rPr>
              <w:fldChar w:fldCharType="end"/>
            </w:r>
          </w:hyperlink>
        </w:p>
        <w:p w14:paraId="087EB725" w14:textId="42B2A1F7" w:rsidR="00E41502" w:rsidRPr="00D06E2E" w:rsidRDefault="00E41502">
          <w:pPr>
            <w:rPr>
              <w:lang w:val="sr-Latn-RS"/>
            </w:rPr>
          </w:pPr>
          <w:r w:rsidRPr="00D06E2E">
            <w:rPr>
              <w:b/>
              <w:bCs/>
              <w:noProof/>
              <w:lang w:val="sr-Latn-RS"/>
            </w:rPr>
            <w:fldChar w:fldCharType="end"/>
          </w:r>
        </w:p>
      </w:sdtContent>
    </w:sdt>
    <w:p w14:paraId="0044B9C6" w14:textId="77777777" w:rsidR="00A21BEB" w:rsidRPr="00D06E2E" w:rsidRDefault="00A21BEB">
      <w:pPr>
        <w:spacing w:after="0"/>
        <w:jc w:val="left"/>
        <w:rPr>
          <w:lang w:val="sr-Latn-RS"/>
        </w:rPr>
      </w:pPr>
    </w:p>
    <w:p w14:paraId="67977E4D" w14:textId="77777777" w:rsidR="00A21BEB" w:rsidRPr="00D06E2E" w:rsidRDefault="00A21BEB">
      <w:pPr>
        <w:spacing w:after="0"/>
        <w:jc w:val="left"/>
        <w:rPr>
          <w:lang w:val="sr-Latn-RS"/>
        </w:rPr>
      </w:pPr>
    </w:p>
    <w:p w14:paraId="450BD5C0" w14:textId="50B7C248" w:rsidR="00595C7B" w:rsidRPr="00D06E2E" w:rsidRDefault="00595C7B" w:rsidP="00304CEE">
      <w:pPr>
        <w:spacing w:after="0"/>
        <w:jc w:val="left"/>
        <w:rPr>
          <w:lang w:val="sr-Latn-RS"/>
        </w:rPr>
        <w:sectPr w:rsidR="00595C7B" w:rsidRPr="00D06E2E" w:rsidSect="008530F2">
          <w:footerReference w:type="default" r:id="rId8"/>
          <w:headerReference w:type="first" r:id="rId9"/>
          <w:pgSz w:w="11907" w:h="16839" w:code="9"/>
          <w:pgMar w:top="1440" w:right="1440" w:bottom="1440" w:left="1440" w:header="720" w:footer="720" w:gutter="0"/>
          <w:cols w:space="720"/>
          <w:titlePg/>
          <w:docGrid w:linePitch="360"/>
        </w:sectPr>
      </w:pPr>
      <w:bookmarkStart w:id="39" w:name="_Toc35172738"/>
      <w:bookmarkStart w:id="40" w:name="str_7"/>
      <w:bookmarkStart w:id="41" w:name="str_4"/>
      <w:bookmarkStart w:id="42" w:name="Увод"/>
      <w:bookmarkStart w:id="43" w:name="_Toc445803433"/>
    </w:p>
    <w:bookmarkEnd w:id="39"/>
    <w:p w14:paraId="660B73FD" w14:textId="183544ED" w:rsidR="00D201B0" w:rsidRPr="00D06E2E" w:rsidRDefault="00304CEE" w:rsidP="00060300">
      <w:pPr>
        <w:pStyle w:val="Heading1"/>
        <w:spacing w:before="0" w:after="0"/>
        <w:rPr>
          <w:lang w:val="sr-Latn-RS"/>
        </w:rPr>
      </w:pPr>
      <w:r w:rsidRPr="00D06E2E">
        <w:rPr>
          <w:lang w:val="sr-Latn-RS"/>
        </w:rPr>
        <w:lastRenderedPageBreak/>
        <w:t>INTRODUCTION</w:t>
      </w:r>
    </w:p>
    <w:p w14:paraId="1D3D1A22" w14:textId="77777777" w:rsidR="00060300" w:rsidRPr="00D06E2E" w:rsidRDefault="00060300" w:rsidP="00060300">
      <w:pPr>
        <w:spacing w:after="0"/>
        <w:rPr>
          <w:lang w:val="sr-Latn-RS"/>
        </w:rPr>
      </w:pPr>
    </w:p>
    <w:bookmarkEnd w:id="40"/>
    <w:bookmarkEnd w:id="41"/>
    <w:bookmarkEnd w:id="42"/>
    <w:p w14:paraId="6A366275" w14:textId="6EF66B67" w:rsidR="006D04F2" w:rsidRPr="00D06E2E" w:rsidRDefault="006D04F2" w:rsidP="006931C1">
      <w:pPr>
        <w:pStyle w:val="Heading2"/>
        <w:spacing w:before="0"/>
        <w:rPr>
          <w:lang w:val="sr-Latn-RS"/>
        </w:rPr>
      </w:pPr>
      <w:r w:rsidRPr="00D06E2E">
        <w:rPr>
          <w:lang w:val="sr-Latn-RS"/>
        </w:rPr>
        <w:t xml:space="preserve"> </w:t>
      </w:r>
      <w:r w:rsidR="00304CEE" w:rsidRPr="00D06E2E">
        <w:rPr>
          <w:lang w:val="sr-Latn-RS"/>
        </w:rPr>
        <w:t>FOREWORD</w:t>
      </w:r>
    </w:p>
    <w:p w14:paraId="0EEBF5EB" w14:textId="77777777" w:rsidR="00477BC8" w:rsidRPr="00D06E2E" w:rsidRDefault="00477BC8" w:rsidP="00477BC8">
      <w:pPr>
        <w:rPr>
          <w:lang w:val="sr-Latn-RS"/>
        </w:rPr>
      </w:pPr>
      <w:r w:rsidRPr="00D06E2E">
        <w:rPr>
          <w:lang w:val="sr-Latn-RS"/>
        </w:rPr>
        <w:t>Respectable Representatives of the National Assembly,</w:t>
      </w:r>
    </w:p>
    <w:p w14:paraId="75D7FB92" w14:textId="14ED2EBE" w:rsidR="00880D1C" w:rsidRPr="00D06E2E" w:rsidRDefault="00477BC8" w:rsidP="00477BC8">
      <w:pPr>
        <w:rPr>
          <w:lang w:val="sr-Latn-RS"/>
        </w:rPr>
      </w:pPr>
      <w:r w:rsidRPr="00D06E2E">
        <w:rPr>
          <w:lang w:val="sr-Latn-RS"/>
        </w:rPr>
        <w:t xml:space="preserve">Pursuant to Article 39 Paragraph 1 of the Law on the Protector of </w:t>
      </w:r>
      <w:r w:rsidR="00B37F05" w:rsidRPr="00D06E2E">
        <w:rPr>
          <w:lang w:val="sr-Latn-RS"/>
        </w:rPr>
        <w:t>Citizens,</w:t>
      </w:r>
      <w:r w:rsidRPr="00D06E2E">
        <w:rPr>
          <w:lang w:val="sr-Latn-RS"/>
        </w:rPr>
        <w:t xml:space="preserve"> I hereby submit for the review the Regular Annual Report of the Protector of Citizens for 2023.</w:t>
      </w:r>
    </w:p>
    <w:p w14:paraId="02815F57" w14:textId="77777777" w:rsidR="00477BC8" w:rsidRPr="00D06E2E" w:rsidRDefault="00477BC8" w:rsidP="00880D1C">
      <w:pPr>
        <w:rPr>
          <w:lang w:val="sr-Latn-RS"/>
        </w:rPr>
      </w:pPr>
      <w:r w:rsidRPr="00D06E2E">
        <w:rPr>
          <w:lang w:val="sr-Latn-RS"/>
        </w:rPr>
        <w:t>In the Republic of Serbia during 2023 human rights were observed to a significant extent. The report before you shall confirm the constructive contribution of the Protector of Citizens who indicated to the omissions in the operation of public authorities.</w:t>
      </w:r>
    </w:p>
    <w:p w14:paraId="68F4B9AA" w14:textId="77777777" w:rsidR="00477BC8" w:rsidRPr="00D06E2E" w:rsidRDefault="00477BC8" w:rsidP="00880D1C">
      <w:pPr>
        <w:rPr>
          <w:lang w:val="sr-Latn-RS"/>
        </w:rPr>
      </w:pPr>
      <w:r w:rsidRPr="00D06E2E">
        <w:rPr>
          <w:lang w:val="sr-Latn-RS"/>
        </w:rPr>
        <w:t>Through numerous oversight, legislative, preventive, promotional and educational acitivies I aimed at the improvement of the operation of administrative authorities for the purpose of more efficient exercise and protection of citizen rights.</w:t>
      </w:r>
    </w:p>
    <w:p w14:paraId="68DA3EC2" w14:textId="12B32370" w:rsidR="00477BC8" w:rsidRPr="00D06E2E" w:rsidRDefault="00A15B6B" w:rsidP="00880D1C">
      <w:pPr>
        <w:rPr>
          <w:lang w:val="sr-Latn-RS"/>
        </w:rPr>
      </w:pPr>
      <w:r w:rsidRPr="00D06E2E">
        <w:rPr>
          <w:lang w:val="sr-Latn-RS"/>
        </w:rPr>
        <w:t>In the reporting year the Protector of Citizens was subject to criticism but I remind that the role of an independent state authority of the constitutional rank is to correct, not only the operation of public authorities but also the society in general, observing the fundamental principles of every democratic society based on the rule of law, unobstructed exercise of human righs as well as pluralism of opinion.</w:t>
      </w:r>
      <w:r w:rsidR="00477BC8" w:rsidRPr="00D06E2E">
        <w:rPr>
          <w:lang w:val="sr-Latn-RS"/>
        </w:rPr>
        <w:t xml:space="preserve"> </w:t>
      </w:r>
    </w:p>
    <w:p w14:paraId="24EA3B00" w14:textId="77777777" w:rsidR="00BF2CA5" w:rsidRPr="00D06E2E" w:rsidRDefault="00A15B6B" w:rsidP="00880D1C">
      <w:pPr>
        <w:rPr>
          <w:lang w:val="sr-Latn-RS"/>
        </w:rPr>
      </w:pPr>
      <w:r w:rsidRPr="00D06E2E">
        <w:rPr>
          <w:lang w:val="sr-Latn-RS"/>
        </w:rPr>
        <w:t>Based on social environment and events in 2023, independent public authority I manage and I personally decide to work together on the improvement of the rights of vulnerable groups, especially children and women as the most sensitive</w:t>
      </w:r>
      <w:r w:rsidR="00BF2CA5" w:rsidRPr="00D06E2E">
        <w:rPr>
          <w:lang w:val="sr-Latn-RS"/>
        </w:rPr>
        <w:t xml:space="preserve"> and the most susceptible to all forms of violence.</w:t>
      </w:r>
    </w:p>
    <w:p w14:paraId="6F34F3F4" w14:textId="425E6A0B" w:rsidR="00880D1C" w:rsidRPr="00D06E2E" w:rsidRDefault="00BF2CA5" w:rsidP="00880D1C">
      <w:pPr>
        <w:rPr>
          <w:lang w:val="sr-Latn-RS"/>
        </w:rPr>
      </w:pPr>
      <w:r w:rsidRPr="00D06E2E">
        <w:rPr>
          <w:lang w:val="sr-Latn-RS"/>
        </w:rPr>
        <w:t>The Protector of Citizens especially tends to contribute with very constructive activities to the creation of the social environment which would absolutely in all segments be encouraging and equal for all citizens of the Republic of Serbia, foreign citizens as well as all domestic and foreign legal entities on whose rights or obligations administrative autorities decide and which are located at the territory of the Republic of Serbia.</w:t>
      </w:r>
      <w:r w:rsidR="00A15B6B" w:rsidRPr="00D06E2E">
        <w:rPr>
          <w:lang w:val="sr-Latn-RS"/>
        </w:rPr>
        <w:t xml:space="preserve"> </w:t>
      </w:r>
    </w:p>
    <w:p w14:paraId="74353955" w14:textId="73BD289A" w:rsidR="00BF2CA5" w:rsidRPr="00D06E2E" w:rsidRDefault="00BF2CA5" w:rsidP="00880D1C">
      <w:pPr>
        <w:rPr>
          <w:lang w:val="sr-Latn-RS"/>
        </w:rPr>
      </w:pPr>
      <w:r w:rsidRPr="00D06E2E">
        <w:rPr>
          <w:lang w:val="sr-Latn-RS"/>
        </w:rPr>
        <w:t>The year 2023 was also marked by my reelection</w:t>
      </w:r>
      <w:r w:rsidR="00B37F05" w:rsidRPr="00D06E2E">
        <w:rPr>
          <w:lang w:val="sr-Latn-RS"/>
        </w:rPr>
        <w:t>,</w:t>
      </w:r>
      <w:r w:rsidRPr="00D06E2E">
        <w:rPr>
          <w:lang w:val="sr-Latn-RS"/>
        </w:rPr>
        <w:t xml:space="preserve"> which for me personally and professionally is great honor and responsibility primarily before citizens who approach the Protector of Citizens every daz both for the protection and improvement of their rights.</w:t>
      </w:r>
    </w:p>
    <w:p w14:paraId="0985FC44" w14:textId="117C2118" w:rsidR="00880D1C" w:rsidRPr="00D06E2E" w:rsidRDefault="00BF2CA5" w:rsidP="00532201">
      <w:pPr>
        <w:rPr>
          <w:lang w:val="sr-Latn-RS"/>
        </w:rPr>
      </w:pPr>
      <w:r w:rsidRPr="00D06E2E">
        <w:rPr>
          <w:lang w:val="sr-Latn-RS"/>
        </w:rPr>
        <w:t xml:space="preserve">The confirmation of the high level of trust and credibility enjoyed by the Protector of Citizens in the national system of protection and promotion of human rights comes also from citizens approaching us themselves, since the number of complaints and </w:t>
      </w:r>
      <w:r w:rsidR="00532201" w:rsidRPr="00D06E2E">
        <w:rPr>
          <w:lang w:val="sr-Latn-RS"/>
        </w:rPr>
        <w:t xml:space="preserve">launched </w:t>
      </w:r>
      <w:r w:rsidRPr="00D06E2E">
        <w:rPr>
          <w:lang w:val="sr-Latn-RS"/>
        </w:rPr>
        <w:t>own-initiative investigations was inc</w:t>
      </w:r>
      <w:r w:rsidR="00BE215F" w:rsidRPr="00D06E2E">
        <w:rPr>
          <w:lang w:val="sr-Latn-RS"/>
        </w:rPr>
        <w:t>reased by 23 percent</w:t>
      </w:r>
      <w:r w:rsidRPr="00D06E2E">
        <w:rPr>
          <w:lang w:val="sr-Latn-RS"/>
        </w:rPr>
        <w:t xml:space="preserve"> </w:t>
      </w:r>
      <w:r w:rsidR="00532201" w:rsidRPr="00D06E2E">
        <w:rPr>
          <w:lang w:val="sr-Latn-RS"/>
        </w:rPr>
        <w:t>in comparison to 2022.</w:t>
      </w:r>
    </w:p>
    <w:p w14:paraId="40871160" w14:textId="2BD9B7B6" w:rsidR="00880D1C" w:rsidRPr="00D06E2E" w:rsidRDefault="00532201" w:rsidP="00880D1C">
      <w:pPr>
        <w:rPr>
          <w:lang w:val="sr-Latn-RS"/>
        </w:rPr>
      </w:pPr>
      <w:r w:rsidRPr="00D06E2E">
        <w:rPr>
          <w:lang w:val="sr-Latn-RS"/>
        </w:rPr>
        <w:t>Such increase of the number of cases and aim to implement its wide mandate in the protection and improvement of citizen rights resulted in the Protector of Citizens issuing in the oversight investigation even 372 recomm</w:t>
      </w:r>
      <w:r w:rsidR="00BE215F" w:rsidRPr="00D06E2E">
        <w:rPr>
          <w:lang w:val="sr-Latn-RS"/>
        </w:rPr>
        <w:t>endations, which is by 8 percent</w:t>
      </w:r>
      <w:r w:rsidRPr="00D06E2E">
        <w:rPr>
          <w:lang w:val="sr-Latn-RS"/>
        </w:rPr>
        <w:t xml:space="preserve"> more than in the previous year. </w:t>
      </w:r>
    </w:p>
    <w:p w14:paraId="6173C2DB" w14:textId="18E8ACCF" w:rsidR="00196276" w:rsidRPr="00D06E2E" w:rsidRDefault="00532201" w:rsidP="00880D1C">
      <w:pPr>
        <w:rPr>
          <w:lang w:val="sr-Latn-RS"/>
        </w:rPr>
      </w:pPr>
      <w:r w:rsidRPr="00D06E2E">
        <w:rPr>
          <w:lang w:val="sr-Latn-RS"/>
        </w:rPr>
        <w:t xml:space="preserve">The great trust of citizens is especially binding factor in the operation of the Protector of Citizens and it had a decisive role in my persistent and definite use of my institutional authority before public authorities so </w:t>
      </w:r>
      <w:r w:rsidR="00196276" w:rsidRPr="00D06E2E">
        <w:rPr>
          <w:lang w:val="sr-Latn-RS"/>
        </w:rPr>
        <w:t>that they could act upon issued recommendations. It resulted in the percentage of acting upon recommendations of the Protect</w:t>
      </w:r>
      <w:r w:rsidR="00BE215F" w:rsidRPr="00D06E2E">
        <w:rPr>
          <w:lang w:val="sr-Latn-RS"/>
        </w:rPr>
        <w:t>or of Citizens in 2023 being 78.20 percent, which is by 15 percent</w:t>
      </w:r>
      <w:r w:rsidR="00196276" w:rsidRPr="00D06E2E">
        <w:rPr>
          <w:lang w:val="sr-Latn-RS"/>
        </w:rPr>
        <w:t xml:space="preserve"> higher than in 2022. Such information is encouraging and indicating that public authorities realize to a greater extent the importance and authority of the Protector of Citizens as well as the strength of its arguments taking into account that recommendations are not legally binding.</w:t>
      </w:r>
    </w:p>
    <w:p w14:paraId="35C0F092" w14:textId="5050047A" w:rsidR="00196276" w:rsidRPr="00D06E2E" w:rsidRDefault="00196276" w:rsidP="00880D1C">
      <w:pPr>
        <w:rPr>
          <w:lang w:val="sr-Latn-RS"/>
        </w:rPr>
      </w:pPr>
      <w:r w:rsidRPr="00D06E2E">
        <w:rPr>
          <w:lang w:val="sr-Latn-RS"/>
        </w:rPr>
        <w:lastRenderedPageBreak/>
        <w:t>As independent oversight authority, the Protector of Citizens is on „strong and resistent foundation“ always at the disposal of citizens, public authorities as well as the authorities whose operation is excluded from the oversight scope of the Protector of Citizens to influence by cooperation, constructive criticism and the strength of arguments the improvement of human right standards.</w:t>
      </w:r>
    </w:p>
    <w:p w14:paraId="18B26E5D" w14:textId="5F8A09EF" w:rsidR="00880D1C" w:rsidRPr="00D06E2E" w:rsidRDefault="00196276" w:rsidP="00880D1C">
      <w:pPr>
        <w:rPr>
          <w:lang w:val="sr-Latn-RS"/>
        </w:rPr>
      </w:pPr>
      <w:r w:rsidRPr="00D06E2E">
        <w:rPr>
          <w:lang w:val="sr-Latn-RS"/>
        </w:rPr>
        <w:t>My</w:t>
      </w:r>
      <w:r w:rsidR="00880D1C" w:rsidRPr="00D06E2E">
        <w:rPr>
          <w:lang w:val="sr-Latn-RS"/>
        </w:rPr>
        <w:t> </w:t>
      </w:r>
      <w:r w:rsidRPr="00D06E2E">
        <w:rPr>
          <w:lang w:val="sr-Latn-RS"/>
        </w:rPr>
        <w:t>strong belief is that we as a society need a strong, independent human rights institution and through my work I aim and shall aim at contributing further improvement of the operation of the Protector of Citizens as such an institution.</w:t>
      </w:r>
      <w:r w:rsidR="00880D1C" w:rsidRPr="00D06E2E">
        <w:rPr>
          <w:lang w:val="sr-Latn-RS"/>
        </w:rPr>
        <w:t xml:space="preserve"> </w:t>
      </w:r>
    </w:p>
    <w:p w14:paraId="3690B0BF" w14:textId="75F012FC" w:rsidR="00880D1C" w:rsidRPr="00D06E2E" w:rsidRDefault="00196276" w:rsidP="00880D1C">
      <w:pPr>
        <w:rPr>
          <w:lang w:val="sr-Latn-RS"/>
        </w:rPr>
      </w:pPr>
      <w:r w:rsidRPr="00D06E2E">
        <w:rPr>
          <w:lang w:val="sr-Latn-RS"/>
        </w:rPr>
        <w:t>As the protector of citizens of the Republic of Serbia I shall remain completely devoted and available, both personally and as the head of the institution of the Protector of Citizens and I shall constantly work on the protection of rights of all citizens, strive for providing greater transparency and more efficient exercise and protection of human rights and freedom.</w:t>
      </w:r>
    </w:p>
    <w:p w14:paraId="67D966FA" w14:textId="7C4BECD0" w:rsidR="00880D1C" w:rsidRPr="00D06E2E" w:rsidRDefault="00880D1C" w:rsidP="00880D1C">
      <w:pPr>
        <w:rPr>
          <w:lang w:val="sr-Latn-RS"/>
        </w:rPr>
      </w:pPr>
    </w:p>
    <w:p w14:paraId="1A506BA0" w14:textId="77777777" w:rsidR="00880D1C" w:rsidRPr="00D06E2E" w:rsidRDefault="00880D1C" w:rsidP="00880D1C">
      <w:pPr>
        <w:rPr>
          <w:lang w:val="sr-Latn-RS"/>
        </w:rPr>
      </w:pPr>
    </w:p>
    <w:p w14:paraId="1A3D94B2" w14:textId="77777777" w:rsidR="00880D1C" w:rsidRPr="00D06E2E" w:rsidRDefault="00880D1C" w:rsidP="00880D1C">
      <w:pPr>
        <w:ind w:left="6480"/>
        <w:rPr>
          <w:rFonts w:eastAsia="Times New Roman" w:cs="Calibri"/>
          <w:color w:val="000000"/>
          <w:lang w:val="sr-Latn-RS"/>
        </w:rPr>
      </w:pPr>
    </w:p>
    <w:p w14:paraId="477E33A6" w14:textId="6F00D05F" w:rsidR="00880D1C" w:rsidRPr="00D06E2E" w:rsidRDefault="00196276" w:rsidP="00880D1C">
      <w:pPr>
        <w:ind w:left="6096"/>
        <w:rPr>
          <w:rFonts w:eastAsia="Times New Roman" w:cs="Times New Roman"/>
          <w:lang w:val="sr-Latn-RS"/>
        </w:rPr>
      </w:pPr>
      <w:r w:rsidRPr="00D06E2E">
        <w:rPr>
          <w:rFonts w:eastAsia="Times New Roman" w:cs="Calibri"/>
          <w:color w:val="000000"/>
          <w:lang w:val="sr-Latn-RS"/>
        </w:rPr>
        <w:t>PROTECTOR OF CITIZENS</w:t>
      </w:r>
    </w:p>
    <w:p w14:paraId="4F904FFB" w14:textId="77777777" w:rsidR="00880D1C" w:rsidRPr="00D06E2E" w:rsidRDefault="00880D1C" w:rsidP="00880D1C">
      <w:pPr>
        <w:ind w:left="6096"/>
        <w:rPr>
          <w:rFonts w:eastAsia="Times New Roman" w:cs="Times New Roman"/>
          <w:lang w:val="sr-Latn-RS"/>
        </w:rPr>
      </w:pPr>
    </w:p>
    <w:p w14:paraId="6E592081" w14:textId="6902A8F0" w:rsidR="00880D1C" w:rsidRPr="00D06E2E" w:rsidRDefault="00196276" w:rsidP="00880D1C">
      <w:pPr>
        <w:ind w:left="6096" w:firstLine="270"/>
        <w:rPr>
          <w:rFonts w:eastAsia="Times New Roman" w:cs="Times New Roman"/>
          <w:lang w:val="sr-Latn-RS"/>
        </w:rPr>
      </w:pPr>
      <w:r w:rsidRPr="00D06E2E">
        <w:rPr>
          <w:rFonts w:eastAsia="Times New Roman" w:cs="Calibri"/>
          <w:color w:val="000000"/>
          <w:lang w:val="sr-Latn-RS"/>
        </w:rPr>
        <w:t>Zoran Pašalić, M</w:t>
      </w:r>
      <w:r w:rsidR="002714BB" w:rsidRPr="00D06E2E">
        <w:rPr>
          <w:rFonts w:eastAsia="Times New Roman" w:cs="Calibri"/>
          <w:color w:val="000000"/>
          <w:lang w:val="sr-Latn-RS"/>
        </w:rPr>
        <w:t>.</w:t>
      </w:r>
      <w:r w:rsidRPr="00D06E2E">
        <w:rPr>
          <w:rFonts w:eastAsia="Times New Roman" w:cs="Calibri"/>
          <w:color w:val="000000"/>
          <w:lang w:val="sr-Latn-RS"/>
        </w:rPr>
        <w:t>Sc</w:t>
      </w:r>
      <w:r w:rsidR="002714BB" w:rsidRPr="00D06E2E">
        <w:rPr>
          <w:rFonts w:eastAsia="Times New Roman" w:cs="Calibri"/>
          <w:color w:val="000000"/>
          <w:lang w:val="sr-Latn-RS"/>
        </w:rPr>
        <w:t>.</w:t>
      </w:r>
    </w:p>
    <w:p w14:paraId="66131E7A" w14:textId="18F7FC99" w:rsidR="00B60BA0" w:rsidRPr="00D06E2E" w:rsidRDefault="00B60BA0" w:rsidP="000B2771">
      <w:pPr>
        <w:spacing w:after="0"/>
        <w:jc w:val="right"/>
        <w:rPr>
          <w:rFonts w:cstheme="minorHAnsi"/>
          <w:lang w:val="sr-Latn-RS"/>
        </w:rPr>
      </w:pPr>
    </w:p>
    <w:p w14:paraId="7CA24B2D" w14:textId="35C1FC1C" w:rsidR="00B60BA0" w:rsidRPr="00D06E2E" w:rsidRDefault="00B60BA0" w:rsidP="000B2771">
      <w:pPr>
        <w:spacing w:after="0"/>
        <w:jc w:val="right"/>
        <w:rPr>
          <w:rFonts w:cstheme="minorHAnsi"/>
          <w:lang w:val="sr-Latn-RS"/>
        </w:rPr>
      </w:pPr>
    </w:p>
    <w:p w14:paraId="6DF18474" w14:textId="5A831F0C" w:rsidR="00B60BA0" w:rsidRPr="00D06E2E" w:rsidRDefault="00B60BA0" w:rsidP="000B2771">
      <w:pPr>
        <w:spacing w:after="0"/>
        <w:jc w:val="right"/>
        <w:rPr>
          <w:rFonts w:cstheme="minorHAnsi"/>
          <w:lang w:val="sr-Latn-RS"/>
        </w:rPr>
      </w:pPr>
    </w:p>
    <w:p w14:paraId="734AFA5B" w14:textId="5F064E74" w:rsidR="00B60BA0" w:rsidRPr="00D06E2E" w:rsidRDefault="00B60BA0" w:rsidP="000B2771">
      <w:pPr>
        <w:spacing w:after="0"/>
        <w:jc w:val="right"/>
        <w:rPr>
          <w:rFonts w:cstheme="minorHAnsi"/>
          <w:lang w:val="sr-Latn-RS"/>
        </w:rPr>
      </w:pPr>
    </w:p>
    <w:p w14:paraId="0FFC991A" w14:textId="7F356C33" w:rsidR="00B60BA0" w:rsidRPr="00D06E2E" w:rsidRDefault="00B60BA0" w:rsidP="000B2771">
      <w:pPr>
        <w:spacing w:after="0"/>
        <w:jc w:val="right"/>
        <w:rPr>
          <w:rFonts w:cstheme="minorHAnsi"/>
          <w:lang w:val="sr-Latn-RS"/>
        </w:rPr>
      </w:pPr>
    </w:p>
    <w:p w14:paraId="3F84EFDE" w14:textId="3D8A4247" w:rsidR="00B60BA0" w:rsidRPr="00D06E2E" w:rsidRDefault="00B60BA0" w:rsidP="000B2771">
      <w:pPr>
        <w:spacing w:after="0"/>
        <w:jc w:val="right"/>
        <w:rPr>
          <w:rFonts w:cstheme="minorHAnsi"/>
          <w:lang w:val="sr-Latn-RS"/>
        </w:rPr>
      </w:pPr>
    </w:p>
    <w:p w14:paraId="7C1D70A9" w14:textId="58488A50" w:rsidR="00B60BA0" w:rsidRPr="00D06E2E" w:rsidRDefault="00B60BA0" w:rsidP="000B2771">
      <w:pPr>
        <w:spacing w:after="0"/>
        <w:jc w:val="right"/>
        <w:rPr>
          <w:rFonts w:cstheme="minorHAnsi"/>
          <w:lang w:val="sr-Latn-RS"/>
        </w:rPr>
      </w:pPr>
    </w:p>
    <w:p w14:paraId="71EF009E" w14:textId="0524BD44" w:rsidR="00B60BA0" w:rsidRPr="00D06E2E" w:rsidRDefault="00B60BA0" w:rsidP="000B2771">
      <w:pPr>
        <w:spacing w:after="0"/>
        <w:jc w:val="right"/>
        <w:rPr>
          <w:rFonts w:cstheme="minorHAnsi"/>
          <w:lang w:val="sr-Latn-RS"/>
        </w:rPr>
      </w:pPr>
    </w:p>
    <w:p w14:paraId="6D7D8742" w14:textId="22E56330" w:rsidR="00B60BA0" w:rsidRPr="00D06E2E" w:rsidRDefault="00B60BA0" w:rsidP="000B2771">
      <w:pPr>
        <w:spacing w:after="0"/>
        <w:jc w:val="right"/>
        <w:rPr>
          <w:rFonts w:cstheme="minorHAnsi"/>
          <w:lang w:val="sr-Latn-RS"/>
        </w:rPr>
      </w:pPr>
    </w:p>
    <w:p w14:paraId="551AEDE5" w14:textId="116BC1E7" w:rsidR="00B60BA0" w:rsidRPr="00D06E2E" w:rsidRDefault="00B60BA0" w:rsidP="000B2771">
      <w:pPr>
        <w:spacing w:after="0"/>
        <w:jc w:val="right"/>
        <w:rPr>
          <w:rFonts w:cstheme="minorHAnsi"/>
          <w:lang w:val="sr-Latn-RS"/>
        </w:rPr>
      </w:pPr>
    </w:p>
    <w:p w14:paraId="6DFA6879" w14:textId="3C0D3688" w:rsidR="00B60BA0" w:rsidRPr="00D06E2E" w:rsidRDefault="00B60BA0" w:rsidP="000B2771">
      <w:pPr>
        <w:spacing w:after="0"/>
        <w:jc w:val="right"/>
        <w:rPr>
          <w:rFonts w:cstheme="minorHAnsi"/>
          <w:lang w:val="sr-Latn-RS"/>
        </w:rPr>
      </w:pPr>
    </w:p>
    <w:p w14:paraId="61F1CCF5" w14:textId="5F5F0545" w:rsidR="00B60BA0" w:rsidRPr="00D06E2E" w:rsidRDefault="00B60BA0" w:rsidP="000B2771">
      <w:pPr>
        <w:spacing w:after="0"/>
        <w:jc w:val="right"/>
        <w:rPr>
          <w:rFonts w:cstheme="minorHAnsi"/>
          <w:lang w:val="sr-Latn-RS"/>
        </w:rPr>
      </w:pPr>
    </w:p>
    <w:p w14:paraId="5B5A0952" w14:textId="03FBCE1D" w:rsidR="00B60BA0" w:rsidRPr="00D06E2E" w:rsidRDefault="00B60BA0" w:rsidP="000B2771">
      <w:pPr>
        <w:spacing w:after="0"/>
        <w:jc w:val="right"/>
        <w:rPr>
          <w:rFonts w:cstheme="minorHAnsi"/>
          <w:lang w:val="sr-Latn-RS"/>
        </w:rPr>
      </w:pPr>
    </w:p>
    <w:p w14:paraId="6E1EF1E5" w14:textId="07447AE0" w:rsidR="00B60BA0" w:rsidRPr="00D06E2E" w:rsidRDefault="00B60BA0" w:rsidP="000B2771">
      <w:pPr>
        <w:spacing w:after="0"/>
        <w:jc w:val="right"/>
        <w:rPr>
          <w:rFonts w:cstheme="minorHAnsi"/>
          <w:lang w:val="sr-Latn-RS"/>
        </w:rPr>
      </w:pPr>
    </w:p>
    <w:p w14:paraId="692A9F3E" w14:textId="65CF4712" w:rsidR="00B60BA0" w:rsidRPr="00D06E2E" w:rsidRDefault="00B60BA0" w:rsidP="000B2771">
      <w:pPr>
        <w:spacing w:after="0"/>
        <w:jc w:val="right"/>
        <w:rPr>
          <w:rFonts w:cstheme="minorHAnsi"/>
          <w:lang w:val="sr-Latn-RS"/>
        </w:rPr>
      </w:pPr>
    </w:p>
    <w:p w14:paraId="5BE6689C" w14:textId="06CF268C" w:rsidR="00B60BA0" w:rsidRPr="00D06E2E" w:rsidRDefault="00B60BA0" w:rsidP="000B2771">
      <w:pPr>
        <w:spacing w:after="0"/>
        <w:jc w:val="right"/>
        <w:rPr>
          <w:rFonts w:cstheme="minorHAnsi"/>
          <w:lang w:val="sr-Latn-RS"/>
        </w:rPr>
      </w:pPr>
    </w:p>
    <w:p w14:paraId="54068986" w14:textId="5487C034" w:rsidR="00B60BA0" w:rsidRPr="00D06E2E" w:rsidRDefault="00B60BA0" w:rsidP="000B2771">
      <w:pPr>
        <w:spacing w:after="0"/>
        <w:jc w:val="right"/>
        <w:rPr>
          <w:rFonts w:cstheme="minorHAnsi"/>
          <w:lang w:val="sr-Latn-RS"/>
        </w:rPr>
      </w:pPr>
    </w:p>
    <w:p w14:paraId="76E56361" w14:textId="0FE0C7D3" w:rsidR="00E30D73" w:rsidRPr="00D06E2E" w:rsidRDefault="00E30D73">
      <w:pPr>
        <w:spacing w:after="0"/>
        <w:jc w:val="left"/>
        <w:rPr>
          <w:rFonts w:cstheme="minorHAnsi"/>
          <w:lang w:val="sr-Latn-RS"/>
        </w:rPr>
      </w:pPr>
      <w:r w:rsidRPr="00D06E2E">
        <w:rPr>
          <w:rFonts w:cstheme="minorHAnsi"/>
          <w:lang w:val="sr-Latn-RS"/>
        </w:rPr>
        <w:br w:type="page"/>
      </w:r>
    </w:p>
    <w:p w14:paraId="3D798E69" w14:textId="1A228FA8" w:rsidR="002E59AD" w:rsidRPr="00D06E2E" w:rsidRDefault="00304CEE" w:rsidP="00304CEE">
      <w:pPr>
        <w:pStyle w:val="Heading1"/>
        <w:rPr>
          <w:lang w:val="sr-Latn-RS"/>
        </w:rPr>
      </w:pPr>
      <w:bookmarkStart w:id="44" w:name="_Toc161659193"/>
      <w:bookmarkStart w:id="45" w:name="_Toc445803435"/>
      <w:bookmarkEnd w:id="43"/>
      <w:r w:rsidRPr="00D06E2E">
        <w:rPr>
          <w:lang w:val="sr-Latn-RS"/>
        </w:rPr>
        <w:lastRenderedPageBreak/>
        <w:t>GENERAL ASSESSMENT OF THE OBSERVANCE OF CITIZENS’ RIGHTS IN</w:t>
      </w:r>
      <w:r w:rsidR="008B3E8A" w:rsidRPr="00D06E2E">
        <w:rPr>
          <w:lang w:val="sr-Latn-RS"/>
        </w:rPr>
        <w:t xml:space="preserve"> 2023</w:t>
      </w:r>
      <w:r w:rsidR="0085346F" w:rsidRPr="00D06E2E">
        <w:rPr>
          <w:lang w:val="sr-Latn-RS"/>
        </w:rPr>
        <w:t xml:space="preserve"> </w:t>
      </w:r>
      <w:bookmarkEnd w:id="44"/>
    </w:p>
    <w:bookmarkEnd w:id="45"/>
    <w:p w14:paraId="252C6914" w14:textId="5FF396C6" w:rsidR="00A14C30" w:rsidRPr="00D06E2E" w:rsidRDefault="00A14C30" w:rsidP="00D91A35">
      <w:pPr>
        <w:rPr>
          <w:lang w:val="sr-Latn-RS"/>
        </w:rPr>
      </w:pPr>
      <w:r w:rsidRPr="00D06E2E">
        <w:rPr>
          <w:lang w:val="sr-Latn-RS"/>
        </w:rPr>
        <w:t>In 2023 the recepti</w:t>
      </w:r>
      <w:r w:rsidR="00BE215F" w:rsidRPr="00D06E2E">
        <w:rPr>
          <w:lang w:val="sr-Latn-RS"/>
        </w:rPr>
        <w:t>on of cases was increased by 23 percent</w:t>
      </w:r>
      <w:r w:rsidRPr="00D06E2E">
        <w:rPr>
          <w:lang w:val="sr-Latn-RS"/>
        </w:rPr>
        <w:t xml:space="preserve"> compared to previous year whereas the efficiency of operation of the Prot</w:t>
      </w:r>
      <w:r w:rsidR="00BE215F" w:rsidRPr="00D06E2E">
        <w:rPr>
          <w:lang w:val="sr-Latn-RS"/>
        </w:rPr>
        <w:t>ector of Citizens to high 88.93 percent</w:t>
      </w:r>
      <w:r w:rsidRPr="00D06E2E">
        <w:rPr>
          <w:lang w:val="sr-Latn-RS"/>
        </w:rPr>
        <w:t xml:space="preserve">. The increased reception of cases influenced also the number of issued recommendations so in the reporting period the number of issued </w:t>
      </w:r>
      <w:r w:rsidR="00BE215F" w:rsidRPr="00D06E2E">
        <w:rPr>
          <w:lang w:val="sr-Latn-RS"/>
        </w:rPr>
        <w:t>recommendations was higher by 8 percent, whereas the percentage of actions upon recommendations was higher by 15 percent compared to 2022.</w:t>
      </w:r>
    </w:p>
    <w:p w14:paraId="5B78A81E" w14:textId="5C8D9A08" w:rsidR="00BE215F" w:rsidRPr="00D06E2E" w:rsidRDefault="00BE215F" w:rsidP="00D91A35">
      <w:pPr>
        <w:rPr>
          <w:lang w:val="sr-Latn-RS"/>
        </w:rPr>
      </w:pPr>
      <w:r w:rsidRPr="00D06E2E">
        <w:rPr>
          <w:lang w:val="sr-Latn-RS"/>
        </w:rPr>
        <w:t xml:space="preserve">As in the previous reporting period, the majority of cases </w:t>
      </w:r>
      <w:r w:rsidR="00934219" w:rsidRPr="00D06E2E">
        <w:rPr>
          <w:lang w:val="sr-Latn-RS"/>
        </w:rPr>
        <w:t>handled</w:t>
      </w:r>
      <w:r w:rsidRPr="00D06E2E">
        <w:rPr>
          <w:lang w:val="sr-Latn-RS"/>
        </w:rPr>
        <w:t xml:space="preserve"> by the Protector of Citizens in 2023 referred to violations of economic and property, civil and political, and social and cultural rights. Apart from these violations, there are also present to a great extent violations of </w:t>
      </w:r>
      <w:r w:rsidR="0010405B" w:rsidRPr="00D06E2E">
        <w:rPr>
          <w:lang w:val="sr-Latn-RS"/>
        </w:rPr>
        <w:t xml:space="preserve">the principle of </w:t>
      </w:r>
      <w:r w:rsidRPr="00D06E2E">
        <w:rPr>
          <w:lang w:val="sr-Latn-RS"/>
        </w:rPr>
        <w:t>good administration, primarily of the right to efficient actions of the authority and right to obtaining decisions within legal deadline.</w:t>
      </w:r>
    </w:p>
    <w:p w14:paraId="07CAA7C4" w14:textId="67759FF2" w:rsidR="00345321" w:rsidRPr="00D06E2E" w:rsidRDefault="0010405B" w:rsidP="00542896">
      <w:pPr>
        <w:rPr>
          <w:lang w:val="sr-Latn-RS"/>
        </w:rPr>
      </w:pPr>
      <w:r w:rsidRPr="00D06E2E">
        <w:rPr>
          <w:lang w:val="sr-Latn-RS"/>
        </w:rPr>
        <w:t xml:space="preserve">The unfavorable </w:t>
      </w:r>
      <w:r w:rsidR="00542896" w:rsidRPr="00D06E2E">
        <w:rPr>
          <w:lang w:val="sr-Latn-RS"/>
        </w:rPr>
        <w:t>economic and social position is especially noticeable with the members</w:t>
      </w:r>
      <w:r w:rsidR="00FC208A" w:rsidRPr="00D06E2E">
        <w:rPr>
          <w:rStyle w:val="FootnoteReference"/>
          <w:lang w:val="sr-Latn-RS"/>
        </w:rPr>
        <w:footnoteReference w:id="2"/>
      </w:r>
      <w:r w:rsidR="00542896" w:rsidRPr="00D06E2E">
        <w:rPr>
          <w:lang w:val="sr-Latn-RS"/>
        </w:rPr>
        <w:t xml:space="preserve"> of vulnerable social groups so the Protector of Citizens paid special attention to the protection of children and youth, women, postpartum women, victims of obstetric violence, victims of domestic and </w:t>
      </w:r>
      <w:r w:rsidR="00053EF9" w:rsidRPr="00D06E2E">
        <w:rPr>
          <w:lang w:val="sr-Latn-RS"/>
        </w:rPr>
        <w:t xml:space="preserve">intimate </w:t>
      </w:r>
      <w:r w:rsidR="00542896" w:rsidRPr="00D06E2E">
        <w:rPr>
          <w:lang w:val="sr-Latn-RS"/>
        </w:rPr>
        <w:t>partner relations</w:t>
      </w:r>
      <w:r w:rsidR="00053EF9" w:rsidRPr="00D06E2E">
        <w:rPr>
          <w:lang w:val="sr-Latn-RS"/>
        </w:rPr>
        <w:t>hip</w:t>
      </w:r>
      <w:r w:rsidR="00542896" w:rsidRPr="00D06E2E">
        <w:rPr>
          <w:lang w:val="sr-Latn-RS"/>
        </w:rPr>
        <w:t xml:space="preserve"> violence, elderly persons, members of LGBTI population, members of national minorities, persons deprived of liberty as well as human trafficking victims. In 2023 the Protector of Citizens also had activities in the oversight of the actions of forced removal of foreigners from the Republic of Serbia. </w:t>
      </w:r>
      <w:r w:rsidR="00FC208A" w:rsidRPr="00D06E2E">
        <w:rPr>
          <w:lang w:val="sr-Latn-RS"/>
        </w:rPr>
        <w:t xml:space="preserve"> </w:t>
      </w:r>
    </w:p>
    <w:p w14:paraId="18DA285B" w14:textId="77777777" w:rsidR="0090113F" w:rsidRPr="00D06E2E" w:rsidRDefault="0090113F" w:rsidP="0090113F">
      <w:pPr>
        <w:spacing w:after="0"/>
        <w:rPr>
          <w:lang w:val="sr-Latn-RS"/>
        </w:rPr>
      </w:pPr>
    </w:p>
    <w:p w14:paraId="5B1289FD" w14:textId="28B9C38F" w:rsidR="00D91B8D" w:rsidRPr="00D06E2E" w:rsidRDefault="00304CEE" w:rsidP="00D91B8D">
      <w:pPr>
        <w:jc w:val="center"/>
        <w:rPr>
          <w:sz w:val="24"/>
          <w:szCs w:val="24"/>
          <w:lang w:val="sr-Latn-RS"/>
        </w:rPr>
      </w:pPr>
      <w:r w:rsidRPr="00D06E2E">
        <w:rPr>
          <w:sz w:val="24"/>
          <w:szCs w:val="24"/>
          <w:lang w:val="sr-Latn-RS"/>
        </w:rPr>
        <w:t>CHILD RIGHTS</w:t>
      </w:r>
      <w:r w:rsidR="00D91B8D" w:rsidRPr="00D06E2E">
        <w:rPr>
          <w:sz w:val="24"/>
          <w:szCs w:val="24"/>
          <w:lang w:val="sr-Latn-RS"/>
        </w:rPr>
        <w:t xml:space="preserve"> </w:t>
      </w:r>
    </w:p>
    <w:p w14:paraId="6DB3FB26" w14:textId="6A3A5642" w:rsidR="00835A08" w:rsidRPr="00D06E2E" w:rsidRDefault="00835A08" w:rsidP="00B132C8">
      <w:pPr>
        <w:rPr>
          <w:lang w:val="sr-Latn-RS"/>
        </w:rPr>
      </w:pPr>
      <w:r w:rsidRPr="00D06E2E">
        <w:rPr>
          <w:lang w:val="sr-Latn-RS"/>
        </w:rPr>
        <w:t xml:space="preserve">Even eight years after the expiration of the previous, the National action plan for children was not adopted and it represents a crucial strategic document for defining unique policy of the protection of child rights and improvement of their living conditions, which would enable systematic solution of problems important for the improvement of the position of children in the Republic of Serbia. Competent ministries failed to harmonize procedures from specific protocols of protecting children against violence and General protocol for the protection of children against violence. Furthermore, there was no progress in the amendments to the Family law, which would improve the position of children in the domain of family and legal protection and contribute to the prevention of child marriages. </w:t>
      </w:r>
    </w:p>
    <w:p w14:paraId="01DABF83" w14:textId="51DEA319" w:rsidR="00B132C8" w:rsidRPr="00D06E2E" w:rsidRDefault="004F229E" w:rsidP="00B132C8">
      <w:pPr>
        <w:rPr>
          <w:lang w:val="sr-Latn-RS"/>
        </w:rPr>
      </w:pPr>
      <w:r w:rsidRPr="00D06E2E">
        <w:rPr>
          <w:lang w:val="sr-Latn-RS"/>
        </w:rPr>
        <w:t>The number of complaints sent to the Protector of Citizens in which parents express dissatisfaction with the actions of educational institutions to violence against students increased after the tragic incident in “Vladislav Ribnikar” elementary school in Belgrade. This event showed that some schools failed to act in compliance with the Instruction for the execution of acts on measures of protection and safety of children and students issued by the Ministry of Education in May 2022 because they still organized on-call assignments of students. Upon the initiative of the Protector of Citizens, the Ministry of Education sent the act to elementary and high schools in the Republic of Serbia highlighting the need for passing general acts which would be in compliance with the Instruction and provide safe staying of students at schools.</w:t>
      </w:r>
    </w:p>
    <w:p w14:paraId="3FF1ADE0" w14:textId="4FDEF2F3" w:rsidR="00B132C8" w:rsidRPr="00D06E2E" w:rsidRDefault="001E6D21" w:rsidP="00B132C8">
      <w:pPr>
        <w:rPr>
          <w:lang w:val="sr-Latn-RS"/>
        </w:rPr>
      </w:pPr>
      <w:r w:rsidRPr="00D06E2E">
        <w:rPr>
          <w:lang w:val="sr-Latn-RS"/>
        </w:rPr>
        <w:t xml:space="preserve">The adoption of measures such as the increase of the number of school policemen at all schools is an important step in the fight against violence, however, the insufficient number of compentent associates at educational institution shall remain a problem to efficient implementation of inclusive education as well as prevention of violence and discrimination. </w:t>
      </w:r>
      <w:r w:rsidRPr="00D06E2E">
        <w:rPr>
          <w:lang w:val="sr-Latn-RS"/>
        </w:rPr>
        <w:lastRenderedPageBreak/>
        <w:t xml:space="preserve">The situation with the insufficient number of professional staff at social welfare centers did not change significantly, which was confirmed in complaints of employees at the City center for social welfare in Belgrade for the assistance due to inadequate work conditions, which endangers the efficiency of the social welfare system, especially for the most vulnerable groups, including children. </w:t>
      </w:r>
    </w:p>
    <w:p w14:paraId="45CDF68C" w14:textId="439889A4" w:rsidR="001E6D21" w:rsidRPr="00D06E2E" w:rsidRDefault="001E6D21" w:rsidP="00B132C8">
      <w:pPr>
        <w:spacing w:after="0"/>
        <w:rPr>
          <w:lang w:val="sr-Latn-RS"/>
        </w:rPr>
      </w:pPr>
      <w:r w:rsidRPr="00D06E2E">
        <w:rPr>
          <w:lang w:val="sr-Latn-RS"/>
        </w:rPr>
        <w:t>In the last quarter of 2023 there were vastly more complaints sent to the Protector of Citizens by parents who failed to use the right to monetary assistance for children of up to 16 years of age, which is paid out pursuant to the Law on temporary register of mothers and other persons receiving the monetary assistance, which additionally emphasizes the need for faster answers and adequate solutions to problems in the area of the protection of child rights.</w:t>
      </w:r>
    </w:p>
    <w:p w14:paraId="7BC4DBD4" w14:textId="77777777" w:rsidR="00D91B8D" w:rsidRPr="00D06E2E" w:rsidRDefault="00D91B8D" w:rsidP="00B132C8">
      <w:pPr>
        <w:spacing w:after="0"/>
        <w:rPr>
          <w:lang w:val="sr-Latn-RS"/>
        </w:rPr>
      </w:pPr>
    </w:p>
    <w:p w14:paraId="4A3253FE" w14:textId="4D9BAD47" w:rsidR="00D91B8D" w:rsidRPr="00D06E2E" w:rsidRDefault="00304CEE" w:rsidP="00D91B8D">
      <w:pPr>
        <w:jc w:val="center"/>
        <w:rPr>
          <w:sz w:val="24"/>
          <w:szCs w:val="24"/>
          <w:lang w:val="sr-Latn-RS"/>
        </w:rPr>
      </w:pPr>
      <w:r w:rsidRPr="00D06E2E">
        <w:rPr>
          <w:sz w:val="24"/>
          <w:szCs w:val="24"/>
          <w:lang w:val="sr-Latn-RS"/>
        </w:rPr>
        <w:t>GENDER EQUALITY</w:t>
      </w:r>
      <w:r w:rsidR="00D91B8D" w:rsidRPr="00D06E2E">
        <w:rPr>
          <w:sz w:val="24"/>
          <w:szCs w:val="24"/>
          <w:lang w:val="sr-Latn-RS"/>
        </w:rPr>
        <w:t xml:space="preserve"> </w:t>
      </w:r>
    </w:p>
    <w:p w14:paraId="0DCA1D0C" w14:textId="302533EB" w:rsidR="00B84448" w:rsidRPr="00D06E2E" w:rsidRDefault="00607CA1" w:rsidP="00B84448">
      <w:pPr>
        <w:rPr>
          <w:lang w:val="sr-Latn-RS"/>
        </w:rPr>
      </w:pPr>
      <w:r w:rsidRPr="00D06E2E">
        <w:rPr>
          <w:lang w:val="sr-Latn-RS"/>
        </w:rPr>
        <w:t>The enforcement of the provison of the Law on Gender Equality</w:t>
      </w:r>
      <w:r w:rsidR="00B84448" w:rsidRPr="00D06E2E">
        <w:rPr>
          <w:rStyle w:val="FootnoteReference"/>
          <w:lang w:val="sr-Latn-RS"/>
        </w:rPr>
        <w:footnoteReference w:id="3"/>
      </w:r>
      <w:r w:rsidRPr="00D06E2E">
        <w:rPr>
          <w:lang w:val="sr-Latn-RS"/>
        </w:rPr>
        <w:t xml:space="preserve"> which prescribes that an unemployed person who does not have health insurance on any other basis shall be entitled to health insurance on the basis of unpaid work (at home – maintaining the household, taking care of raising children, taking case of other family members, work at agricultural property, etc.) is still not enabled</w:t>
      </w:r>
      <w:r w:rsidR="00B84448" w:rsidRPr="00D06E2E">
        <w:rPr>
          <w:lang w:val="sr-Latn-RS"/>
        </w:rPr>
        <w:t xml:space="preserve"> </w:t>
      </w:r>
      <w:r w:rsidRPr="00D06E2E">
        <w:rPr>
          <w:lang w:val="sr-Latn-RS"/>
        </w:rPr>
        <w:t>which is why the Protector of Citizens issued the Opinion</w:t>
      </w:r>
      <w:r w:rsidR="0037241E" w:rsidRPr="00D06E2E">
        <w:rPr>
          <w:rStyle w:val="FootnoteReference"/>
          <w:lang w:val="sr-Latn-RS"/>
        </w:rPr>
        <w:footnoteReference w:id="4"/>
      </w:r>
      <w:r w:rsidR="00B84448" w:rsidRPr="00D06E2E">
        <w:rPr>
          <w:lang w:val="sr-Latn-RS"/>
        </w:rPr>
        <w:t xml:space="preserve"> </w:t>
      </w:r>
      <w:r w:rsidRPr="00D06E2E">
        <w:rPr>
          <w:lang w:val="sr-Latn-RS"/>
        </w:rPr>
        <w:t>to competent authorities</w:t>
      </w:r>
      <w:r w:rsidR="00B84448" w:rsidRPr="00D06E2E">
        <w:rPr>
          <w:lang w:val="sr-Latn-RS"/>
        </w:rPr>
        <w:t xml:space="preserve">. </w:t>
      </w:r>
      <w:r w:rsidR="00A04A0C" w:rsidRPr="00D06E2E">
        <w:rPr>
          <w:lang w:val="sr-Latn-RS"/>
        </w:rPr>
        <w:t xml:space="preserve">Particularly elderly women at rural areas who </w:t>
      </w:r>
      <w:r w:rsidR="00C12825" w:rsidRPr="00D06E2E">
        <w:rPr>
          <w:lang w:val="sr-Latn-RS"/>
        </w:rPr>
        <w:t xml:space="preserve">have </w:t>
      </w:r>
      <w:r w:rsidR="00A04A0C" w:rsidRPr="00D06E2E">
        <w:rPr>
          <w:lang w:val="sr-Latn-RS"/>
        </w:rPr>
        <w:t xml:space="preserve">spent their entire lives engaged at unpaid jobs, but most frequently </w:t>
      </w:r>
      <w:r w:rsidR="00C12825" w:rsidRPr="00D06E2E">
        <w:rPr>
          <w:lang w:val="sr-Latn-RS"/>
        </w:rPr>
        <w:t>have not had</w:t>
      </w:r>
      <w:r w:rsidR="00A04A0C" w:rsidRPr="00D06E2E">
        <w:rPr>
          <w:lang w:val="sr-Latn-RS"/>
        </w:rPr>
        <w:t xml:space="preserve"> any income since they are rarely heads of agricultural households and taxes and contributions </w:t>
      </w:r>
      <w:r w:rsidR="00C12825" w:rsidRPr="00D06E2E">
        <w:rPr>
          <w:lang w:val="sr-Latn-RS"/>
        </w:rPr>
        <w:t>have</w:t>
      </w:r>
      <w:r w:rsidR="00A04A0C" w:rsidRPr="00D06E2E">
        <w:rPr>
          <w:lang w:val="sr-Latn-RS"/>
        </w:rPr>
        <w:t xml:space="preserve"> not</w:t>
      </w:r>
      <w:r w:rsidR="00C12825" w:rsidRPr="00D06E2E">
        <w:rPr>
          <w:lang w:val="sr-Latn-RS"/>
        </w:rPr>
        <w:t xml:space="preserve"> been</w:t>
      </w:r>
      <w:r w:rsidR="00A04A0C" w:rsidRPr="00D06E2E">
        <w:rPr>
          <w:lang w:val="sr-Latn-RS"/>
        </w:rPr>
        <w:t xml:space="preserve"> paid for them </w:t>
      </w:r>
      <w:r w:rsidR="00C12825" w:rsidRPr="00D06E2E">
        <w:rPr>
          <w:lang w:val="sr-Latn-RS"/>
        </w:rPr>
        <w:t xml:space="preserve">so as </w:t>
      </w:r>
      <w:r w:rsidR="00A04A0C" w:rsidRPr="00D06E2E">
        <w:rPr>
          <w:lang w:val="sr-Latn-RS"/>
        </w:rPr>
        <w:t xml:space="preserve">to exercise the right to agricultural pension are economically endangered due to unpaid household work. </w:t>
      </w:r>
      <w:r w:rsidR="00B84448" w:rsidRPr="00D06E2E">
        <w:rPr>
          <w:lang w:val="sr-Latn-RS"/>
        </w:rPr>
        <w:t xml:space="preserve"> </w:t>
      </w:r>
    </w:p>
    <w:p w14:paraId="7F5BA9F3" w14:textId="5B5F8DCB" w:rsidR="00C12825" w:rsidRPr="00D06E2E" w:rsidRDefault="00C12825" w:rsidP="00B84448">
      <w:pPr>
        <w:rPr>
          <w:lang w:val="sr-Latn-RS"/>
        </w:rPr>
      </w:pPr>
      <w:r w:rsidRPr="00D06E2E">
        <w:rPr>
          <w:lang w:val="sr-Latn-RS"/>
        </w:rPr>
        <w:t>This is of particular importance for economic empowerment of women, especially those elderly at rural areas who devoted their lives to unpaid jobs without acquiring direct income.</w:t>
      </w:r>
    </w:p>
    <w:p w14:paraId="44172EE8" w14:textId="2F92782C" w:rsidR="00B84448" w:rsidRPr="00D06E2E" w:rsidRDefault="00053EF9" w:rsidP="00B84448">
      <w:pPr>
        <w:rPr>
          <w:lang w:val="sr-Latn-RS"/>
        </w:rPr>
      </w:pPr>
      <w:r w:rsidRPr="00D06E2E">
        <w:rPr>
          <w:lang w:val="sr-Latn-RS"/>
        </w:rPr>
        <w:t>The National Strategy for Prevention and Elimination of Violence against Women in Family and in Intimate Partner Relationship</w:t>
      </w:r>
      <w:r w:rsidR="00D72A22" w:rsidRPr="00D06E2E">
        <w:rPr>
          <w:rStyle w:val="FootnoteReference"/>
          <w:lang w:val="sr-Latn-RS"/>
        </w:rPr>
        <w:footnoteReference w:id="5"/>
      </w:r>
      <w:r w:rsidR="00B84448" w:rsidRPr="00D06E2E">
        <w:rPr>
          <w:lang w:val="sr-Latn-RS"/>
        </w:rPr>
        <w:t xml:space="preserve">, </w:t>
      </w:r>
      <w:r w:rsidRPr="00D06E2E">
        <w:rPr>
          <w:lang w:val="sr-Latn-RS"/>
        </w:rPr>
        <w:t>adopted in</w:t>
      </w:r>
      <w:r w:rsidR="00B84448" w:rsidRPr="00D06E2E">
        <w:rPr>
          <w:lang w:val="sr-Latn-RS"/>
        </w:rPr>
        <w:t xml:space="preserve"> 202</w:t>
      </w:r>
      <w:r w:rsidRPr="00D06E2E">
        <w:rPr>
          <w:lang w:val="sr-Latn-RS"/>
        </w:rPr>
        <w:t>1</w:t>
      </w:r>
      <w:r w:rsidR="00B84448" w:rsidRPr="00D06E2E">
        <w:rPr>
          <w:lang w:val="sr-Latn-RS"/>
        </w:rPr>
        <w:t>,</w:t>
      </w:r>
      <w:r w:rsidRPr="00D06E2E">
        <w:rPr>
          <w:lang w:val="sr-Latn-RS"/>
        </w:rPr>
        <w:t xml:space="preserve"> is an important framework for further actions. Even though the Action plan for its implementation</w:t>
      </w:r>
      <w:r w:rsidR="00B810D4" w:rsidRPr="00D06E2E">
        <w:rPr>
          <w:rStyle w:val="FootnoteReference"/>
          <w:lang w:val="sr-Latn-RS"/>
        </w:rPr>
        <w:footnoteReference w:id="6"/>
      </w:r>
      <w:r w:rsidRPr="00D06E2E">
        <w:rPr>
          <w:lang w:val="sr-Latn-RS"/>
        </w:rPr>
        <w:t xml:space="preserve"> still has not been adopted</w:t>
      </w:r>
      <w:r w:rsidR="00B84448" w:rsidRPr="00D06E2E">
        <w:rPr>
          <w:lang w:val="sr-Latn-RS"/>
        </w:rPr>
        <w:t>,</w:t>
      </w:r>
      <w:r w:rsidRPr="00D06E2E">
        <w:rPr>
          <w:lang w:val="sr-Latn-RS"/>
        </w:rPr>
        <w:t xml:space="preserve"> there is a clear intention and recognized nned for its quick adoption with the aim of an efficient fight against this problem.</w:t>
      </w:r>
      <w:r w:rsidR="00B84448" w:rsidRPr="00D06E2E">
        <w:rPr>
          <w:lang w:val="sr-Latn-RS"/>
        </w:rPr>
        <w:t xml:space="preserve"> </w:t>
      </w:r>
    </w:p>
    <w:p w14:paraId="486F4FD9" w14:textId="340385A3" w:rsidR="00B84448" w:rsidRPr="00D06E2E" w:rsidRDefault="00053EF9" w:rsidP="00B84448">
      <w:pPr>
        <w:rPr>
          <w:lang w:val="sr-Latn-RS"/>
        </w:rPr>
      </w:pPr>
      <w:r w:rsidRPr="00D06E2E">
        <w:rPr>
          <w:lang w:val="sr-Latn-RS"/>
        </w:rPr>
        <w:t>The Protector of Citizens recognized also the need</w:t>
      </w:r>
      <w:r w:rsidR="00C15021" w:rsidRPr="00D06E2E">
        <w:rPr>
          <w:rStyle w:val="FootnoteReference"/>
          <w:lang w:val="sr-Latn-RS"/>
        </w:rPr>
        <w:footnoteReference w:id="7"/>
      </w:r>
      <w:r w:rsidR="00B84448" w:rsidRPr="00D06E2E">
        <w:rPr>
          <w:lang w:val="sr-Latn-RS"/>
        </w:rPr>
        <w:t xml:space="preserve"> </w:t>
      </w:r>
      <w:r w:rsidRPr="00D06E2E">
        <w:rPr>
          <w:lang w:val="sr-Latn-RS"/>
        </w:rPr>
        <w:t xml:space="preserve">for further </w:t>
      </w:r>
      <w:r w:rsidR="00C042E7" w:rsidRPr="00D06E2E">
        <w:rPr>
          <w:lang w:val="sr-Latn-RS"/>
        </w:rPr>
        <w:t>harmonization of the Criminal Code</w:t>
      </w:r>
      <w:r w:rsidR="00C15021" w:rsidRPr="00D06E2E">
        <w:rPr>
          <w:rStyle w:val="FootnoteReference"/>
          <w:lang w:val="sr-Latn-RS"/>
        </w:rPr>
        <w:footnoteReference w:id="8"/>
      </w:r>
      <w:r w:rsidR="00C042E7" w:rsidRPr="00D06E2E">
        <w:rPr>
          <w:lang w:val="sr-Latn-RS"/>
        </w:rPr>
        <w:t xml:space="preserve"> and Istanbul Convention, especially in the definition of criminal acts against sexual freedom, which will contribute to strengthening of legal protection of women against all forms of violence.</w:t>
      </w:r>
      <w:r w:rsidR="00B84448" w:rsidRPr="00D06E2E">
        <w:rPr>
          <w:lang w:val="sr-Latn-RS"/>
        </w:rPr>
        <w:t xml:space="preserve"> </w:t>
      </w:r>
    </w:p>
    <w:p w14:paraId="235B23C0" w14:textId="5CFECB12" w:rsidR="00E5102F" w:rsidRPr="00D06E2E" w:rsidRDefault="00E5102F" w:rsidP="00B84448">
      <w:pPr>
        <w:rPr>
          <w:lang w:val="sr-Latn-RS"/>
        </w:rPr>
      </w:pPr>
      <w:r w:rsidRPr="00D06E2E">
        <w:rPr>
          <w:lang w:val="sr-Latn-RS"/>
        </w:rPr>
        <w:t xml:space="preserve">The amendments to the Family Law which will improve the protection of victims of domestic violence and enable better harmonization with international standards including Istanbul </w:t>
      </w:r>
      <w:r w:rsidRPr="00D06E2E">
        <w:rPr>
          <w:lang w:val="sr-Latn-RS"/>
        </w:rPr>
        <w:lastRenderedPageBreak/>
        <w:t xml:space="preserve">Convention and recommendations of the Expert group for combating violence against women and domestic violence (GREVIO) were recommended. </w:t>
      </w:r>
    </w:p>
    <w:p w14:paraId="36CBE872" w14:textId="108F34BF" w:rsidR="00B84448" w:rsidRPr="00D06E2E" w:rsidRDefault="00E5102F" w:rsidP="00B84448">
      <w:pPr>
        <w:rPr>
          <w:lang w:val="sr-Latn-RS"/>
        </w:rPr>
      </w:pPr>
      <w:r w:rsidRPr="00D06E2E">
        <w:rPr>
          <w:lang w:val="sr-Latn-RS"/>
        </w:rPr>
        <w:t>Upon the initiative of the Protector of Citizens, the provisions of the Law on Financial Support to Families with Children</w:t>
      </w:r>
      <w:r w:rsidR="00D72A22" w:rsidRPr="00D06E2E">
        <w:rPr>
          <w:rStyle w:val="FootnoteReference"/>
          <w:lang w:val="sr-Latn-RS"/>
        </w:rPr>
        <w:footnoteReference w:id="9"/>
      </w:r>
      <w:r w:rsidRPr="00D06E2E">
        <w:rPr>
          <w:lang w:val="sr-Latn-RS"/>
        </w:rPr>
        <w:t xml:space="preserve"> were amended so as to provide that all women, including female entrepreneurs</w:t>
      </w:r>
      <w:r w:rsidR="00B84448" w:rsidRPr="00D06E2E">
        <w:rPr>
          <w:lang w:val="sr-Latn-RS"/>
        </w:rPr>
        <w:t>,</w:t>
      </w:r>
      <w:r w:rsidRPr="00D06E2E">
        <w:rPr>
          <w:lang w:val="sr-Latn-RS"/>
        </w:rPr>
        <w:t xml:space="preserve"> farmers</w:t>
      </w:r>
      <w:r w:rsidR="00B84448" w:rsidRPr="00D06E2E">
        <w:rPr>
          <w:lang w:val="sr-Latn-RS"/>
        </w:rPr>
        <w:t xml:space="preserve"> </w:t>
      </w:r>
      <w:r w:rsidRPr="00D06E2E">
        <w:rPr>
          <w:lang w:val="sr-Latn-RS"/>
        </w:rPr>
        <w:t xml:space="preserve">and those who perform temporary jobs are equal to employed women in the exercise of the right to maternity leave and child care leave. </w:t>
      </w:r>
    </w:p>
    <w:p w14:paraId="47A13CA6" w14:textId="52B8A1D5" w:rsidR="00B84448" w:rsidRPr="00D06E2E" w:rsidRDefault="00E5102F" w:rsidP="00B84448">
      <w:pPr>
        <w:rPr>
          <w:lang w:val="sr-Latn-RS"/>
        </w:rPr>
      </w:pPr>
      <w:r w:rsidRPr="00D06E2E">
        <w:rPr>
          <w:lang w:val="sr-Latn-RS"/>
        </w:rPr>
        <w:t>The Protector of Citizens successfully suggested</w:t>
      </w:r>
      <w:r w:rsidR="00D72A22" w:rsidRPr="00D06E2E">
        <w:rPr>
          <w:rStyle w:val="FootnoteReference"/>
          <w:lang w:val="sr-Latn-RS"/>
        </w:rPr>
        <w:footnoteReference w:id="10"/>
      </w:r>
      <w:r w:rsidR="00B84448" w:rsidRPr="00D06E2E">
        <w:rPr>
          <w:lang w:val="sr-Latn-RS"/>
        </w:rPr>
        <w:t xml:space="preserve"> </w:t>
      </w:r>
      <w:r w:rsidRPr="00D06E2E">
        <w:rPr>
          <w:lang w:val="sr-Latn-RS"/>
        </w:rPr>
        <w:t xml:space="preserve">amendments to the Regulation on Granting Subsidies to Mothers for Purchasing </w:t>
      </w:r>
      <w:r w:rsidR="00BD49DC" w:rsidRPr="00D06E2E">
        <w:rPr>
          <w:lang w:val="sr-Latn-RS"/>
        </w:rPr>
        <w:t>First Real Estate</w:t>
      </w:r>
      <w:r w:rsidR="0037241E" w:rsidRPr="00D06E2E">
        <w:rPr>
          <w:rStyle w:val="FootnoteReference"/>
          <w:lang w:val="sr-Latn-RS"/>
        </w:rPr>
        <w:footnoteReference w:id="11"/>
      </w:r>
      <w:r w:rsidR="00B84448" w:rsidRPr="00D06E2E">
        <w:rPr>
          <w:lang w:val="sr-Latn-RS"/>
        </w:rPr>
        <w:t xml:space="preserve"> </w:t>
      </w:r>
      <w:r w:rsidR="00BD49DC" w:rsidRPr="00D06E2E">
        <w:rPr>
          <w:lang w:val="sr-Latn-RS"/>
        </w:rPr>
        <w:t>which shortened the deadlines for processing of the requests and payout of approved funds and increased the accessibility of this right.</w:t>
      </w:r>
      <w:r w:rsidR="00B84448" w:rsidRPr="00D06E2E">
        <w:rPr>
          <w:lang w:val="sr-Latn-RS"/>
        </w:rPr>
        <w:t xml:space="preserve"> </w:t>
      </w:r>
    </w:p>
    <w:p w14:paraId="11B7CB71" w14:textId="742270D3" w:rsidR="00BD49DC" w:rsidRPr="00D06E2E" w:rsidRDefault="00BD49DC" w:rsidP="00BD49DC">
      <w:pPr>
        <w:spacing w:after="0"/>
        <w:rPr>
          <w:lang w:val="sr-Latn-RS"/>
        </w:rPr>
      </w:pPr>
      <w:r w:rsidRPr="00D06E2E">
        <w:rPr>
          <w:lang w:val="sr-Latn-RS"/>
        </w:rPr>
        <w:t>Through the engagement on the improvement of the procedures of giving birth and prevention of domestic and intimate partner relationship violence, the Protector of Citizens issued recoomendations</w:t>
      </w:r>
      <w:r w:rsidR="00C15021" w:rsidRPr="00D06E2E">
        <w:rPr>
          <w:rStyle w:val="FootnoteReference"/>
          <w:lang w:val="sr-Latn-RS"/>
        </w:rPr>
        <w:footnoteReference w:id="12"/>
      </w:r>
      <w:r w:rsidR="00B84448" w:rsidRPr="00D06E2E">
        <w:rPr>
          <w:lang w:val="sr-Latn-RS"/>
        </w:rPr>
        <w:t xml:space="preserve"> </w:t>
      </w:r>
      <w:r w:rsidRPr="00D06E2E">
        <w:rPr>
          <w:lang w:val="sr-Latn-RS"/>
        </w:rPr>
        <w:t>to competent authorities and proved its devotion to promotion of the position of women and more efficient protection against violence.</w:t>
      </w:r>
      <w:r w:rsidR="00B84448" w:rsidRPr="00D06E2E">
        <w:rPr>
          <w:lang w:val="sr-Latn-RS"/>
        </w:rPr>
        <w:t xml:space="preserve"> </w:t>
      </w:r>
    </w:p>
    <w:p w14:paraId="0FA080FA" w14:textId="0D4B76B0" w:rsidR="00B84448" w:rsidRPr="00D06E2E" w:rsidRDefault="00B84448" w:rsidP="00C15021">
      <w:pPr>
        <w:spacing w:after="0"/>
        <w:rPr>
          <w:lang w:val="sr-Latn-RS"/>
        </w:rPr>
      </w:pPr>
    </w:p>
    <w:p w14:paraId="051CBF0C" w14:textId="77777777" w:rsidR="00C15021" w:rsidRPr="00D06E2E" w:rsidRDefault="00C15021" w:rsidP="00C15021">
      <w:pPr>
        <w:spacing w:after="0"/>
        <w:rPr>
          <w:lang w:val="sr-Latn-RS"/>
        </w:rPr>
      </w:pPr>
    </w:p>
    <w:p w14:paraId="24DEF2CA" w14:textId="3B8D4890" w:rsidR="00D91B8D" w:rsidRPr="00D06E2E" w:rsidRDefault="00304CEE" w:rsidP="00D91B8D">
      <w:pPr>
        <w:jc w:val="center"/>
        <w:rPr>
          <w:sz w:val="24"/>
          <w:szCs w:val="24"/>
          <w:lang w:val="sr-Latn-RS"/>
        </w:rPr>
      </w:pPr>
      <w:r w:rsidRPr="00D06E2E">
        <w:rPr>
          <w:sz w:val="24"/>
          <w:szCs w:val="24"/>
          <w:lang w:val="sr-Latn-RS"/>
        </w:rPr>
        <w:t xml:space="preserve">RIGHTS OF LGBTI PERSONS </w:t>
      </w:r>
    </w:p>
    <w:p w14:paraId="43BC51A9" w14:textId="15D0B1AF" w:rsidR="00835A08" w:rsidRPr="00D06E2E" w:rsidRDefault="00835A08" w:rsidP="00B56C83">
      <w:pPr>
        <w:rPr>
          <w:lang w:val="sr-Latn-RS"/>
        </w:rPr>
      </w:pPr>
      <w:r w:rsidRPr="00D06E2E">
        <w:rPr>
          <w:lang w:val="sr-Latn-RS"/>
        </w:rPr>
        <w:t>The Pride, held on September 9</w:t>
      </w:r>
      <w:r w:rsidRPr="00D06E2E">
        <w:rPr>
          <w:vertAlign w:val="superscript"/>
          <w:lang w:val="sr-Latn-RS"/>
        </w:rPr>
        <w:t>th</w:t>
      </w:r>
      <w:r w:rsidRPr="00D06E2E">
        <w:rPr>
          <w:lang w:val="sr-Latn-RS"/>
        </w:rPr>
        <w:t xml:space="preserve"> in Belgrade, ended peacefully and without incidents with major presence of police forces which provided the security of participants. Despite the presence of a smaller group of people, which was prevented from approaching the participants by police cordon, there were no major protests against organization of the Pride. This event sent an important message on the need for further progress in the exercise of the rights of LGBTI community under the motto “We are not even close”.</w:t>
      </w:r>
    </w:p>
    <w:p w14:paraId="37B90723" w14:textId="4E887871" w:rsidR="00B56C83" w:rsidRPr="00D06E2E" w:rsidRDefault="0034753D" w:rsidP="00B56C83">
      <w:pPr>
        <w:rPr>
          <w:lang w:val="sr-Latn-RS"/>
        </w:rPr>
      </w:pPr>
      <w:r w:rsidRPr="00D06E2E">
        <w:rPr>
          <w:lang w:val="sr-Latn-RS"/>
        </w:rPr>
        <w:t>Even thought there was some progress made in raising awareness and visibility of the rights of LGBTI persons, it is required to continue the work on the adoption of the laws which would regulate same-gender communities and legal consequences of the adjustment of the sex to gender identity, which would improve the position of trans and intersex persons in the society. The recommendations of the Protector of Citizens related to these issues, presented in regular annual reports and opinions</w:t>
      </w:r>
      <w:r w:rsidR="00B56C83" w:rsidRPr="00D06E2E">
        <w:rPr>
          <w:rStyle w:val="FootnoteReference"/>
          <w:lang w:val="sr-Latn-RS"/>
        </w:rPr>
        <w:footnoteReference w:id="13"/>
      </w:r>
      <w:r w:rsidR="00B56C83" w:rsidRPr="00D06E2E">
        <w:rPr>
          <w:lang w:val="sr-Latn-RS"/>
        </w:rPr>
        <w:t xml:space="preserve">, </w:t>
      </w:r>
      <w:r w:rsidRPr="00D06E2E">
        <w:rPr>
          <w:lang w:val="sr-Latn-RS"/>
        </w:rPr>
        <w:t>still wait for the realization.</w:t>
      </w:r>
      <w:r w:rsidR="00B56C83" w:rsidRPr="00D06E2E">
        <w:rPr>
          <w:lang w:val="sr-Latn-RS"/>
        </w:rPr>
        <w:t xml:space="preserve"> </w:t>
      </w:r>
    </w:p>
    <w:p w14:paraId="5053A667" w14:textId="6486290F" w:rsidR="00B56C83" w:rsidRPr="00D06E2E" w:rsidRDefault="0034753D" w:rsidP="00B56C83">
      <w:pPr>
        <w:rPr>
          <w:lang w:val="sr-Latn-RS"/>
        </w:rPr>
      </w:pPr>
      <w:r w:rsidRPr="00D06E2E">
        <w:rPr>
          <w:lang w:val="sr-Latn-RS"/>
        </w:rPr>
        <w:t xml:space="preserve">Moreover, amendments to the Criminal Code which would include sexual orientation and gender identity in the incriminated actions of the execution of these criminal acts with the aim </w:t>
      </w:r>
      <w:r w:rsidRPr="00D06E2E">
        <w:rPr>
          <w:lang w:val="sr-Latn-RS"/>
        </w:rPr>
        <w:lastRenderedPageBreak/>
        <w:t>of the prevention of racism and intolerance as well as amendments to the Law on Police</w:t>
      </w:r>
      <w:r w:rsidR="00B56C83" w:rsidRPr="00D06E2E">
        <w:rPr>
          <w:rStyle w:val="FootnoteReference"/>
          <w:lang w:val="sr-Latn-RS"/>
        </w:rPr>
        <w:footnoteReference w:id="14"/>
      </w:r>
      <w:r w:rsidRPr="00D06E2E">
        <w:rPr>
          <w:lang w:val="sr-Latn-RS"/>
        </w:rPr>
        <w:t xml:space="preserve"> for the purpose of explicit prohibition of discrimination on the basis of sexual orientation shall remain important steps which should be taken.</w:t>
      </w:r>
    </w:p>
    <w:p w14:paraId="34238B58" w14:textId="24D18C7C" w:rsidR="00B56C83" w:rsidRPr="00D06E2E" w:rsidRDefault="0034753D" w:rsidP="00B56C83">
      <w:pPr>
        <w:spacing w:after="0"/>
        <w:rPr>
          <w:lang w:val="sr-Latn-RS"/>
        </w:rPr>
      </w:pPr>
      <w:r w:rsidRPr="00D06E2E">
        <w:rPr>
          <w:lang w:val="sr-Latn-RS"/>
        </w:rPr>
        <w:t>The improvement of the health care position of trans persons, pursuant to recommendations of the Protector of Citizens</w:t>
      </w:r>
      <w:r w:rsidR="00B56C83" w:rsidRPr="00D06E2E">
        <w:rPr>
          <w:rStyle w:val="FootnoteReference"/>
          <w:lang w:val="sr-Latn-RS"/>
        </w:rPr>
        <w:footnoteReference w:id="15"/>
      </w:r>
      <w:r w:rsidRPr="00D06E2E">
        <w:rPr>
          <w:lang w:val="sr-Latn-RS"/>
        </w:rPr>
        <w:t xml:space="preserve"> and the review of the International Classification of Diseases the World Health Organization in which the transgender identity was removed from the list of mental illnesses, is also crucial for the improvement of their position and access to health care without stigmatization</w:t>
      </w:r>
      <w:r w:rsidR="00B56C83" w:rsidRPr="00D06E2E">
        <w:rPr>
          <w:lang w:val="sr-Latn-RS"/>
        </w:rPr>
        <w:t>.</w:t>
      </w:r>
    </w:p>
    <w:p w14:paraId="0985AC2F" w14:textId="77777777" w:rsidR="00B56C83" w:rsidRPr="00D06E2E" w:rsidRDefault="00B56C83" w:rsidP="00B56C83">
      <w:pPr>
        <w:pStyle w:val="Numeracija1"/>
        <w:numPr>
          <w:ilvl w:val="0"/>
          <w:numId w:val="0"/>
        </w:numPr>
        <w:tabs>
          <w:tab w:val="left" w:pos="284"/>
        </w:tabs>
        <w:spacing w:after="0"/>
        <w:rPr>
          <w:lang w:val="sr-Latn-RS"/>
        </w:rPr>
      </w:pPr>
    </w:p>
    <w:p w14:paraId="43C7F9CC" w14:textId="178D05DC" w:rsidR="00D91B8D" w:rsidRPr="00D06E2E" w:rsidRDefault="00304CEE" w:rsidP="00D91B8D">
      <w:pPr>
        <w:jc w:val="center"/>
        <w:rPr>
          <w:sz w:val="24"/>
          <w:szCs w:val="24"/>
          <w:lang w:val="sr-Latn-RS"/>
        </w:rPr>
      </w:pPr>
      <w:r w:rsidRPr="00D06E2E">
        <w:rPr>
          <w:sz w:val="24"/>
          <w:szCs w:val="24"/>
          <w:lang w:val="sr-Latn-RS"/>
        </w:rPr>
        <w:t>RIG</w:t>
      </w:r>
      <w:r w:rsidR="00477BC8" w:rsidRPr="00D06E2E">
        <w:rPr>
          <w:sz w:val="24"/>
          <w:szCs w:val="24"/>
          <w:lang w:val="sr-Latn-RS"/>
        </w:rPr>
        <w:t>HTS OF PERSONS WITH DISABILITIES</w:t>
      </w:r>
    </w:p>
    <w:p w14:paraId="6FFBE353" w14:textId="464D87D7" w:rsidR="00836722" w:rsidRPr="00D06E2E" w:rsidRDefault="00836722" w:rsidP="002938A9">
      <w:pPr>
        <w:pStyle w:val="BodyAA"/>
        <w:spacing w:after="120"/>
        <w:jc w:val="both"/>
        <w:rPr>
          <w:rFonts w:ascii="Book Antiqua" w:hAnsi="Book Antiqua"/>
          <w:bCs/>
          <w:color w:val="auto"/>
          <w:sz w:val="22"/>
          <w:szCs w:val="22"/>
          <w:lang w:val="sr-Latn-RS"/>
        </w:rPr>
      </w:pPr>
      <w:r w:rsidRPr="00D06E2E">
        <w:rPr>
          <w:rFonts w:ascii="Book Antiqua" w:hAnsi="Book Antiqua"/>
          <w:bCs/>
          <w:color w:val="auto"/>
          <w:sz w:val="22"/>
          <w:szCs w:val="22"/>
          <w:lang w:val="sr-Latn-RS"/>
        </w:rPr>
        <w:t>The Action Plan for the implementation of the Strategy for the improvement of the position of persons with disabilities in the Republic of Serbia for the period from 2020 to 2024, in the period from 2021 to 2022</w:t>
      </w:r>
      <w:r w:rsidR="002938A9" w:rsidRPr="00D06E2E">
        <w:rPr>
          <w:rStyle w:val="FootnoteReference"/>
          <w:color w:val="auto"/>
          <w:sz w:val="22"/>
          <w:szCs w:val="22"/>
          <w:u w:color="FF0000"/>
          <w:lang w:val="sr-Latn-RS"/>
        </w:rPr>
        <w:footnoteReference w:id="16"/>
      </w:r>
      <w:r w:rsidR="002938A9" w:rsidRPr="00D06E2E">
        <w:rPr>
          <w:rFonts w:ascii="Book Antiqua" w:hAnsi="Book Antiqua"/>
          <w:bCs/>
          <w:color w:val="auto"/>
          <w:sz w:val="22"/>
          <w:szCs w:val="22"/>
          <w:u w:color="FF0000"/>
          <w:lang w:val="sr-Latn-RS"/>
        </w:rPr>
        <w:t>,</w:t>
      </w:r>
      <w:r w:rsidR="002938A9" w:rsidRPr="00D06E2E">
        <w:rPr>
          <w:rFonts w:ascii="Book Antiqua" w:hAnsi="Book Antiqua"/>
          <w:b/>
          <w:bCs/>
          <w:color w:val="auto"/>
          <w:sz w:val="22"/>
          <w:szCs w:val="22"/>
          <w:u w:color="FF0000"/>
          <w:lang w:val="sr-Latn-RS"/>
        </w:rPr>
        <w:t xml:space="preserve"> </w:t>
      </w:r>
      <w:r w:rsidRPr="00D06E2E">
        <w:rPr>
          <w:rFonts w:ascii="Book Antiqua" w:hAnsi="Book Antiqua"/>
          <w:bCs/>
          <w:color w:val="auto"/>
          <w:sz w:val="22"/>
          <w:szCs w:val="22"/>
          <w:lang w:val="sr-Latn-RS"/>
        </w:rPr>
        <w:t>prescribes, inter alia, the activity dedicated to the harmonization of the regulation on business capability and guardianship with the Convention on the rights of persons with disabilities of the United Nations as well as the activity dedicated to creating and implementing of the Operational plan for accessibility, but these activities</w:t>
      </w:r>
      <w:r w:rsidR="0051784A" w:rsidRPr="00D06E2E">
        <w:rPr>
          <w:rFonts w:ascii="Book Antiqua" w:hAnsi="Book Antiqua"/>
          <w:bCs/>
          <w:color w:val="auto"/>
          <w:sz w:val="22"/>
          <w:szCs w:val="22"/>
          <w:lang w:val="sr-Latn-RS"/>
        </w:rPr>
        <w:t>,</w:t>
      </w:r>
      <w:r w:rsidRPr="00D06E2E">
        <w:rPr>
          <w:rFonts w:ascii="Book Antiqua" w:hAnsi="Book Antiqua"/>
          <w:bCs/>
          <w:color w:val="auto"/>
          <w:sz w:val="22"/>
          <w:szCs w:val="22"/>
          <w:lang w:val="sr-Latn-RS"/>
        </w:rPr>
        <w:t xml:space="preserve"> </w:t>
      </w:r>
      <w:r w:rsidR="0051784A" w:rsidRPr="00D06E2E">
        <w:rPr>
          <w:rFonts w:ascii="Book Antiqua" w:hAnsi="Book Antiqua"/>
          <w:bCs/>
          <w:color w:val="auto"/>
          <w:sz w:val="22"/>
          <w:szCs w:val="22"/>
          <w:lang w:val="sr-Latn-RS"/>
        </w:rPr>
        <w:t>even thought the deadline expired,</w:t>
      </w:r>
      <w:r w:rsidRPr="00D06E2E">
        <w:rPr>
          <w:rFonts w:ascii="Book Antiqua" w:hAnsi="Book Antiqua"/>
          <w:bCs/>
          <w:color w:val="auto"/>
          <w:sz w:val="22"/>
          <w:szCs w:val="22"/>
          <w:lang w:val="sr-Latn-RS"/>
        </w:rPr>
        <w:t xml:space="preserve"> still have not been implemented.</w:t>
      </w:r>
    </w:p>
    <w:p w14:paraId="0720D87C" w14:textId="04810888" w:rsidR="0051784A" w:rsidRPr="00D06E2E" w:rsidRDefault="0051784A" w:rsidP="002938A9">
      <w:pPr>
        <w:rPr>
          <w:lang w:val="sr-Latn-RS"/>
        </w:rPr>
      </w:pPr>
      <w:r w:rsidRPr="00D06E2E">
        <w:rPr>
          <w:lang w:val="sr-Latn-RS"/>
        </w:rPr>
        <w:t>Persons with disabilities still face insufficient accessibility of public purpose facilities, different physical, information and communication and other obstacles, unfinished process of deinstitutionalization, still insufficiently developed service and support system and practice of complete deprivation of business capability. Due to limited access to education, labor and service market, persons with disabilities are still subject to a prominent risk of poverty and social exclusion. Amendments to the Law on Planning and Construction</w:t>
      </w:r>
      <w:r w:rsidR="002938A9" w:rsidRPr="00D06E2E">
        <w:rPr>
          <w:rStyle w:val="FootnoteReference"/>
          <w:lang w:val="sr-Latn-RS"/>
        </w:rPr>
        <w:footnoteReference w:id="17"/>
      </w:r>
      <w:r w:rsidR="002938A9" w:rsidRPr="00D06E2E">
        <w:rPr>
          <w:lang w:val="sr-Latn-RS"/>
        </w:rPr>
        <w:t xml:space="preserve"> </w:t>
      </w:r>
      <w:r w:rsidRPr="00D06E2E">
        <w:rPr>
          <w:lang w:val="sr-Latn-RS"/>
        </w:rPr>
        <w:t>expand the scope of persons who shall be fined for the violation if the access to the facility is not provided for persons with disabilities pursuant to accessibility standards and also a higher amount of the fine is prescribed.</w:t>
      </w:r>
    </w:p>
    <w:p w14:paraId="79618B52" w14:textId="3DA94D4A" w:rsidR="0051784A" w:rsidRPr="00D06E2E" w:rsidRDefault="0051784A" w:rsidP="002938A9">
      <w:pPr>
        <w:rPr>
          <w:lang w:val="sr-Latn-RS"/>
        </w:rPr>
      </w:pPr>
      <w:r w:rsidRPr="00D06E2E">
        <w:rPr>
          <w:lang w:val="sr-Latn-RS"/>
        </w:rPr>
        <w:t>Contrary to the provisions of the Convention on the rights of persons with disabilities of the United Nations, Concluding observations of the Committee for the rights of persons with disabilities of the United Nations</w:t>
      </w:r>
      <w:r w:rsidR="002938A9" w:rsidRPr="00D06E2E">
        <w:rPr>
          <w:vertAlign w:val="superscript"/>
          <w:lang w:val="sr-Latn-RS"/>
        </w:rPr>
        <w:footnoteReference w:id="18"/>
      </w:r>
      <w:r w:rsidR="002938A9" w:rsidRPr="00D06E2E">
        <w:rPr>
          <w:lang w:val="sr-Latn-RS"/>
        </w:rPr>
        <w:t xml:space="preserve"> </w:t>
      </w:r>
      <w:r w:rsidRPr="00D06E2E">
        <w:rPr>
          <w:lang w:val="sr-Latn-RS"/>
        </w:rPr>
        <w:t>and recommendations from regular annual reports of the Protector of Citizens, complete deprivation of business capability is still a legal practice in the Republic of Serbia. Furthermore, despite recommendations of the Committee, amendments of the Family Law</w:t>
      </w:r>
      <w:r w:rsidR="002938A9" w:rsidRPr="00D06E2E">
        <w:rPr>
          <w:vertAlign w:val="superscript"/>
          <w:lang w:val="sr-Latn-RS"/>
        </w:rPr>
        <w:footnoteReference w:id="19"/>
      </w:r>
      <w:r w:rsidR="002938A9" w:rsidRPr="00D06E2E">
        <w:rPr>
          <w:lang w:val="sr-Latn-RS"/>
        </w:rPr>
        <w:t xml:space="preserve"> </w:t>
      </w:r>
      <w:r w:rsidRPr="00D06E2E">
        <w:rPr>
          <w:lang w:val="sr-Latn-RS"/>
        </w:rPr>
        <w:t>still have not been adopted and they should, inter alia, remove complete deprivation of business capability and introduce the institute of decision making with support.</w:t>
      </w:r>
    </w:p>
    <w:p w14:paraId="4AE1222C" w14:textId="47D620F1" w:rsidR="002938A9" w:rsidRPr="00D06E2E" w:rsidRDefault="009F5AA4" w:rsidP="002938A9">
      <w:pPr>
        <w:spacing w:after="0"/>
        <w:rPr>
          <w:bCs/>
          <w:lang w:val="sr-Latn-RS"/>
        </w:rPr>
      </w:pPr>
      <w:r w:rsidRPr="00D06E2E">
        <w:rPr>
          <w:lang w:val="sr-Latn-RS"/>
        </w:rPr>
        <w:t>The practice of the Protector of Citizens shows that the Law on the Rights of Beneficiaries of the Temporary Accommodation in Social Welfare</w:t>
      </w:r>
      <w:r w:rsidR="002938A9" w:rsidRPr="00D06E2E">
        <w:rPr>
          <w:vertAlign w:val="superscript"/>
          <w:lang w:val="sr-Latn-RS"/>
        </w:rPr>
        <w:footnoteReference w:id="20"/>
      </w:r>
      <w:r w:rsidR="002938A9" w:rsidRPr="00D06E2E">
        <w:rPr>
          <w:bCs/>
          <w:lang w:val="sr-Latn-RS"/>
        </w:rPr>
        <w:t xml:space="preserve">, </w:t>
      </w:r>
      <w:r w:rsidRPr="00D06E2E">
        <w:rPr>
          <w:bCs/>
          <w:lang w:val="sr-Latn-RS"/>
        </w:rPr>
        <w:t xml:space="preserve">which came into force on December 31, 2021 is not completely enforced. The bylaw for its enforcement still has not been adopted </w:t>
      </w:r>
      <w:r w:rsidRPr="00D06E2E">
        <w:rPr>
          <w:bCs/>
          <w:lang w:val="sr-Latn-RS"/>
        </w:rPr>
        <w:lastRenderedPageBreak/>
        <w:t>although the legally prescribed deadline for its adoption expired. Therefore, the Protector of Citizens issued the recommendation to the competent Ministry</w:t>
      </w:r>
      <w:r w:rsidR="002938A9" w:rsidRPr="00D06E2E">
        <w:rPr>
          <w:rStyle w:val="FootnoteReference"/>
          <w:lang w:val="sr-Latn-RS"/>
        </w:rPr>
        <w:footnoteReference w:id="21"/>
      </w:r>
      <w:r w:rsidR="002938A9" w:rsidRPr="00D06E2E">
        <w:rPr>
          <w:lang w:val="sr-Latn-RS"/>
        </w:rPr>
        <w:t>.</w:t>
      </w:r>
    </w:p>
    <w:p w14:paraId="50C2075B" w14:textId="77777777" w:rsidR="00D91B8D" w:rsidRPr="00D06E2E" w:rsidRDefault="00D91B8D" w:rsidP="00D91B8D">
      <w:pPr>
        <w:pStyle w:val="CommentText"/>
        <w:spacing w:after="0" w:line="240" w:lineRule="auto"/>
        <w:jc w:val="both"/>
        <w:rPr>
          <w:rFonts w:ascii="Book Antiqua" w:hAnsi="Book Antiqua"/>
          <w:sz w:val="22"/>
          <w:szCs w:val="22"/>
          <w:lang w:val="sr-Latn-RS"/>
        </w:rPr>
      </w:pPr>
    </w:p>
    <w:p w14:paraId="3EA11B61" w14:textId="126E921D" w:rsidR="00D91B8D" w:rsidRPr="00D06E2E" w:rsidRDefault="00304CEE" w:rsidP="00D91B8D">
      <w:pPr>
        <w:jc w:val="center"/>
        <w:rPr>
          <w:sz w:val="24"/>
          <w:szCs w:val="24"/>
          <w:lang w:val="sr-Latn-RS"/>
        </w:rPr>
      </w:pPr>
      <w:r w:rsidRPr="00D06E2E">
        <w:rPr>
          <w:sz w:val="24"/>
          <w:szCs w:val="24"/>
          <w:lang w:val="sr-Latn-RS"/>
        </w:rPr>
        <w:t>RIGHTS OF THE ELDERLY</w:t>
      </w:r>
    </w:p>
    <w:p w14:paraId="51723AE0" w14:textId="67BDC0EF" w:rsidR="007F0B45" w:rsidRPr="00D06E2E" w:rsidRDefault="00E46843" w:rsidP="00465580">
      <w:pPr>
        <w:rPr>
          <w:lang w:val="sr-Latn-RS"/>
        </w:rPr>
      </w:pPr>
      <w:r w:rsidRPr="00D06E2E">
        <w:rPr>
          <w:lang w:val="sr-Latn-RS"/>
        </w:rPr>
        <w:t>The elderly still face poverty, discrimination and violence and particularly the problem is the lack of special services and support, especially household assistance service. Neglect and violence against the elderly are still not sufficiently reported both due to the fact that the elderly are not capable of doing so, do not have the support or do not want to report violence they suffer from the closest members of their family, most frequently children, and due to insufficient recognition of the emotional, social and economic violence. The stated problems are particularly prominent in rural areas in which elderly women living alone or most frequently depend on other family members to realize their needs are in especially unfavorable position</w:t>
      </w:r>
      <w:r w:rsidR="0065468A" w:rsidRPr="00D06E2E">
        <w:rPr>
          <w:lang w:val="sr-Latn-RS"/>
        </w:rPr>
        <w:t>, since they most frequently do</w:t>
      </w:r>
      <w:r w:rsidRPr="00D06E2E">
        <w:rPr>
          <w:lang w:val="sr-Latn-RS"/>
        </w:rPr>
        <w:t xml:space="preserve"> not have property rights to immovable or movable property</w:t>
      </w:r>
      <w:r w:rsidR="0065468A" w:rsidRPr="00D06E2E">
        <w:rPr>
          <w:lang w:val="sr-Latn-RS"/>
        </w:rPr>
        <w:t>, income and their access to social and health care services is not adequately provided at locations where traffic and public transportation structures are not established.</w:t>
      </w:r>
    </w:p>
    <w:p w14:paraId="6F311430" w14:textId="511032FD" w:rsidR="00B7071C" w:rsidRPr="00D06E2E" w:rsidRDefault="0065468A" w:rsidP="0065468A">
      <w:pPr>
        <w:rPr>
          <w:lang w:val="sr-Latn-RS"/>
        </w:rPr>
      </w:pPr>
      <w:r w:rsidRPr="00D06E2E">
        <w:rPr>
          <w:lang w:val="sr-Latn-RS"/>
        </w:rPr>
        <w:t>In the reporting period the Strategy of active and healthy aging in the Republic of Serbia for the period from 2024 to 2030</w:t>
      </w:r>
      <w:r w:rsidR="00B7071C" w:rsidRPr="00D06E2E">
        <w:rPr>
          <w:rStyle w:val="FootnoteReference"/>
          <w:lang w:val="sr-Latn-RS"/>
        </w:rPr>
        <w:footnoteReference w:id="22"/>
      </w:r>
      <w:r w:rsidR="00B7071C" w:rsidRPr="00D06E2E">
        <w:rPr>
          <w:lang w:val="sr-Latn-RS"/>
        </w:rPr>
        <w:t xml:space="preserve"> </w:t>
      </w:r>
      <w:r w:rsidRPr="00D06E2E">
        <w:rPr>
          <w:lang w:val="sr-Latn-RS"/>
        </w:rPr>
        <w:t>was adopted and it incorporated certain suggestions of the Protector of Citizens on normative Opinion</w:t>
      </w:r>
      <w:r w:rsidR="00B7071C" w:rsidRPr="00D06E2E">
        <w:rPr>
          <w:vertAlign w:val="superscript"/>
          <w:lang w:val="sr-Latn-RS"/>
        </w:rPr>
        <w:footnoteReference w:id="23"/>
      </w:r>
      <w:r w:rsidR="00B7071C" w:rsidRPr="00D06E2E">
        <w:rPr>
          <w:lang w:val="sr-Latn-RS"/>
        </w:rPr>
        <w:t xml:space="preserve"> </w:t>
      </w:r>
      <w:r w:rsidRPr="00D06E2E">
        <w:rPr>
          <w:lang w:val="sr-Latn-RS"/>
        </w:rPr>
        <w:t>to the Proposal of this strategic document as well as the Action Plan for its implementation for the period from 2024 to 2026</w:t>
      </w:r>
      <w:r w:rsidR="00B7071C" w:rsidRPr="00D06E2E">
        <w:rPr>
          <w:rStyle w:val="FootnoteReference"/>
          <w:lang w:val="sr-Latn-RS"/>
        </w:rPr>
        <w:footnoteReference w:id="24"/>
      </w:r>
      <w:r w:rsidR="00B7071C" w:rsidRPr="00D06E2E">
        <w:rPr>
          <w:lang w:val="sr-Latn-RS"/>
        </w:rPr>
        <w:t xml:space="preserve">, </w:t>
      </w:r>
      <w:r w:rsidRPr="00D06E2E">
        <w:rPr>
          <w:lang w:val="sr-Latn-RS"/>
        </w:rPr>
        <w:t>with regards to which the Protector of Citizens also submitted normative Opinion</w:t>
      </w:r>
      <w:r w:rsidR="00B7071C" w:rsidRPr="00D06E2E">
        <w:rPr>
          <w:rStyle w:val="FootnoteReference"/>
          <w:lang w:val="sr-Latn-RS"/>
        </w:rPr>
        <w:footnoteReference w:id="25"/>
      </w:r>
      <w:r w:rsidR="00B7071C" w:rsidRPr="00D06E2E">
        <w:rPr>
          <w:lang w:val="sr-Latn-RS"/>
        </w:rPr>
        <w:t xml:space="preserve"> </w:t>
      </w:r>
      <w:r w:rsidRPr="00D06E2E">
        <w:rPr>
          <w:lang w:val="sr-Latn-RS"/>
        </w:rPr>
        <w:t>to the Ministry of Family Welfare and Demography. Nevertheless, the mentioned strategic documents do not include suggestions of the Protector of Citizens included in normative Opinion which refer to prescribing of certain activities dedicated to the inclusion of persons older than 65 years of age into the public and political life and into the processes of decision making at different levels, information of the elderly, especially of elderly women at rural areas, on the exercise of the rights in the area of hereditary legal and property legal relations as well as exercise of social and economic rights in general, as well as suggestions that certain activities should be taken to inform the elderly, especially elderly women particularly in rural areas in an effective manner on the forms of domestic violence and on mechanisms for protection against violence</w:t>
      </w:r>
      <w:r w:rsidR="00B7071C" w:rsidRPr="00D06E2E">
        <w:rPr>
          <w:lang w:val="sr-Latn-RS"/>
        </w:rPr>
        <w:t xml:space="preserve">. </w:t>
      </w:r>
    </w:p>
    <w:p w14:paraId="47361A08" w14:textId="77777777" w:rsidR="00D91B8D" w:rsidRPr="00D06E2E" w:rsidRDefault="00D91B8D" w:rsidP="00465580">
      <w:pPr>
        <w:spacing w:after="0"/>
        <w:rPr>
          <w:lang w:val="sr-Latn-RS"/>
        </w:rPr>
      </w:pPr>
    </w:p>
    <w:p w14:paraId="019187D1" w14:textId="70FC81B6" w:rsidR="00D91B8D" w:rsidRPr="00D06E2E" w:rsidRDefault="00304CEE" w:rsidP="00D91B8D">
      <w:pPr>
        <w:jc w:val="center"/>
        <w:rPr>
          <w:sz w:val="24"/>
          <w:szCs w:val="24"/>
          <w:lang w:val="sr-Latn-RS"/>
        </w:rPr>
      </w:pPr>
      <w:r w:rsidRPr="00D06E2E">
        <w:rPr>
          <w:sz w:val="24"/>
          <w:szCs w:val="24"/>
          <w:lang w:val="sr-Latn-RS"/>
        </w:rPr>
        <w:t>NATIONAL MINORITY RIGHTS</w:t>
      </w:r>
    </w:p>
    <w:p w14:paraId="28650253" w14:textId="0C849BE7" w:rsidR="00C166B2" w:rsidRPr="00D06E2E" w:rsidRDefault="00C166B2" w:rsidP="000675CF">
      <w:pPr>
        <w:rPr>
          <w:lang w:val="sr-Latn-RS"/>
        </w:rPr>
      </w:pPr>
      <w:r w:rsidRPr="00D06E2E">
        <w:rPr>
          <w:lang w:val="sr-Latn-RS"/>
        </w:rPr>
        <w:t xml:space="preserve">Complaints of the members of national minorities indicate that there are still certain problems in the enforcement of the Law on Official Service of the Language and Alphabets as well as the right to entering of the personal name in the language and alphabet in public documents. The inspection activities conducted by the Protector of Citizens confirm that administrative authorities do not observe always the legal obligation to conduct the process in the language of the national minority where it is in the official use even in situations when a party emphasizes on several occasions the request to conduct the process in the language of the national minority. </w:t>
      </w:r>
    </w:p>
    <w:p w14:paraId="2D96E43A" w14:textId="77777777" w:rsidR="00D8535B" w:rsidRPr="00D06E2E" w:rsidRDefault="00C166B2" w:rsidP="000675CF">
      <w:pPr>
        <w:rPr>
          <w:lang w:val="sr-Latn-RS"/>
        </w:rPr>
      </w:pPr>
      <w:r w:rsidRPr="00D06E2E">
        <w:rPr>
          <w:lang w:val="sr-Latn-RS"/>
        </w:rPr>
        <w:t xml:space="preserve">The achieved results in the improvement of the position of the Romani did not remove crucial obstacles in the process of their integration and therefore the Protector of Citizens believes </w:t>
      </w:r>
      <w:r w:rsidRPr="00D06E2E">
        <w:rPr>
          <w:lang w:val="sr-Latn-RS"/>
        </w:rPr>
        <w:lastRenderedPageBreak/>
        <w:t xml:space="preserve">that there should still be the insistence on the comprehensive support to the Romani national minority, which certainly includes also the improvement of accommodation conditions. What also indicates to accommodation conditions in Romani villages are frequent fires in Romani villages which, unfortunately, in several cases had tragic outcomes, which was indicated on several occasions by the Protector of Citizens. </w:t>
      </w:r>
    </w:p>
    <w:p w14:paraId="751E94E9" w14:textId="3176974B" w:rsidR="000675CF" w:rsidRPr="00D06E2E" w:rsidRDefault="00D8535B" w:rsidP="000675CF">
      <w:pPr>
        <w:rPr>
          <w:rFonts w:cs="Arial"/>
          <w:lang w:val="sr-Latn-RS"/>
        </w:rPr>
      </w:pPr>
      <w:r w:rsidRPr="00D06E2E">
        <w:rPr>
          <w:lang w:val="sr-Latn-RS"/>
        </w:rPr>
        <w:t>The Protector of Citizens</w:t>
      </w:r>
      <w:r w:rsidRPr="00D06E2E">
        <w:rPr>
          <w:rFonts w:cs="Arial"/>
          <w:lang w:val="sr-Latn-RS"/>
        </w:rPr>
        <w:t xml:space="preserve"> thinks that it is necessary to plan and increase the fund of apartments for social living so as to provide the right to accommondation for all persons located at the position of residential need.</w:t>
      </w:r>
    </w:p>
    <w:p w14:paraId="0D7202C1" w14:textId="3E054EED" w:rsidR="000675CF" w:rsidRPr="00D06E2E" w:rsidRDefault="00D8535B" w:rsidP="00D8535B">
      <w:pPr>
        <w:rPr>
          <w:rFonts w:cs="Arial"/>
          <w:lang w:val="sr-Latn-RS"/>
        </w:rPr>
      </w:pPr>
      <w:r w:rsidRPr="00D06E2E">
        <w:rPr>
          <w:rFonts w:cs="Arial"/>
          <w:lang w:val="sr-Latn-RS"/>
        </w:rPr>
        <w:t>On this occasion too, the Protector of Citizens emphasizes again the need for local self-governments to take care about exercise, protection and promotion of human and minority rights as well as to pay attention in their activities to interests and observance of human rights of the poorest citizens in our society.</w:t>
      </w:r>
      <w:r w:rsidR="000675CF" w:rsidRPr="00D06E2E">
        <w:rPr>
          <w:lang w:val="sr-Latn-RS"/>
        </w:rPr>
        <w:t xml:space="preserve"> </w:t>
      </w:r>
    </w:p>
    <w:p w14:paraId="0388E155" w14:textId="77777777" w:rsidR="00D91B8D" w:rsidRPr="00D06E2E" w:rsidRDefault="00D91B8D" w:rsidP="00BC734D">
      <w:pPr>
        <w:spacing w:after="0"/>
        <w:rPr>
          <w:lang w:val="sr-Latn-RS"/>
        </w:rPr>
      </w:pPr>
    </w:p>
    <w:p w14:paraId="3539397E" w14:textId="57BD721F" w:rsidR="00D91B8D" w:rsidRPr="00D06E2E" w:rsidRDefault="00304CEE" w:rsidP="005E7844">
      <w:pPr>
        <w:jc w:val="center"/>
        <w:rPr>
          <w:sz w:val="24"/>
          <w:szCs w:val="24"/>
          <w:lang w:val="sr-Latn-RS"/>
        </w:rPr>
      </w:pPr>
      <w:r w:rsidRPr="00D06E2E">
        <w:rPr>
          <w:sz w:val="24"/>
          <w:szCs w:val="24"/>
          <w:lang w:val="sr-Latn-RS"/>
        </w:rPr>
        <w:t>RIGHTS OF PERSONS DEPRIVED OF LIBERTY</w:t>
      </w:r>
    </w:p>
    <w:p w14:paraId="0610ADC6" w14:textId="61BCD224" w:rsidR="0057428A" w:rsidRPr="00D06E2E" w:rsidRDefault="00EB167F" w:rsidP="0057428A">
      <w:pPr>
        <w:pStyle w:val="CommentText"/>
        <w:spacing w:after="120" w:line="240" w:lineRule="auto"/>
        <w:jc w:val="both"/>
        <w:rPr>
          <w:rFonts w:ascii="Book Antiqua" w:eastAsia="Calibri" w:hAnsi="Book Antiqua" w:cs="Arial"/>
          <w:sz w:val="22"/>
          <w:szCs w:val="22"/>
          <w:lang w:val="sr-Latn-RS"/>
        </w:rPr>
      </w:pPr>
      <w:r w:rsidRPr="00D06E2E">
        <w:rPr>
          <w:rFonts w:ascii="Book Antiqua" w:eastAsia="Calibri" w:hAnsi="Book Antiqua" w:cs="Arial"/>
          <w:sz w:val="22"/>
          <w:szCs w:val="22"/>
          <w:lang w:val="sr-Latn-RS"/>
        </w:rPr>
        <w:t>During 2023 the Protector of Citizens received slightly more complaints of persons deprived of liberty in comparison to the previous reporting period. As in previous years, the majority of received complaints of persons deprived of liberty referred to the rights of persons located at institutions for the enforcement of penal sanctions. Complaints of convicts, as in previous reporting periods, mostly referred to dissatisfaction with health care protection and treatment work and complaints of detained persons mostly referred to the length of detention and violation of rights to fair trial</w:t>
      </w:r>
      <w:r w:rsidR="0057428A" w:rsidRPr="00D06E2E">
        <w:rPr>
          <w:rFonts w:ascii="Book Antiqua" w:eastAsia="Calibri" w:hAnsi="Book Antiqua" w:cs="Book Antiqua"/>
          <w:noProof/>
          <w:sz w:val="22"/>
          <w:szCs w:val="22"/>
          <w:vertAlign w:val="superscript"/>
          <w:lang w:val="sr-Latn-RS"/>
        </w:rPr>
        <w:footnoteReference w:id="26"/>
      </w:r>
      <w:r w:rsidR="0057428A" w:rsidRPr="00D06E2E">
        <w:rPr>
          <w:rFonts w:ascii="Book Antiqua" w:eastAsia="Calibri" w:hAnsi="Book Antiqua" w:cs="Book Antiqua"/>
          <w:noProof/>
          <w:sz w:val="22"/>
          <w:szCs w:val="22"/>
          <w:lang w:val="sr-Latn-RS"/>
        </w:rPr>
        <w:t>.</w:t>
      </w:r>
    </w:p>
    <w:p w14:paraId="720A07D0" w14:textId="1295B552" w:rsidR="00EB167F" w:rsidRPr="00D06E2E" w:rsidRDefault="00EB167F" w:rsidP="00EF4C24">
      <w:pPr>
        <w:autoSpaceDE w:val="0"/>
        <w:autoSpaceDN w:val="0"/>
        <w:adjustRightInd w:val="0"/>
        <w:spacing w:before="120"/>
        <w:rPr>
          <w:lang w:val="sr-Latn-RS"/>
        </w:rPr>
      </w:pPr>
      <w:r w:rsidRPr="00D06E2E">
        <w:rPr>
          <w:lang w:val="sr-Latn-RS"/>
        </w:rPr>
        <w:t>Althought in the Republic of Serbia there is no torture as organized phenomenon encouraged by public authorities, this reporting period too saw individual cases of torture or abuse which is why the Protector of Citizens indicates to the need for compentent authorities to invest additional effort to realize their role in the fight against the lack of punishment for torture and other forms of abuse and illegal treatments and contribute to the situation in which for every individual case of abuse individual responsibility is determined in legally prescribed process and responsible officers shall</w:t>
      </w:r>
      <w:r w:rsidR="002A1D15" w:rsidRPr="00D06E2E">
        <w:rPr>
          <w:lang w:val="sr-Latn-RS"/>
        </w:rPr>
        <w:t xml:space="preserve"> be sanctioned and victims indemnified in an adequate manner.</w:t>
      </w:r>
    </w:p>
    <w:p w14:paraId="253780AB" w14:textId="42CF2B21" w:rsidR="002A1D15" w:rsidRPr="00D06E2E" w:rsidRDefault="002A1D15" w:rsidP="0057428A">
      <w:pPr>
        <w:rPr>
          <w:lang w:val="sr-Latn-RS"/>
        </w:rPr>
      </w:pPr>
      <w:r w:rsidRPr="00D06E2E">
        <w:rPr>
          <w:lang w:val="sr-Latn-RS"/>
        </w:rPr>
        <w:t>The Protector of Citizens praises all activities of competent authorities aimed at the improvement of normative framework and the regulations referring to the deprivation of liberty and promotion of rights of persons deprived of liberty, which were taken in the reporting period. However, this also indicates to the fact that provisions of the Criminal Code are still not harmonized with the definition of torture from Article 1 of the United Nations Convention against torture. Moreover, the draft of the bylaw regulating the activities of the social welfare institutions in incidental situations and the Proposal of the Action Plan for the period 2023-2024 for the implementation of the Strategy of deinstitutionalization and development of social welfare services in the community for the period 2022-2026 still have not been executed.</w:t>
      </w:r>
    </w:p>
    <w:p w14:paraId="59EFE1DC" w14:textId="6990BA03" w:rsidR="002A1D15" w:rsidRPr="00D06E2E" w:rsidRDefault="002A1D15" w:rsidP="0086223A">
      <w:pPr>
        <w:tabs>
          <w:tab w:val="left" w:pos="1260"/>
        </w:tabs>
        <w:spacing w:before="120" w:after="0"/>
        <w:rPr>
          <w:lang w:val="sr-Latn-RS"/>
        </w:rPr>
      </w:pPr>
      <w:r w:rsidRPr="00D06E2E">
        <w:rPr>
          <w:lang w:val="sr-Latn-RS"/>
        </w:rPr>
        <w:t xml:space="preserve">Since this reporting period too has not seen a </w:t>
      </w:r>
      <w:r w:rsidR="00C44871" w:rsidRPr="00D06E2E">
        <w:rPr>
          <w:lang w:val="sr-Latn-RS"/>
        </w:rPr>
        <w:t xml:space="preserve">significant progress in the area of deinstitutionalization, the Protector of Citizens again indicates to the need for the improvement of actions related to creating of conditions for efficient and sustainable functioning of the system of deinstitutionalization, which, apart from the health care, includes also the social aspect. A particular problem is the lack of clear strategic direction of deinstitutionalization of adults with intellectual and mental difficulties. In practice, the legally stipulated possibility of foundation of social and health care institutions or organizational </w:t>
      </w:r>
      <w:r w:rsidR="00C44871" w:rsidRPr="00D06E2E">
        <w:rPr>
          <w:lang w:val="sr-Latn-RS"/>
        </w:rPr>
        <w:lastRenderedPageBreak/>
        <w:t>units for beneficiaries who need also social care and constant health care and supervision is not developed.</w:t>
      </w:r>
    </w:p>
    <w:p w14:paraId="7FC52D15" w14:textId="1F87F873" w:rsidR="00C44871" w:rsidRPr="00D06E2E" w:rsidRDefault="00C44871" w:rsidP="0086223A">
      <w:pPr>
        <w:tabs>
          <w:tab w:val="left" w:pos="1260"/>
        </w:tabs>
        <w:spacing w:before="120" w:after="0"/>
        <w:rPr>
          <w:lang w:val="sr-Latn-RS"/>
        </w:rPr>
      </w:pPr>
      <w:r w:rsidRPr="00D06E2E">
        <w:rPr>
          <w:lang w:val="sr-Latn-RS"/>
        </w:rPr>
        <w:t>During the reporting period the Center for mental health in Pančevo, branch of the Special hospital for psychiatric diseases “Kovin” was opened. The Protector of Citizens expects in the following period that the activities on the development of the network of centers for the protection of mental health will be accelerated in the community which will provide the comprehensive protection of mental health, with least possible restrictions and as close to the place of residence and patient’s family as possible.</w:t>
      </w:r>
    </w:p>
    <w:p w14:paraId="4DF74F5B" w14:textId="77777777" w:rsidR="00D91B8D" w:rsidRPr="00D06E2E" w:rsidRDefault="00D91B8D" w:rsidP="00D91B8D">
      <w:pPr>
        <w:spacing w:after="0"/>
        <w:jc w:val="center"/>
        <w:rPr>
          <w:sz w:val="24"/>
          <w:szCs w:val="24"/>
          <w:lang w:val="sr-Latn-RS"/>
        </w:rPr>
      </w:pPr>
    </w:p>
    <w:p w14:paraId="23AC3FC9" w14:textId="3D1418C8" w:rsidR="00D91B8D" w:rsidRPr="00D06E2E" w:rsidRDefault="00304CEE" w:rsidP="00D91B8D">
      <w:pPr>
        <w:spacing w:after="0"/>
        <w:jc w:val="center"/>
        <w:rPr>
          <w:sz w:val="24"/>
          <w:szCs w:val="24"/>
          <w:lang w:val="sr-Latn-RS"/>
        </w:rPr>
      </w:pPr>
      <w:r w:rsidRPr="00D06E2E">
        <w:rPr>
          <w:sz w:val="24"/>
          <w:szCs w:val="24"/>
          <w:lang w:val="sr-Latn-RS"/>
        </w:rPr>
        <w:t>NATIONAL PREVENTIVE MECHANISM (NPM)</w:t>
      </w:r>
    </w:p>
    <w:p w14:paraId="454F8A2E" w14:textId="61251F35" w:rsidR="00B3152F" w:rsidRPr="00D06E2E" w:rsidRDefault="00B3152F" w:rsidP="00E93FCF">
      <w:pPr>
        <w:spacing w:before="120"/>
        <w:rPr>
          <w:lang w:val="sr-Latn-RS"/>
        </w:rPr>
      </w:pPr>
      <w:r w:rsidRPr="00D06E2E">
        <w:rPr>
          <w:lang w:val="sr-Latn-RS"/>
        </w:rPr>
        <w:t xml:space="preserve">National Preventive Mechanism (hereinafter, NPM) noticed in the reporting period that the Ministry of Interior continued with the activities aimed at the improvement in treating apprehended and detained persons reflected, primarily, </w:t>
      </w:r>
      <w:r w:rsidR="00F756B0" w:rsidRPr="00D06E2E">
        <w:rPr>
          <w:lang w:val="sr-Latn-RS"/>
        </w:rPr>
        <w:t>in</w:t>
      </w:r>
      <w:r w:rsidRPr="00D06E2E">
        <w:rPr>
          <w:lang w:val="sr-Latn-RS"/>
        </w:rPr>
        <w:t xml:space="preserve"> the improvement of material conditions of accommodation at the premises for detention and improvement of records on detention and exercise of fundamental rights of apprehended and detained persons, especially of </w:t>
      </w:r>
      <w:r w:rsidR="00F756B0" w:rsidRPr="00D06E2E">
        <w:rPr>
          <w:lang w:val="sr-Latn-RS"/>
        </w:rPr>
        <w:t>records</w:t>
      </w:r>
      <w:r w:rsidRPr="00D06E2E">
        <w:rPr>
          <w:lang w:val="sr-Latn-RS"/>
        </w:rPr>
        <w:t xml:space="preserve"> of the exercise of rights of apprehended and detained persons to the access of the defender.</w:t>
      </w:r>
    </w:p>
    <w:p w14:paraId="3519D7E1" w14:textId="3E9BBE89" w:rsidR="00F756B0" w:rsidRPr="00D06E2E" w:rsidRDefault="00F756B0" w:rsidP="00E93FCF">
      <w:pPr>
        <w:pStyle w:val="CommentText"/>
        <w:spacing w:after="120" w:line="240" w:lineRule="auto"/>
        <w:jc w:val="both"/>
        <w:rPr>
          <w:rFonts w:ascii="Book Antiqua" w:hAnsi="Book Antiqua"/>
          <w:sz w:val="22"/>
          <w:szCs w:val="22"/>
          <w:lang w:val="sr-Latn-RS"/>
        </w:rPr>
      </w:pPr>
      <w:r w:rsidRPr="00D06E2E">
        <w:rPr>
          <w:rFonts w:ascii="Book Antiqua" w:hAnsi="Book Antiqua"/>
          <w:sz w:val="22"/>
          <w:szCs w:val="22"/>
          <w:lang w:val="sr-Latn-RS"/>
        </w:rPr>
        <w:t xml:space="preserve">The Administration for the enforcement of penal sanctions continued in this reporting period too to invest in material conditions of the accommodation of persons deprived of liberty and increase of the capacities of the institutions for the enforcement of penal sanctions. Moreover, there are specialized group programs of treatments implemented at institutes, but it is necessary to direct additional efforts to the engagement of the sufficient number of treatment officers and improvement of treatment work, which would, inter alia, provide the realization of the purpose of prison sentence enforcement and enable the mechanism of the progress in treatment which would facilitate the transfer of convicts into </w:t>
      </w:r>
      <w:r w:rsidR="005B2618" w:rsidRPr="00D06E2E">
        <w:rPr>
          <w:rFonts w:ascii="Book Antiqua" w:hAnsi="Book Antiqua"/>
          <w:sz w:val="22"/>
          <w:szCs w:val="22"/>
          <w:lang w:val="sr-Latn-RS"/>
        </w:rPr>
        <w:t>more favorable education groups.</w:t>
      </w:r>
    </w:p>
    <w:p w14:paraId="390682BE" w14:textId="33D03EB8" w:rsidR="00E93FCF" w:rsidRPr="00D06E2E" w:rsidRDefault="005B2618" w:rsidP="00E93FCF">
      <w:pPr>
        <w:pStyle w:val="CommentText"/>
        <w:spacing w:after="0" w:line="240" w:lineRule="auto"/>
        <w:jc w:val="both"/>
        <w:rPr>
          <w:rFonts w:ascii="Book Antiqua" w:hAnsi="Book Antiqua"/>
          <w:sz w:val="22"/>
          <w:szCs w:val="22"/>
          <w:lang w:val="sr-Latn-RS"/>
        </w:rPr>
      </w:pPr>
      <w:r w:rsidRPr="00D06E2E">
        <w:rPr>
          <w:rFonts w:ascii="Book Antiqua" w:hAnsi="Book Antiqua"/>
          <w:sz w:val="22"/>
          <w:szCs w:val="22"/>
          <w:lang w:val="sr-Latn-RS"/>
        </w:rPr>
        <w:t>In the area of psychiatry there was the need for taking activities with the aim of the improvement of material conditions of accommodation for the purpose of harmonization with valid standards and creation of positive therapy environment identified. Individual plans of patient treatment frequently are not individualized, they do not contain therapy and rehabilitation activities which a certain patient would be subject to, and there are no sufficient different modalities of psychosocial activities organized for patients. There are still no continued specialized educations of middle medical staff in the area of mental health and work with persons with mental difficulties, which may impact the quality of health care and psychosocial rehabilitation of the patient. Furthermore, there are also special trainings of health care employees missing for the application of the measure of physical restraint of patients. The records on the application of the measure of physical restraint of a person with mental difficulties are in certain cases incomplete and do not provide reliable data on the frequency of their application, duration and other data of importance.</w:t>
      </w:r>
    </w:p>
    <w:p w14:paraId="3796EB06" w14:textId="18138E8B" w:rsidR="005B2618" w:rsidRPr="00D06E2E" w:rsidRDefault="005B2618" w:rsidP="00E93FCF">
      <w:pPr>
        <w:spacing w:before="120" w:after="0"/>
        <w:rPr>
          <w:lang w:val="sr-Latn-RS"/>
        </w:rPr>
      </w:pPr>
      <w:r w:rsidRPr="00D06E2E">
        <w:rPr>
          <w:lang w:val="sr-Latn-RS"/>
        </w:rPr>
        <w:t xml:space="preserve">In </w:t>
      </w:r>
      <w:r w:rsidR="00275263" w:rsidRPr="00D06E2E">
        <w:rPr>
          <w:lang w:val="sr-Latn-RS"/>
        </w:rPr>
        <w:t xml:space="preserve">certain social welfare institutions, it was noticed that the activities are taken to improve material conditions. However, there is still recorded shortage of staff for the work with beneficiaries which has an unfavorable impact on the quality of the provision of health care and psychosocial services. In great social welfare institutions there is still a great number of beneficiaries using the accommodation for a long period of time because the community does not provide the conditions for their staying. Moreover, it is noticed that there is the need for strengthening of the capacities of centers for social welfare as well as the improvement of the actions of centers for social welfare with regards to the provision of efficient custody protection to beneficiaries at institutions. Finally, this reporting period too, did not see the </w:t>
      </w:r>
      <w:r w:rsidR="00275263" w:rsidRPr="00D06E2E">
        <w:rPr>
          <w:lang w:val="sr-Latn-RS"/>
        </w:rPr>
        <w:lastRenderedPageBreak/>
        <w:t>executed draft of the bylaw which would regulate actions of the institutions at incident situations.</w:t>
      </w:r>
    </w:p>
    <w:p w14:paraId="49D28093" w14:textId="4B2155F7" w:rsidR="00E93FCF" w:rsidRPr="00D06E2E" w:rsidRDefault="00275263" w:rsidP="00E93FCF">
      <w:pPr>
        <w:spacing w:before="120" w:after="0"/>
        <w:rPr>
          <w:rFonts w:eastAsia="Times New Roman" w:cs="Arial"/>
          <w:spacing w:val="5"/>
          <w:lang w:val="sr-Latn-RS"/>
        </w:rPr>
      </w:pPr>
      <w:r w:rsidRPr="00D06E2E">
        <w:rPr>
          <w:rFonts w:eastAsia="Times New Roman" w:cs="Arial"/>
          <w:spacing w:val="5"/>
          <w:lang w:val="sr-Latn-RS"/>
        </w:rPr>
        <w:t xml:space="preserve">Within the oversight of the procedure of forced removal of foreigners, the NPM confirms the improvements in the preparation of foreigners for removal which involve timely notification of foreigners on the upcoming removal and the option for the foreigners to inform third parties on the upcoming removal as well as with regards to the provision of the access to legal aid to foreigners who have the staying at the </w:t>
      </w:r>
      <w:r w:rsidR="00626AC4" w:rsidRPr="00D06E2E">
        <w:rPr>
          <w:rFonts w:eastAsia="Times New Roman" w:cs="Arial"/>
          <w:spacing w:val="5"/>
          <w:lang w:val="sr-Latn-RS"/>
        </w:rPr>
        <w:t>shelter</w:t>
      </w:r>
      <w:r w:rsidRPr="00D06E2E">
        <w:rPr>
          <w:rFonts w:eastAsia="Times New Roman" w:cs="Arial"/>
          <w:spacing w:val="5"/>
          <w:lang w:val="sr-Latn-RS"/>
        </w:rPr>
        <w:t xml:space="preserve"> designated.</w:t>
      </w:r>
      <w:r w:rsidR="00626AC4" w:rsidRPr="00D06E2E">
        <w:rPr>
          <w:rFonts w:eastAsia="Times New Roman" w:cs="Arial"/>
          <w:spacing w:val="5"/>
          <w:lang w:val="sr-Latn-RS"/>
        </w:rPr>
        <w:t xml:space="preserve"> Further efforts are to be aimed at the improvement of the manner of provision of health care protection as well as the implementation of corresponding trainings with the aim of the creation of precoditions for foreigners not to be extradited to the country in which there is the risk of being subject to the execution of death penalty, tortute, inhuman or degrading treatment or punishment and where they have serious threat of violation of rights guaranteed by the Constitution.</w:t>
      </w:r>
    </w:p>
    <w:p w14:paraId="7A409702" w14:textId="77777777" w:rsidR="007B05DF" w:rsidRPr="00D06E2E" w:rsidRDefault="007B05DF" w:rsidP="00626AC4">
      <w:pPr>
        <w:spacing w:after="0"/>
        <w:rPr>
          <w:sz w:val="24"/>
          <w:szCs w:val="24"/>
          <w:lang w:val="sr-Latn-RS"/>
        </w:rPr>
      </w:pPr>
    </w:p>
    <w:p w14:paraId="5BD348F8" w14:textId="7F56483C" w:rsidR="00D91B8D" w:rsidRPr="00D06E2E" w:rsidRDefault="00304CEE" w:rsidP="00D91B8D">
      <w:pPr>
        <w:jc w:val="center"/>
        <w:rPr>
          <w:sz w:val="24"/>
          <w:szCs w:val="24"/>
          <w:lang w:val="sr-Latn-RS"/>
        </w:rPr>
      </w:pPr>
      <w:r w:rsidRPr="00D06E2E">
        <w:rPr>
          <w:sz w:val="24"/>
          <w:szCs w:val="24"/>
          <w:lang w:val="sr-Latn-RS"/>
        </w:rPr>
        <w:t>CIVIL AND POLITICAL RIGHTS</w:t>
      </w:r>
    </w:p>
    <w:p w14:paraId="5AF4947A" w14:textId="4575D2A8" w:rsidR="00B778A8" w:rsidRPr="00D06E2E" w:rsidRDefault="00B778A8" w:rsidP="007B05DF">
      <w:pPr>
        <w:rPr>
          <w:lang w:val="sr-Latn-RS"/>
        </w:rPr>
      </w:pPr>
      <w:r w:rsidRPr="00D06E2E">
        <w:rPr>
          <w:lang w:val="sr-Latn-RS"/>
        </w:rPr>
        <w:t>The Protector of Citizens received a certain number of complaints which referred to the exercise of election right at parliamentary, provincial and local elections at 64 cities and municipalities, including Belgrade elections, which were held in December 2023. Complaints were not within the scope of competence of the Protector of Citizens so complainants were instructed and advised to address competent authorities.</w:t>
      </w:r>
    </w:p>
    <w:p w14:paraId="1B6D39E5" w14:textId="1B2B0D98" w:rsidR="00A217C1" w:rsidRPr="00D06E2E" w:rsidRDefault="00B778A8" w:rsidP="007B05DF">
      <w:pPr>
        <w:rPr>
          <w:lang w:val="sr-Latn-RS"/>
        </w:rPr>
      </w:pPr>
      <w:r w:rsidRPr="00D06E2E">
        <w:rPr>
          <w:lang w:val="sr-Latn-RS"/>
        </w:rPr>
        <w:t>As in previous years, this year too citizens contacted the Protector of Citizens for the purpose of tax collection by Tax Administration of the Ministry of Finance and local tax administrations. Complaints most frequently indicate to the fact that citizens were not introduced to the obligation of payment of tax and contributions, were not</w:t>
      </w:r>
      <w:r w:rsidR="00A217C1" w:rsidRPr="00D06E2E">
        <w:rPr>
          <w:lang w:val="sr-Latn-RS"/>
        </w:rPr>
        <w:t xml:space="preserve"> </w:t>
      </w:r>
      <w:r w:rsidRPr="00D06E2E">
        <w:rPr>
          <w:lang w:val="sr-Latn-RS"/>
        </w:rPr>
        <w:t>familiar with the amount of debt or due to the passed time period they were convinced that obligations on suc</w:t>
      </w:r>
      <w:r w:rsidR="002F18E1" w:rsidRPr="00D06E2E">
        <w:rPr>
          <w:lang w:val="sr-Latn-RS"/>
        </w:rPr>
        <w:t>h basis ceased to exist due to outdatedness of confirmation or collection.</w:t>
      </w:r>
    </w:p>
    <w:p w14:paraId="6A288E62" w14:textId="19E02806" w:rsidR="007B05DF" w:rsidRPr="00D06E2E" w:rsidRDefault="002F18E1" w:rsidP="007B05DF">
      <w:pPr>
        <w:rPr>
          <w:lang w:val="sr-Latn-RS"/>
        </w:rPr>
      </w:pPr>
      <w:r w:rsidRPr="00D06E2E">
        <w:rPr>
          <w:lang w:val="sr-Latn-RS"/>
        </w:rPr>
        <w:t>The legal obligation of Tax Administration and local tax administrations is to determine the outdatedness of tax and secondary tax obligations by official merit. The practice of the authority is different because the termination of a tax obligation due to outdatedness of collection is mostly confirmed upon the request of taxpayers, most frequently after addressing of citizens in the process of regular tax collection or after citizens contact the Protector of Citizens.</w:t>
      </w:r>
    </w:p>
    <w:p w14:paraId="2DFD1525" w14:textId="4478B14F" w:rsidR="00DA07D9" w:rsidRPr="00D06E2E" w:rsidRDefault="00B3152F" w:rsidP="00B3152F">
      <w:pPr>
        <w:rPr>
          <w:lang w:val="sr-Latn-RS"/>
        </w:rPr>
      </w:pPr>
      <w:r w:rsidRPr="00D06E2E">
        <w:rPr>
          <w:lang w:val="sr-Latn-RS"/>
        </w:rPr>
        <w:t>Citizen complaints related to the operation of Tax Administration were filed because of debt of taxpayers by decisions even though there was no liability of debt and the complainants were familiar with the existing decisions and debts only when decisions came into force or when Tax Administration started the procedure of forced charging of liabilities. Complaints referred also to the failure to submit for several months the complaint to the second-instance authority to decision made by first-instance authority to which the complaint was filed.</w:t>
      </w:r>
    </w:p>
    <w:p w14:paraId="244A5F6E" w14:textId="77777777" w:rsidR="000F1310" w:rsidRPr="00D06E2E" w:rsidRDefault="000F1310" w:rsidP="000F1310">
      <w:pPr>
        <w:spacing w:after="0"/>
        <w:jc w:val="center"/>
        <w:rPr>
          <w:sz w:val="24"/>
          <w:szCs w:val="24"/>
          <w:lang w:val="sr-Latn-RS"/>
        </w:rPr>
      </w:pPr>
    </w:p>
    <w:p w14:paraId="0555C8DC" w14:textId="2E83F68D" w:rsidR="00D91B8D" w:rsidRPr="00D06E2E" w:rsidRDefault="00304CEE" w:rsidP="00D91B8D">
      <w:pPr>
        <w:jc w:val="center"/>
        <w:rPr>
          <w:sz w:val="24"/>
          <w:szCs w:val="24"/>
          <w:lang w:val="sr-Latn-RS"/>
        </w:rPr>
      </w:pPr>
      <w:r w:rsidRPr="00D06E2E">
        <w:rPr>
          <w:sz w:val="24"/>
          <w:szCs w:val="24"/>
          <w:lang w:val="sr-Latn-RS"/>
        </w:rPr>
        <w:t>ECONOMIC AND PROPERTY RIGHTS</w:t>
      </w:r>
    </w:p>
    <w:p w14:paraId="1EA742D5" w14:textId="52FED7A8" w:rsidR="00C16822" w:rsidRPr="00D06E2E" w:rsidRDefault="00C16822" w:rsidP="00522EB7">
      <w:pPr>
        <w:rPr>
          <w:lang w:val="sr-Latn-RS"/>
        </w:rPr>
      </w:pPr>
      <w:r w:rsidRPr="00D06E2E">
        <w:rPr>
          <w:lang w:val="sr-Latn-RS"/>
        </w:rPr>
        <w:t>Based on the analysis of received complaints in the reporting period in the area of environmental protection, it may be concluded that citizens still mostly indicate to violations of rights due to air pollution, unpleasant smells and noise that are produced due to performance of various economic activities both catering and other activities, like agricultural farms in suburban areas.</w:t>
      </w:r>
    </w:p>
    <w:p w14:paraId="2FEE8AE1" w14:textId="13B86E14" w:rsidR="00C16822" w:rsidRPr="00D06E2E" w:rsidRDefault="00C16822" w:rsidP="00522EB7">
      <w:pPr>
        <w:rPr>
          <w:lang w:val="sr-Latn-RS"/>
        </w:rPr>
      </w:pPr>
      <w:r w:rsidRPr="00D06E2E">
        <w:rPr>
          <w:lang w:val="sr-Latn-RS"/>
        </w:rPr>
        <w:t xml:space="preserve">Moreover, based on individually conducted </w:t>
      </w:r>
      <w:r w:rsidR="00347873" w:rsidRPr="00D06E2E">
        <w:rPr>
          <w:lang w:val="sr-Latn-RS"/>
        </w:rPr>
        <w:t>inspection</w:t>
      </w:r>
      <w:r w:rsidRPr="00D06E2E">
        <w:rPr>
          <w:lang w:val="sr-Latn-RS"/>
        </w:rPr>
        <w:t xml:space="preserve"> oversight investigation of regularity and legality of the operation of administrative authorities, the Protector of Citizens noticed </w:t>
      </w:r>
      <w:r w:rsidRPr="00D06E2E">
        <w:rPr>
          <w:lang w:val="sr-Latn-RS"/>
        </w:rPr>
        <w:lastRenderedPageBreak/>
        <w:t xml:space="preserve">that acting inspection authorities in given cases ceased the inspection oversight investigation even though previously the factual state was not determined with precision and it was not conducted but the </w:t>
      </w:r>
      <w:r w:rsidR="00793BC7" w:rsidRPr="00D06E2E">
        <w:rPr>
          <w:lang w:val="sr-Latn-RS"/>
        </w:rPr>
        <w:t>decision of the inspection was passed or inspection authorities failed to take other legal measures with the aim of the removal of already determined irregularities.</w:t>
      </w:r>
    </w:p>
    <w:p w14:paraId="0F361B93" w14:textId="3FC6F6ED" w:rsidR="00522EB7" w:rsidRPr="00D06E2E" w:rsidRDefault="00793BC7" w:rsidP="00522EB7">
      <w:pPr>
        <w:rPr>
          <w:lang w:val="sr-Latn-RS"/>
        </w:rPr>
      </w:pPr>
      <w:r w:rsidRPr="00D06E2E">
        <w:rPr>
          <w:lang w:val="sr-Latn-RS"/>
        </w:rPr>
        <w:t>Even two years after the new Law on Environmental Noise Protection</w:t>
      </w:r>
      <w:r w:rsidR="00522EB7" w:rsidRPr="00D06E2E">
        <w:rPr>
          <w:vertAlign w:val="superscript"/>
          <w:lang w:val="sr-Latn-RS"/>
        </w:rPr>
        <w:footnoteReference w:id="27"/>
      </w:r>
      <w:r w:rsidRPr="00D06E2E">
        <w:rPr>
          <w:lang w:val="sr-Latn-RS"/>
        </w:rPr>
        <w:t xml:space="preserve"> was passed</w:t>
      </w:r>
      <w:r w:rsidR="00522EB7" w:rsidRPr="00D06E2E">
        <w:rPr>
          <w:lang w:val="sr-Latn-RS"/>
        </w:rPr>
        <w:t>,</w:t>
      </w:r>
      <w:r w:rsidRPr="00D06E2E">
        <w:rPr>
          <w:lang w:val="sr-Latn-RS"/>
        </w:rPr>
        <w:t xml:space="preserve"> only few local self-government units used the possibility to regulate by their own decision measures and conditions of sound protection and use of noise source at catering facilities, manner of control of noise level from catering facilities, as well as to provide conditions so that community police could measure the noise and thus enable more efficient oversight inspection in this area. Decisions on the manner of control of the noise level from catering facilities are passed for now only for Belgrade, Valjevo, Kruševac and Požarevac</w:t>
      </w:r>
      <w:r w:rsidR="00522EB7" w:rsidRPr="00D06E2E">
        <w:rPr>
          <w:lang w:val="sr-Latn-RS"/>
        </w:rPr>
        <w:t>.</w:t>
      </w:r>
      <w:r w:rsidR="00522EB7" w:rsidRPr="00D06E2E">
        <w:rPr>
          <w:vertAlign w:val="superscript"/>
          <w:lang w:val="sr-Latn-RS"/>
        </w:rPr>
        <w:footnoteReference w:id="28"/>
      </w:r>
      <w:r w:rsidR="00522EB7" w:rsidRPr="00D06E2E">
        <w:rPr>
          <w:lang w:val="sr-Latn-RS"/>
        </w:rPr>
        <w:t xml:space="preserve"> </w:t>
      </w:r>
    </w:p>
    <w:p w14:paraId="69A392C0" w14:textId="267C582A" w:rsidR="00C21517" w:rsidRPr="00D06E2E" w:rsidRDefault="00C21517" w:rsidP="00BC6B51">
      <w:pPr>
        <w:rPr>
          <w:lang w:val="sr-Latn-RS"/>
        </w:rPr>
      </w:pPr>
      <w:r w:rsidRPr="00D06E2E">
        <w:rPr>
          <w:lang w:val="sr-Latn-RS"/>
        </w:rPr>
        <w:t>During the reporting period the Law on Amendments to the Law on Waste Management</w:t>
      </w:r>
      <w:r w:rsidR="00BC6B51" w:rsidRPr="00D06E2E">
        <w:rPr>
          <w:vertAlign w:val="superscript"/>
          <w:lang w:val="sr-Latn-RS"/>
        </w:rPr>
        <w:footnoteReference w:id="29"/>
      </w:r>
      <w:r w:rsidRPr="00D06E2E">
        <w:rPr>
          <w:lang w:val="sr-Latn-RS"/>
        </w:rPr>
        <w:t xml:space="preserve"> whose goal was prescribing of stricter conditions for waste producers and operators of waste management. However, as subject amendments came into force in mid-year period, only in the following period it may be discussed on the actual effects of amendments. For now, even in the area of waste management, it goes that for more effective inspection oversight which frequently includes actions of senior inspection authorities to one overseen subject, the cooperation of all acting authorities and implementation of joint oversight is necessary in order to confirm the factual state and fullfillment of all legal obligations of the overseen subject.</w:t>
      </w:r>
    </w:p>
    <w:p w14:paraId="507713C9" w14:textId="4BFE9942" w:rsidR="009D3CEE" w:rsidRPr="00D06E2E" w:rsidRDefault="00C21517" w:rsidP="00106C68">
      <w:pPr>
        <w:pStyle w:val="Normal4"/>
        <w:spacing w:before="0" w:beforeAutospacing="0" w:after="120" w:afterAutospacing="0"/>
        <w:jc w:val="both"/>
        <w:rPr>
          <w:rFonts w:ascii="Book Antiqua" w:hAnsi="Book Antiqua"/>
          <w:lang w:val="sr-Latn-RS"/>
        </w:rPr>
      </w:pPr>
      <w:r w:rsidRPr="00D06E2E">
        <w:rPr>
          <w:rFonts w:ascii="Book Antiqua" w:hAnsi="Book Antiqua"/>
          <w:lang w:val="sr-Latn-RS"/>
        </w:rPr>
        <w:t>In this reporting period a new Regulation on the conditions of power delivery and supply</w:t>
      </w:r>
      <w:r w:rsidR="008C1233" w:rsidRPr="00D06E2E">
        <w:rPr>
          <w:rFonts w:ascii="Book Antiqua" w:hAnsi="Book Antiqua"/>
          <w:vertAlign w:val="superscript"/>
          <w:lang w:val="sr-Latn-RS"/>
        </w:rPr>
        <w:footnoteReference w:id="30"/>
      </w:r>
      <w:r w:rsidR="009D3CEE" w:rsidRPr="00D06E2E">
        <w:rPr>
          <w:rFonts w:ascii="Book Antiqua" w:hAnsi="Book Antiqua"/>
          <w:lang w:val="sr-Latn-RS"/>
        </w:rPr>
        <w:t xml:space="preserve"> was passed and it prescribes that unsettled obligations of the previous owner of the facility cannot be an obstruction to the new owner to conclude the contract on supply and contract on the access to the system. For years now, the Protector of Citizens indicated to the need for amendments to the Regulation on the conditions on power delivery and supply</w:t>
      </w:r>
      <w:r w:rsidR="008C1233" w:rsidRPr="00D06E2E">
        <w:rPr>
          <w:rFonts w:ascii="Book Antiqua" w:hAnsi="Book Antiqua"/>
          <w:vertAlign w:val="superscript"/>
          <w:lang w:val="sr-Latn-RS"/>
        </w:rPr>
        <w:footnoteReference w:id="31"/>
      </w:r>
      <w:r w:rsidR="009D3CEE" w:rsidRPr="00D06E2E">
        <w:rPr>
          <w:rFonts w:ascii="Book Antiqua" w:hAnsi="Book Antiqua"/>
          <w:lang w:val="sr-Latn-RS"/>
        </w:rPr>
        <w:t xml:space="preserve"> so that new owners would be provided with undisturbed conclusion of the contract on power supply whereas the settlement of outstanding receivables of the energy subject would have to be requested from the person who incurred the debt. Namely, in cases of real estate ownership change, new owners could not conclude the contract on power supply until they settle all remaining debts and that the connection of the facility and conclusion of the power supply contract is conditioned by the payment of the debt incurred by previous owners and thus new owners are without their guilt put in an unfavorable position.</w:t>
      </w:r>
    </w:p>
    <w:p w14:paraId="1E8A92A2" w14:textId="75CC0C73" w:rsidR="009D3CEE" w:rsidRPr="00D06E2E" w:rsidRDefault="007C4229" w:rsidP="00113F31">
      <w:pPr>
        <w:rPr>
          <w:lang w:val="sr-Latn-RS"/>
        </w:rPr>
      </w:pPr>
      <w:r w:rsidRPr="00D06E2E">
        <w:rPr>
          <w:lang w:val="sr-Latn-RS"/>
        </w:rPr>
        <w:t>This reporting period saw the increase of otherwise great number of complaints about the work of the Republic Geodetic Authority and Real Estate Cadaster Service. The reporting period was marked by complaints in which it was mostly indicated to untimeliness in acting upon requests and complaints in administrative procedures. Most of recommendations were issued with regards to multiple expiration of deadlines for decision making in second-instance procedure.</w:t>
      </w:r>
    </w:p>
    <w:p w14:paraId="0E9B8FAB" w14:textId="2480571A" w:rsidR="007C4229" w:rsidRPr="00D06E2E" w:rsidRDefault="007C4229" w:rsidP="00486FAC">
      <w:pPr>
        <w:rPr>
          <w:lang w:val="sr-Latn-RS"/>
        </w:rPr>
      </w:pPr>
      <w:r w:rsidRPr="00D06E2E">
        <w:rPr>
          <w:lang w:val="sr-Latn-RS"/>
        </w:rPr>
        <w:t>The reporting period was also marked by certain changes when it comes to normative framework of the operation of the Republic Geodetic Authority and activities in additional digitalization of the operation of this organization.</w:t>
      </w:r>
    </w:p>
    <w:p w14:paraId="13B5B5FD" w14:textId="5C6506A9" w:rsidR="00CD6133" w:rsidRPr="00D06E2E" w:rsidRDefault="007C4229" w:rsidP="00486FAC">
      <w:pPr>
        <w:rPr>
          <w:lang w:val="sr-Latn-RS"/>
        </w:rPr>
      </w:pPr>
      <w:r w:rsidRPr="00D06E2E">
        <w:rPr>
          <w:lang w:val="sr-Latn-RS"/>
        </w:rPr>
        <w:lastRenderedPageBreak/>
        <w:t>In October 2023, the National Assembly of the Republic of Serbia adopted proposals of the Law on Amendments to the Law on State Measure and Cadaster</w:t>
      </w:r>
      <w:r w:rsidR="00486FAC" w:rsidRPr="00D06E2E">
        <w:rPr>
          <w:rStyle w:val="FootnoteReference"/>
          <w:lang w:val="sr-Latn-RS"/>
        </w:rPr>
        <w:footnoteReference w:id="32"/>
      </w:r>
      <w:r w:rsidR="00486FAC" w:rsidRPr="00D06E2E">
        <w:rPr>
          <w:lang w:val="sr-Latn-RS"/>
        </w:rPr>
        <w:t xml:space="preserve"> </w:t>
      </w:r>
      <w:r w:rsidRPr="00D06E2E">
        <w:rPr>
          <w:lang w:val="sr-Latn-RS"/>
        </w:rPr>
        <w:t xml:space="preserve">as well as the Law on Amendments to the Law on the </w:t>
      </w:r>
      <w:r w:rsidR="00CD6133" w:rsidRPr="00D06E2E">
        <w:rPr>
          <w:lang w:val="sr-Latn-RS"/>
        </w:rPr>
        <w:t>Registration Procedure with the Cadaster of Real Estate</w:t>
      </w:r>
      <w:r w:rsidRPr="00D06E2E">
        <w:rPr>
          <w:lang w:val="sr-Latn-RS"/>
        </w:rPr>
        <w:t xml:space="preserve"> </w:t>
      </w:r>
      <w:r w:rsidR="00CD6133" w:rsidRPr="00D06E2E">
        <w:rPr>
          <w:lang w:val="sr-Latn-RS"/>
        </w:rPr>
        <w:t>and Utilities</w:t>
      </w:r>
      <w:r w:rsidR="00486FAC" w:rsidRPr="00D06E2E">
        <w:rPr>
          <w:rStyle w:val="FootnoteReference"/>
          <w:lang w:val="sr-Latn-RS"/>
        </w:rPr>
        <w:footnoteReference w:id="33"/>
      </w:r>
      <w:r w:rsidR="00486FAC" w:rsidRPr="00D06E2E">
        <w:rPr>
          <w:lang w:val="sr-Latn-RS"/>
        </w:rPr>
        <w:t xml:space="preserve">. </w:t>
      </w:r>
      <w:r w:rsidR="00CD6133" w:rsidRPr="00D06E2E">
        <w:rPr>
          <w:lang w:val="sr-Latn-RS"/>
        </w:rPr>
        <w:t xml:space="preserve">With regards to that, since November 4, 2023 the enforcement of the provisions of the law prescribing that requests shall be submitted to the cadaster exclusively via professional beneficiaries started. The beginning of the application of such legal provision was prolonged even after December 31, 2020 due to COVID-19 infectious disease pandemic. The effects of this novelty, with regards to the observance of short deadlines in acting upon requests and timeliness in decision making, since it is the idea to submit </w:t>
      </w:r>
      <w:r w:rsidR="00C507F2" w:rsidRPr="00D06E2E">
        <w:rPr>
          <w:lang w:val="sr-Latn-RS"/>
        </w:rPr>
        <w:t xml:space="preserve">via e-counter </w:t>
      </w:r>
      <w:r w:rsidR="00CD6133" w:rsidRPr="00D06E2E">
        <w:rPr>
          <w:lang w:val="sr-Latn-RS"/>
        </w:rPr>
        <w:t>proper requests with required attachments whose regularity would be checked by professional beneficiaries, could be estimated only after a certain period of time. What is evident now already is that this manner of request submission would involve additional financial burden for citizens as parties in procedures because, apart from republic administrative fees, the subject to the compensation would also be services of professional beneficiaries (lawyers, geodetic organizations). Moreover, the Protector of Citizens believes that such decision would additionally decrease the availability of services for real estate cadaster for communication with citizens, which was indicated to in previous annual reports too and Republic Geodetic Authority was asked to make services more accessible to parties.</w:t>
      </w:r>
    </w:p>
    <w:p w14:paraId="766E5E0B" w14:textId="0382EE59" w:rsidR="00C507F2" w:rsidRPr="00D06E2E" w:rsidRDefault="00C507F2" w:rsidP="00106C68">
      <w:pPr>
        <w:spacing w:after="0"/>
        <w:rPr>
          <w:lang w:val="sr-Latn-RS"/>
        </w:rPr>
      </w:pPr>
      <w:r w:rsidRPr="00D06E2E">
        <w:rPr>
          <w:lang w:val="sr-Latn-RS"/>
        </w:rPr>
        <w:t>The Law on Amendments to the Law on Incentives in Agriculture and Rural Development</w:t>
      </w:r>
      <w:r w:rsidR="00106C68" w:rsidRPr="00D06E2E">
        <w:rPr>
          <w:rStyle w:val="FootnoteReference"/>
          <w:lang w:val="sr-Latn-RS"/>
        </w:rPr>
        <w:footnoteReference w:id="34"/>
      </w:r>
      <w:r w:rsidRPr="00D06E2E">
        <w:rPr>
          <w:lang w:val="sr-Latn-RS"/>
        </w:rPr>
        <w:t xml:space="preserve"> regulates the application of the eAgrar system in the area of procedures for the exercise of right to incentives in agriculture and rural area, and whose legislative framework was set by the Law on Amendments to the Law on Agriculture and Rural Development</w:t>
      </w:r>
      <w:r w:rsidR="00106C68" w:rsidRPr="00D06E2E">
        <w:rPr>
          <w:rStyle w:val="FootnoteReference"/>
          <w:lang w:val="sr-Latn-RS"/>
        </w:rPr>
        <w:footnoteReference w:id="35"/>
      </w:r>
      <w:r w:rsidR="00106C68" w:rsidRPr="00D06E2E">
        <w:rPr>
          <w:lang w:val="sr-Latn-RS"/>
        </w:rPr>
        <w:t xml:space="preserve"> </w:t>
      </w:r>
      <w:r w:rsidRPr="00D06E2E">
        <w:rPr>
          <w:lang w:val="sr-Latn-RS"/>
        </w:rPr>
        <w:t>which came into force</w:t>
      </w:r>
      <w:r w:rsidR="00B00398" w:rsidRPr="00D06E2E">
        <w:rPr>
          <w:lang w:val="sr-Latn-RS"/>
        </w:rPr>
        <w:t xml:space="preserve"> on December 8, 2021. Nevertheless, as software solution eAgrar was in fact established only in the first half of 2023, based on received complaints of citizens, what follows is that the period of adjustments of both citizens and administrative authorities to new form of request submition and exercise of mutual communication was in progress. </w:t>
      </w:r>
    </w:p>
    <w:p w14:paraId="6DCE3880" w14:textId="1D12E460" w:rsidR="00106C68" w:rsidRPr="00D06E2E" w:rsidRDefault="00106C68" w:rsidP="00106C68">
      <w:pPr>
        <w:spacing w:after="0"/>
        <w:rPr>
          <w:lang w:val="sr-Latn-RS"/>
        </w:rPr>
      </w:pPr>
    </w:p>
    <w:p w14:paraId="78CFF6DC" w14:textId="77777777" w:rsidR="003D699E" w:rsidRPr="00D06E2E" w:rsidRDefault="003D699E" w:rsidP="00106C68">
      <w:pPr>
        <w:spacing w:after="0"/>
        <w:rPr>
          <w:lang w:val="sr-Latn-RS"/>
        </w:rPr>
      </w:pPr>
    </w:p>
    <w:p w14:paraId="42ADC85F" w14:textId="39AEC7D9" w:rsidR="00D91B8D" w:rsidRPr="00D06E2E" w:rsidRDefault="00304CEE" w:rsidP="00055D5E">
      <w:pPr>
        <w:jc w:val="center"/>
        <w:rPr>
          <w:sz w:val="24"/>
          <w:szCs w:val="24"/>
          <w:lang w:val="sr-Latn-RS"/>
        </w:rPr>
      </w:pPr>
      <w:r w:rsidRPr="00D06E2E">
        <w:rPr>
          <w:sz w:val="24"/>
          <w:szCs w:val="24"/>
          <w:lang w:val="sr-Latn-RS"/>
        </w:rPr>
        <w:t>SOCIAL AND CULTURAL RIGHTS</w:t>
      </w:r>
      <w:r w:rsidR="00D91B8D" w:rsidRPr="00D06E2E">
        <w:rPr>
          <w:sz w:val="24"/>
          <w:szCs w:val="24"/>
          <w:lang w:val="sr-Latn-RS"/>
        </w:rPr>
        <w:t xml:space="preserve"> </w:t>
      </w:r>
    </w:p>
    <w:p w14:paraId="6EAD2CD4" w14:textId="78DD2420" w:rsidR="00F75A9B" w:rsidRPr="00D06E2E" w:rsidRDefault="00F75A9B" w:rsidP="00836171">
      <w:pPr>
        <w:rPr>
          <w:lang w:val="sr-Latn-RS"/>
        </w:rPr>
      </w:pPr>
      <w:r w:rsidRPr="00D06E2E">
        <w:rPr>
          <w:lang w:val="sr-Latn-RS"/>
        </w:rPr>
        <w:t>This reporting period too in the area of labor relations was marked by the lack of social dialog with the representatives of employees and employers, inefficient acting of labor inspection due to insufficient number of labor inspectors and insufficiently developed cooperation of authorities competent for the protection of rights on the basis of labor and social welfare additionally aggravate the position of workers.</w:t>
      </w:r>
    </w:p>
    <w:p w14:paraId="1E19BF9B" w14:textId="5DD7249B" w:rsidR="00F75A9B" w:rsidRPr="00D06E2E" w:rsidRDefault="00F75A9B" w:rsidP="005B249F">
      <w:pPr>
        <w:rPr>
          <w:lang w:val="sr-Latn-RS"/>
        </w:rPr>
      </w:pPr>
      <w:r w:rsidRPr="00D06E2E">
        <w:rPr>
          <w:lang w:val="sr-Latn-RS"/>
        </w:rPr>
        <w:t>The insufficient number and inadequate structure of employees with poor work conditions influence the exercise of the rights from the area of social welfare and endanger the quality of social welfare services.</w:t>
      </w:r>
    </w:p>
    <w:p w14:paraId="7CB9312A" w14:textId="615329EE" w:rsidR="00F75A9B" w:rsidRPr="00D06E2E" w:rsidRDefault="00F75A9B" w:rsidP="00055D5E">
      <w:pPr>
        <w:spacing w:after="0"/>
        <w:rPr>
          <w:lang w:val="sr-Latn-RS"/>
        </w:rPr>
      </w:pPr>
      <w:r w:rsidRPr="00D06E2E">
        <w:rPr>
          <w:lang w:val="sr-Latn-RS"/>
        </w:rPr>
        <w:t xml:space="preserve">In their complaints citizens indicate to the fact that frequently due to unpaid contributions by employers they become socially endangered categories of population because they cannot exercise their rights from pension and disability insurance. The Protector of Citizens believes that it is required for the Ministry of Labor, Employment, Veteran and Social </w:t>
      </w:r>
      <w:r w:rsidR="00677748" w:rsidRPr="00D06E2E">
        <w:rPr>
          <w:lang w:val="sr-Latn-RS"/>
        </w:rPr>
        <w:t>Policy</w:t>
      </w:r>
      <w:r w:rsidRPr="00D06E2E">
        <w:rPr>
          <w:lang w:val="sr-Latn-RS"/>
        </w:rPr>
        <w:t xml:space="preserve"> to oversee the operation of the Republic Pension and Disability Insurance Fund (hereinafter PDI Fund) </w:t>
      </w:r>
      <w:r w:rsidRPr="00D06E2E">
        <w:rPr>
          <w:lang w:val="sr-Latn-RS"/>
        </w:rPr>
        <w:lastRenderedPageBreak/>
        <w:t>as well as to take all required measures to keep track of the activities of PDI Fund upon recommendations of the Protector of Citizens. PDI Fund should continue taking activities with the aim of the improvement of the operation, more timely keeping of registry records and more efficient acting upon requests of citizens</w:t>
      </w:r>
      <w:r w:rsidR="00A246C6" w:rsidRPr="00D06E2E">
        <w:rPr>
          <w:lang w:val="sr-Latn-RS"/>
        </w:rPr>
        <w:t xml:space="preserve"> for the exercise of rights from pension and disability fund with improvement of mutual cooperation of affiliates and more efficient cooperation with foreign funds. More effective cooperation between PDI Fund, Tax Administration and Labor Inspection with the aim of exchange of data and harmonization of the operation and activities would result in more efficient and comprehensive exercise of citizen rights from pension and disability insurance.</w:t>
      </w:r>
    </w:p>
    <w:p w14:paraId="395F00C7" w14:textId="77777777" w:rsidR="00D91B8D" w:rsidRPr="00D06E2E" w:rsidRDefault="00D91B8D" w:rsidP="00055D5E">
      <w:pPr>
        <w:spacing w:after="0"/>
        <w:jc w:val="center"/>
        <w:rPr>
          <w:sz w:val="24"/>
          <w:szCs w:val="24"/>
          <w:lang w:val="sr-Latn-RS"/>
        </w:rPr>
      </w:pPr>
    </w:p>
    <w:p w14:paraId="0CADB5CD" w14:textId="317240D8" w:rsidR="00D91B8D" w:rsidRPr="00D06E2E" w:rsidRDefault="002714BB" w:rsidP="00D91B8D">
      <w:pPr>
        <w:jc w:val="center"/>
        <w:rPr>
          <w:sz w:val="24"/>
          <w:szCs w:val="24"/>
          <w:lang w:val="sr-Latn-RS"/>
        </w:rPr>
      </w:pPr>
      <w:r w:rsidRPr="00D06E2E">
        <w:rPr>
          <w:sz w:val="24"/>
          <w:szCs w:val="24"/>
          <w:lang w:val="sr-Latn-RS"/>
        </w:rPr>
        <w:t>KOSOVO AND METOHI</w:t>
      </w:r>
      <w:r w:rsidR="00304CEE" w:rsidRPr="00D06E2E">
        <w:rPr>
          <w:sz w:val="24"/>
          <w:szCs w:val="24"/>
          <w:lang w:val="sr-Latn-RS"/>
        </w:rPr>
        <w:t>A</w:t>
      </w:r>
    </w:p>
    <w:p w14:paraId="39FFA93C" w14:textId="3B1B7A44" w:rsidR="00A246C6" w:rsidRPr="00D06E2E" w:rsidRDefault="00A246C6" w:rsidP="004E6967">
      <w:pPr>
        <w:rPr>
          <w:lang w:val="sr-Latn-RS"/>
        </w:rPr>
      </w:pPr>
      <w:r w:rsidRPr="00D06E2E">
        <w:rPr>
          <w:lang w:val="sr-Latn-RS"/>
        </w:rPr>
        <w:t>The Protector of Citizens is still not in the position to exercise its competences at the territory of the Autono</w:t>
      </w:r>
      <w:r w:rsidR="002714BB" w:rsidRPr="00D06E2E">
        <w:rPr>
          <w:lang w:val="sr-Latn-RS"/>
        </w:rPr>
        <w:t>mous Province Kosovo and Metohi</w:t>
      </w:r>
      <w:r w:rsidRPr="00D06E2E">
        <w:rPr>
          <w:lang w:val="sr-Latn-RS"/>
        </w:rPr>
        <w:t xml:space="preserve">a in the manner prescribed by the Constitution and Law. As the national institution for human rights, the Protector of Citizens issued letters to more than 100 addresses of relevant international organizations and professional networks whose member it is, in which it invited to deepening of the debate on the exercise of human rights in post-conflict societies and especially insisted on full respect of international human right treaties, especially United Nations Convention against torture and other cruel, inhumane or degrading treatment or punishment. </w:t>
      </w:r>
    </w:p>
    <w:p w14:paraId="12A4F374" w14:textId="43694016" w:rsidR="00DE6B51" w:rsidRPr="00D06E2E" w:rsidRDefault="00DE6B51" w:rsidP="004E6967">
      <w:pPr>
        <w:rPr>
          <w:lang w:val="sr-Latn-RS"/>
        </w:rPr>
      </w:pPr>
      <w:r w:rsidRPr="00D06E2E">
        <w:rPr>
          <w:lang w:val="sr-Latn-RS"/>
        </w:rPr>
        <w:t>In June and July 2023 the Protector of Citizens highlighted the unfavorable position of deta</w:t>
      </w:r>
      <w:r w:rsidR="002714BB" w:rsidRPr="00D06E2E">
        <w:rPr>
          <w:lang w:val="sr-Latn-RS"/>
        </w:rPr>
        <w:t>ined Serbs at Kosovo and Metohi</w:t>
      </w:r>
      <w:r w:rsidRPr="00D06E2E">
        <w:rPr>
          <w:lang w:val="sr-Latn-RS"/>
        </w:rPr>
        <w:t>a also to the Mission of temporary administration of United Nations at Kosovo (UNMIK), Mission of the European Union for he rule of law at Kosovo (EULEKS), Organization for European Safety and Cooperation (OEBS) as well as International Committee of Red Cross expressing its concern about the status of deta</w:t>
      </w:r>
      <w:r w:rsidR="002714BB" w:rsidRPr="00D06E2E">
        <w:rPr>
          <w:lang w:val="sr-Latn-RS"/>
        </w:rPr>
        <w:t>ined Serbs at Kosovo and Metohi</w:t>
      </w:r>
      <w:r w:rsidRPr="00D06E2E">
        <w:rPr>
          <w:lang w:val="sr-Latn-RS"/>
        </w:rPr>
        <w:t>a.</w:t>
      </w:r>
    </w:p>
    <w:p w14:paraId="1CE68D07" w14:textId="3E1ADDDD" w:rsidR="004E6967" w:rsidRPr="00D06E2E" w:rsidRDefault="00DE6B51" w:rsidP="0015691D">
      <w:pPr>
        <w:spacing w:after="0"/>
        <w:rPr>
          <w:lang w:val="sr-Latn-RS"/>
        </w:rPr>
      </w:pPr>
      <w:r w:rsidRPr="00D06E2E">
        <w:rPr>
          <w:lang w:val="sr-Latn-RS"/>
        </w:rPr>
        <w:t>Early in August 2023, the Protector of Citizens initiated the meeting with the boss of Regional Delegation of the International Committee of Red Cross as well as regional coordinator of this independent charity organization where the concern was expressed about the position of detained Serbs at Kosovo and Metohija.</w:t>
      </w:r>
    </w:p>
    <w:p w14:paraId="2BA7E62D" w14:textId="77777777" w:rsidR="0015691D" w:rsidRPr="00D06E2E" w:rsidRDefault="0015691D" w:rsidP="0015691D">
      <w:pPr>
        <w:spacing w:after="0"/>
        <w:rPr>
          <w:lang w:val="sr-Latn-RS"/>
        </w:rPr>
      </w:pPr>
    </w:p>
    <w:p w14:paraId="65869292" w14:textId="421571F0" w:rsidR="00D91B8D" w:rsidRPr="00D06E2E" w:rsidRDefault="00304CEE" w:rsidP="0015691D">
      <w:pPr>
        <w:jc w:val="center"/>
        <w:rPr>
          <w:sz w:val="24"/>
          <w:szCs w:val="24"/>
          <w:lang w:val="sr-Latn-RS"/>
        </w:rPr>
      </w:pPr>
      <w:r w:rsidRPr="00D06E2E">
        <w:rPr>
          <w:sz w:val="24"/>
          <w:szCs w:val="24"/>
          <w:lang w:val="sr-Latn-RS"/>
        </w:rPr>
        <w:t>FREEDOM OF EXPRESSION</w:t>
      </w:r>
    </w:p>
    <w:p w14:paraId="596E48A9" w14:textId="483FB440" w:rsidR="00DE6B51" w:rsidRPr="00D06E2E" w:rsidRDefault="00DE6B51" w:rsidP="00D16FBF">
      <w:pPr>
        <w:rPr>
          <w:lang w:val="sr-Latn-RS"/>
        </w:rPr>
      </w:pPr>
      <w:r w:rsidRPr="00D06E2E">
        <w:rPr>
          <w:lang w:val="sr-Latn-RS"/>
        </w:rPr>
        <w:t>In the reporting year the freedom of expression in the Republic of Serbia is generally widely present through pluralism of the media and numerous social networks online. However, as in previous year, journalists were victims of verbal and physical assaults. Competent authorities acted in cases of physical and verbal assaults to journalists.</w:t>
      </w:r>
    </w:p>
    <w:p w14:paraId="2A252FF4" w14:textId="04EB5A74" w:rsidR="00D16FBF" w:rsidRPr="00D06E2E" w:rsidRDefault="00DE6B51" w:rsidP="00D16FBF">
      <w:pPr>
        <w:rPr>
          <w:lang w:val="sr-Latn-RS"/>
        </w:rPr>
      </w:pPr>
      <w:r w:rsidRPr="00D06E2E">
        <w:rPr>
          <w:lang w:val="sr-Latn-RS"/>
        </w:rPr>
        <w:t xml:space="preserve">According to the data of Journalists Association of Serbia, the number of physical assault to journalists in 2023 was increased compared to 2022. The number of verbal assaults and threats was smaller, but the number of pressures is almost double. Journalists Association of Serbia recorded 111 cases of endangering of the rights of journalists, whereas the most frequent form of endangering of journalist freedom is the pressure which occurred </w:t>
      </w:r>
      <w:r w:rsidR="007E78A5" w:rsidRPr="00D06E2E">
        <w:rPr>
          <w:lang w:val="sr-Latn-RS"/>
        </w:rPr>
        <w:t xml:space="preserve">twice as many times as in the previous reporting period. Journalists Association of Serbia recorded death threats, threats to set the editorial office on fire, bomb threats, cases of operation obstruction, offenses, property attacks, SLAP suits, etc. Higher Court in Belgrade convicted journalist Milovan Brkić in July 2023 to sentence of 14 months of prison due to criminal act of Calling for violent change of the constitutional organization. After passing of the verdict, Brkić went on hunger strike, </w:t>
      </w:r>
      <w:r w:rsidR="007E78A5" w:rsidRPr="00D06E2E">
        <w:rPr>
          <w:lang w:val="sr-Latn-RS"/>
        </w:rPr>
        <w:lastRenderedPageBreak/>
        <w:t>after which he was transferred to Special prison hospital in Bačvanska street in Belgrade where the protector of Citizens, Zoran Pašalić M</w:t>
      </w:r>
      <w:r w:rsidR="002050A8" w:rsidRPr="00D06E2E">
        <w:rPr>
          <w:lang w:val="sr-Latn-RS"/>
        </w:rPr>
        <w:t>.</w:t>
      </w:r>
      <w:r w:rsidR="007E78A5" w:rsidRPr="00D06E2E">
        <w:rPr>
          <w:lang w:val="sr-Latn-RS"/>
        </w:rPr>
        <w:t>Sc</w:t>
      </w:r>
      <w:r w:rsidR="002050A8" w:rsidRPr="00D06E2E">
        <w:rPr>
          <w:lang w:val="sr-Latn-RS"/>
        </w:rPr>
        <w:t>.</w:t>
      </w:r>
      <w:r w:rsidR="007E78A5" w:rsidRPr="00D06E2E">
        <w:rPr>
          <w:lang w:val="sr-Latn-RS"/>
        </w:rPr>
        <w:t xml:space="preserve"> talked to him</w:t>
      </w:r>
      <w:r w:rsidR="00D16FBF" w:rsidRPr="00D06E2E">
        <w:rPr>
          <w:rStyle w:val="FootnoteReference"/>
          <w:lang w:val="sr-Latn-RS"/>
        </w:rPr>
        <w:footnoteReference w:id="36"/>
      </w:r>
      <w:r w:rsidR="00D16FBF" w:rsidRPr="00D06E2E">
        <w:rPr>
          <w:lang w:val="sr-Latn-RS"/>
        </w:rPr>
        <w:t>.</w:t>
      </w:r>
    </w:p>
    <w:p w14:paraId="6FAD69EC" w14:textId="19E9FCC6" w:rsidR="00D16FBF" w:rsidRPr="00D06E2E" w:rsidRDefault="007E78A5" w:rsidP="00D16FBF">
      <w:pPr>
        <w:rPr>
          <w:lang w:val="sr-Latn-RS"/>
        </w:rPr>
      </w:pPr>
      <w:r w:rsidRPr="00D06E2E">
        <w:rPr>
          <w:lang w:val="sr-Latn-RS"/>
        </w:rPr>
        <w:t>Independent Journalist Association of Serbia in 2023 recorded 183 assaults to journalists of which 11 physical assaults, 46 verbal threats and 123 pressures</w:t>
      </w:r>
      <w:r w:rsidR="00D16FBF" w:rsidRPr="00D06E2E">
        <w:rPr>
          <w:rStyle w:val="FootnoteReference"/>
          <w:lang w:val="sr-Latn-RS"/>
        </w:rPr>
        <w:footnoteReference w:id="37"/>
      </w:r>
      <w:r w:rsidR="00D16FBF" w:rsidRPr="00D06E2E">
        <w:rPr>
          <w:lang w:val="sr-Latn-RS"/>
        </w:rPr>
        <w:t xml:space="preserve">. </w:t>
      </w:r>
      <w:r w:rsidRPr="00D06E2E">
        <w:rPr>
          <w:lang w:val="sr-Latn-RS"/>
        </w:rPr>
        <w:t>According to the data of this association, attacks to journalists are on the increse since 2013. The Independent Journalist Association of Serbia published that based on filed criminal charges during 2023 at public prosecutor’s offices</w:t>
      </w:r>
      <w:r w:rsidR="00987DF0" w:rsidRPr="00D06E2E">
        <w:rPr>
          <w:lang w:val="sr-Latn-RS"/>
        </w:rPr>
        <w:t xml:space="preserve"> 70 cases were created with regards to events to the detriment of the persons who perform the activities of public importance in the area of information and that at six cases the conviction verdict was passed</w:t>
      </w:r>
      <w:r w:rsidR="00D16FBF" w:rsidRPr="00D06E2E">
        <w:rPr>
          <w:rStyle w:val="FootnoteReference"/>
          <w:lang w:val="sr-Latn-RS"/>
        </w:rPr>
        <w:footnoteReference w:id="38"/>
      </w:r>
      <w:r w:rsidR="00D16FBF" w:rsidRPr="00D06E2E">
        <w:rPr>
          <w:lang w:val="sr-Latn-RS"/>
        </w:rPr>
        <w:t>.</w:t>
      </w:r>
    </w:p>
    <w:p w14:paraId="26D657CC" w14:textId="4A3385AF" w:rsidR="00987DF0" w:rsidRPr="00D06E2E" w:rsidRDefault="00987DF0" w:rsidP="001C0B8F">
      <w:pPr>
        <w:spacing w:after="0"/>
        <w:rPr>
          <w:lang w:val="sr-Latn-RS"/>
        </w:rPr>
      </w:pPr>
      <w:r w:rsidRPr="00D06E2E">
        <w:rPr>
          <w:lang w:val="sr-Latn-RS"/>
        </w:rPr>
        <w:t>The Standing working group for safety of the press which includes representatives of Republic Public Prosecutor’s office, Ministry of interior and six press associa</w:t>
      </w:r>
      <w:r w:rsidR="00C908D2" w:rsidRPr="00D06E2E">
        <w:rPr>
          <w:lang w:val="sr-Latn-RS"/>
        </w:rPr>
        <w:t>tions</w:t>
      </w:r>
      <w:r w:rsidRPr="00D06E2E">
        <w:rPr>
          <w:lang w:val="sr-Latn-RS"/>
        </w:rPr>
        <w:t xml:space="preserve"> published the report</w:t>
      </w:r>
      <w:r w:rsidRPr="00D06E2E">
        <w:rPr>
          <w:vertAlign w:val="superscript"/>
          <w:lang w:val="sr-Latn-RS"/>
        </w:rPr>
        <w:t xml:space="preserve"> </w:t>
      </w:r>
      <w:r w:rsidR="00C908D2" w:rsidRPr="00D06E2E">
        <w:rPr>
          <w:rStyle w:val="FootnoteReference"/>
          <w:lang w:val="sr-Latn-RS"/>
        </w:rPr>
        <w:footnoteReference w:id="39"/>
      </w:r>
      <w:r w:rsidRPr="00D06E2E">
        <w:rPr>
          <w:lang w:val="sr-Latn-RS"/>
        </w:rPr>
        <w:t>on the threats and journalist attention.</w:t>
      </w:r>
    </w:p>
    <w:p w14:paraId="6AC56B1B" w14:textId="4C0497B0" w:rsidR="00D16FBF" w:rsidRPr="00D06E2E" w:rsidRDefault="00D16FBF" w:rsidP="001C0B8F">
      <w:pPr>
        <w:spacing w:after="0"/>
        <w:rPr>
          <w:lang w:val="sr-Latn-RS"/>
        </w:rPr>
      </w:pPr>
    </w:p>
    <w:p w14:paraId="771ED1A2" w14:textId="77777777" w:rsidR="001C0B8F" w:rsidRPr="00D06E2E" w:rsidRDefault="001C0B8F" w:rsidP="001C0B8F">
      <w:pPr>
        <w:spacing w:after="0"/>
        <w:jc w:val="center"/>
        <w:rPr>
          <w:sz w:val="24"/>
          <w:szCs w:val="24"/>
          <w:lang w:val="sr-Latn-RS"/>
        </w:rPr>
      </w:pPr>
    </w:p>
    <w:p w14:paraId="42EE181C" w14:textId="20CCF1EC" w:rsidR="00D91B8D" w:rsidRPr="00D06E2E" w:rsidRDefault="00304CEE" w:rsidP="00D91B8D">
      <w:pPr>
        <w:jc w:val="center"/>
        <w:rPr>
          <w:sz w:val="24"/>
          <w:szCs w:val="24"/>
          <w:lang w:val="sr-Latn-RS"/>
        </w:rPr>
      </w:pPr>
      <w:r w:rsidRPr="00D06E2E">
        <w:rPr>
          <w:sz w:val="24"/>
          <w:szCs w:val="24"/>
          <w:lang w:val="sr-Latn-RS"/>
        </w:rPr>
        <w:t>HUMAN RIGHTS IN THE MEDIA</w:t>
      </w:r>
    </w:p>
    <w:p w14:paraId="7C883807" w14:textId="26E169F7" w:rsidR="00934C30" w:rsidRPr="00D06E2E" w:rsidRDefault="00793BC7" w:rsidP="00934C30">
      <w:pPr>
        <w:rPr>
          <w:lang w:val="sr-Latn-RS"/>
        </w:rPr>
      </w:pPr>
      <w:r w:rsidRPr="00D06E2E">
        <w:rPr>
          <w:lang w:val="sr-Latn-RS"/>
        </w:rPr>
        <w:t>When it comes to human rights in the reporting period the media most frequently reported about child right protection and fight against peer violence on the fight against violence against women, as well as on problems elderly women in villages faced in everyday life</w:t>
      </w:r>
      <w:r w:rsidR="00934C30" w:rsidRPr="00D06E2E">
        <w:rPr>
          <w:rStyle w:val="FootnoteReference"/>
          <w:lang w:val="sr-Latn-RS"/>
        </w:rPr>
        <w:footnoteReference w:id="40"/>
      </w:r>
      <w:r w:rsidR="00934C30" w:rsidRPr="00D06E2E">
        <w:rPr>
          <w:lang w:val="sr-Latn-RS"/>
        </w:rPr>
        <w:t xml:space="preserve">. </w:t>
      </w:r>
    </w:p>
    <w:p w14:paraId="580D8958" w14:textId="29CC14CD" w:rsidR="004C618F" w:rsidRPr="00D06E2E" w:rsidRDefault="00793BC7" w:rsidP="000A2F3E">
      <w:pPr>
        <w:rPr>
          <w:lang w:val="sr-Latn-RS"/>
        </w:rPr>
      </w:pPr>
      <w:r w:rsidRPr="00D06E2E">
        <w:rPr>
          <w:lang w:val="sr-Latn-RS"/>
        </w:rPr>
        <w:t>What attracted great attention of the media was the tragedy at Belgrade Elementary school “Vladislav Ribnikar”</w:t>
      </w:r>
      <w:r w:rsidR="000A2F3E" w:rsidRPr="00D06E2E">
        <w:rPr>
          <w:rStyle w:val="FootnoteReference"/>
          <w:lang w:val="sr-Latn-RS"/>
        </w:rPr>
        <w:footnoteReference w:id="41"/>
      </w:r>
      <w:r w:rsidR="000A2F3E" w:rsidRPr="00D06E2E">
        <w:rPr>
          <w:lang w:val="sr-Latn-RS"/>
        </w:rPr>
        <w:t xml:space="preserve"> </w:t>
      </w:r>
      <w:r w:rsidR="004C618F" w:rsidRPr="00D06E2E">
        <w:rPr>
          <w:lang w:val="sr-Latn-RS"/>
        </w:rPr>
        <w:t>from May</w:t>
      </w:r>
      <w:r w:rsidR="000A2F3E" w:rsidRPr="00D06E2E">
        <w:rPr>
          <w:lang w:val="sr-Latn-RS"/>
        </w:rPr>
        <w:t xml:space="preserve"> 3</w:t>
      </w:r>
      <w:r w:rsidR="004C618F" w:rsidRPr="00D06E2E">
        <w:rPr>
          <w:lang w:val="sr-Latn-RS"/>
        </w:rPr>
        <w:t>, 2023 in which the student of that school killed eight students and school guard. Only a day later, on May 4, 2023, the media space was filled with reports on new tragedy which occurred at villages Dubona near Mladenovac and Malo Orašje near Smederevo.</w:t>
      </w:r>
    </w:p>
    <w:p w14:paraId="6B2C3D67" w14:textId="022BAEC5" w:rsidR="00630EC3" w:rsidRPr="00D06E2E" w:rsidRDefault="00630EC3" w:rsidP="00934C30">
      <w:pPr>
        <w:rPr>
          <w:lang w:val="sr-Latn-RS"/>
        </w:rPr>
      </w:pPr>
      <w:r w:rsidRPr="00D06E2E">
        <w:rPr>
          <w:lang w:val="sr-Latn-RS"/>
        </w:rPr>
        <w:t>The exercise of political rights of citizens was one of the topics the media dealt with especially since on December 17, 2023 extraordinary parliamentary, provincial and local elections were held at 65 municipalities and towns.</w:t>
      </w:r>
    </w:p>
    <w:p w14:paraId="10DA6606" w14:textId="72F50B51" w:rsidR="00934C30" w:rsidRPr="00D06E2E" w:rsidRDefault="00630EC3" w:rsidP="00630EC3">
      <w:pPr>
        <w:rPr>
          <w:lang w:val="sr-Latn-RS"/>
        </w:rPr>
      </w:pPr>
      <w:r w:rsidRPr="00D06E2E">
        <w:rPr>
          <w:lang w:val="sr-Latn-RS"/>
        </w:rPr>
        <w:t xml:space="preserve">As in previous several years, a topic interesting to the media was the exercise of economic and property and social rights of citizens. </w:t>
      </w:r>
    </w:p>
    <w:p w14:paraId="3DC01331" w14:textId="0D0439F1" w:rsidR="00630EC3" w:rsidRPr="00D06E2E" w:rsidRDefault="00630EC3" w:rsidP="00630EC3">
      <w:pPr>
        <w:rPr>
          <w:lang w:val="sr-Latn-RS"/>
        </w:rPr>
      </w:pPr>
      <w:r w:rsidRPr="00D06E2E">
        <w:rPr>
          <w:lang w:val="sr-Latn-RS"/>
        </w:rPr>
        <w:t>In numerous reports the media reported about all events related to the organization of Pride on September 9, 2023 in Belgrade, which was held without incidents.</w:t>
      </w:r>
    </w:p>
    <w:p w14:paraId="05DCB1FC" w14:textId="32E08252" w:rsidR="00934C30" w:rsidRPr="00D06E2E" w:rsidRDefault="00630EC3" w:rsidP="00934C30">
      <w:pPr>
        <w:rPr>
          <w:lang w:val="sr-Latn-RS"/>
        </w:rPr>
      </w:pPr>
      <w:r w:rsidRPr="00D06E2E">
        <w:rPr>
          <w:lang w:val="sr-Latn-RS"/>
        </w:rPr>
        <w:t>In the focus of the media was endangerment of human rights of the Serbs in Kosovo and Metohija, especially of those apprehended during protest in late May 2023 in Zvečan, which is why the protector of citizens Zoran Pašalić, M</w:t>
      </w:r>
      <w:r w:rsidR="002050A8" w:rsidRPr="00D06E2E">
        <w:rPr>
          <w:lang w:val="sr-Latn-RS"/>
        </w:rPr>
        <w:t>.</w:t>
      </w:r>
      <w:r w:rsidRPr="00D06E2E">
        <w:rPr>
          <w:lang w:val="sr-Latn-RS"/>
        </w:rPr>
        <w:t>Sc</w:t>
      </w:r>
      <w:r w:rsidR="002050A8" w:rsidRPr="00D06E2E">
        <w:rPr>
          <w:lang w:val="sr-Latn-RS"/>
        </w:rPr>
        <w:t>.</w:t>
      </w:r>
      <w:r w:rsidRPr="00D06E2E">
        <w:rPr>
          <w:lang w:val="sr-Latn-RS"/>
        </w:rPr>
        <w:t xml:space="preserve"> sent letters to addresses of 106 national institutions dealing with the protection of human rights and asked the International Committee of Red Cross to protect arrested Serbs from furhter torture and abuse.</w:t>
      </w:r>
      <w:r w:rsidR="00934C30" w:rsidRPr="00D06E2E">
        <w:rPr>
          <w:lang w:val="sr-Latn-RS"/>
        </w:rPr>
        <w:t xml:space="preserve"> </w:t>
      </w:r>
    </w:p>
    <w:p w14:paraId="37024F49" w14:textId="3ED6C71A" w:rsidR="000636B1" w:rsidRPr="00D06E2E" w:rsidRDefault="000636B1" w:rsidP="00934C30">
      <w:pPr>
        <w:spacing w:after="0"/>
        <w:jc w:val="center"/>
        <w:rPr>
          <w:sz w:val="24"/>
          <w:szCs w:val="24"/>
          <w:lang w:val="sr-Latn-RS"/>
        </w:rPr>
      </w:pPr>
    </w:p>
    <w:p w14:paraId="50A103B1" w14:textId="0DD7F4A1" w:rsidR="00987DF0" w:rsidRPr="00D06E2E" w:rsidRDefault="00987DF0" w:rsidP="00934C30">
      <w:pPr>
        <w:spacing w:after="0"/>
        <w:jc w:val="center"/>
        <w:rPr>
          <w:sz w:val="24"/>
          <w:szCs w:val="24"/>
          <w:lang w:val="sr-Latn-RS"/>
        </w:rPr>
      </w:pPr>
    </w:p>
    <w:p w14:paraId="30D08288" w14:textId="77777777" w:rsidR="00987DF0" w:rsidRPr="00D06E2E" w:rsidRDefault="00987DF0" w:rsidP="00934C30">
      <w:pPr>
        <w:spacing w:after="0"/>
        <w:jc w:val="center"/>
        <w:rPr>
          <w:sz w:val="24"/>
          <w:szCs w:val="24"/>
          <w:lang w:val="sr-Latn-RS"/>
        </w:rPr>
      </w:pPr>
    </w:p>
    <w:p w14:paraId="1FF4ADDB" w14:textId="2B2168CE" w:rsidR="00DA4969" w:rsidRPr="00D06E2E" w:rsidRDefault="00304CEE" w:rsidP="00DA4969">
      <w:pPr>
        <w:jc w:val="center"/>
        <w:rPr>
          <w:sz w:val="24"/>
          <w:szCs w:val="24"/>
          <w:lang w:val="sr-Latn-RS"/>
        </w:rPr>
      </w:pPr>
      <w:r w:rsidRPr="00D06E2E">
        <w:rPr>
          <w:sz w:val="24"/>
          <w:szCs w:val="24"/>
          <w:lang w:val="sr-Latn-RS"/>
        </w:rPr>
        <w:lastRenderedPageBreak/>
        <w:t>OFFICIAL USE OF SERBIAN LANGUAGE AND CYRILLIC</w:t>
      </w:r>
    </w:p>
    <w:p w14:paraId="0D0E24C7" w14:textId="6623F040" w:rsidR="007F0B45" w:rsidRPr="00D06E2E" w:rsidRDefault="009F5AA4" w:rsidP="00017BC2">
      <w:pPr>
        <w:pStyle w:val="Italicpodnaslovi"/>
        <w:jc w:val="both"/>
        <w:rPr>
          <w:i w:val="0"/>
          <w:lang w:val="sr-Latn-RS"/>
        </w:rPr>
      </w:pPr>
      <w:r w:rsidRPr="00D06E2E">
        <w:rPr>
          <w:i w:val="0"/>
          <w:lang w:val="sr-Latn-RS"/>
        </w:rPr>
        <w:t>In 2023 the Protector of Citizens received a number of complaints indicating to the fact that public companies do not act in compliance with the law and C</w:t>
      </w:r>
      <w:r w:rsidR="007F0B45" w:rsidRPr="00D06E2E">
        <w:rPr>
          <w:i w:val="0"/>
          <w:lang w:val="sr-Latn-RS"/>
        </w:rPr>
        <w:t>onstitution and that, contrary to the law, official acts and in bill issuing, apart from the Serbian language and Cyrillic, Latin is used, too. In the reporting period, the Protector of Citizens received complaints which referred to the violation of provisions of the Law on the use of the Serbian language in public life and protection and conservation of Cyrillic</w:t>
      </w:r>
      <w:r w:rsidR="00017BC2" w:rsidRPr="00D06E2E">
        <w:rPr>
          <w:rStyle w:val="FootnoteReference"/>
          <w:i w:val="0"/>
          <w:lang w:val="sr-Latn-RS"/>
        </w:rPr>
        <w:footnoteReference w:id="42"/>
      </w:r>
      <w:r w:rsidR="00017BC2" w:rsidRPr="00D06E2E">
        <w:rPr>
          <w:i w:val="0"/>
          <w:lang w:val="sr-Latn-RS"/>
        </w:rPr>
        <w:t xml:space="preserve">. </w:t>
      </w:r>
      <w:r w:rsidR="007F0B45" w:rsidRPr="00D06E2E">
        <w:rPr>
          <w:i w:val="0"/>
          <w:lang w:val="sr-Latn-RS"/>
        </w:rPr>
        <w:t>The complaints state that the Ministry of Culture does not act upon complaints for the performance of inspection supervision of the public company operation which do not observe the obligation of the use of the Serbian language and Cyrillic in their operation. Acting upon complaints is in progress. As in previous years, citizens approached the Protector of Citizens to express dissatisfaction with the use of Latin by business banks, which is not within the scope of jurisdiction of this authority since the Protector of Citizens is not competent to control business banks which are private companies nor banks are obliged to official use of the language and alphabet.</w:t>
      </w:r>
    </w:p>
    <w:p w14:paraId="05F9F9BD" w14:textId="77777777" w:rsidR="00CE5DC2" w:rsidRPr="00D06E2E" w:rsidRDefault="00CE5DC2">
      <w:pPr>
        <w:spacing w:after="0"/>
        <w:jc w:val="left"/>
        <w:rPr>
          <w:rFonts w:eastAsia="Times New Roman"/>
          <w:lang w:val="sr-Latn-RS"/>
        </w:rPr>
      </w:pPr>
      <w:r w:rsidRPr="00D06E2E">
        <w:rPr>
          <w:rFonts w:eastAsia="Times New Roman"/>
          <w:lang w:val="sr-Latn-RS"/>
        </w:rPr>
        <w:br w:type="page"/>
      </w:r>
    </w:p>
    <w:p w14:paraId="61EE7E48" w14:textId="24187145" w:rsidR="00816D5F" w:rsidRPr="00D06E2E" w:rsidRDefault="00304CEE" w:rsidP="004508E1">
      <w:pPr>
        <w:pStyle w:val="Heading1"/>
        <w:spacing w:before="0" w:after="0"/>
        <w:rPr>
          <w:lang w:val="sr-Latn-RS"/>
        </w:rPr>
      </w:pPr>
      <w:r w:rsidRPr="00D06E2E">
        <w:rPr>
          <w:bCs w:val="0"/>
          <w:szCs w:val="32"/>
          <w:lang w:val="sr-Latn-RS"/>
        </w:rPr>
        <w:lastRenderedPageBreak/>
        <w:t>BASIC STATISTICAL REVIEW</w:t>
      </w:r>
    </w:p>
    <w:p w14:paraId="0AC80771" w14:textId="77777777" w:rsidR="004508E1" w:rsidRPr="00D06E2E" w:rsidRDefault="004508E1" w:rsidP="004508E1">
      <w:pPr>
        <w:spacing w:after="0"/>
        <w:rPr>
          <w:lang w:val="sr-Latn-RS"/>
        </w:rPr>
      </w:pPr>
    </w:p>
    <w:p w14:paraId="70A671C2" w14:textId="4370BC7B" w:rsidR="008E1A13" w:rsidRPr="00D06E2E" w:rsidRDefault="00304CEE" w:rsidP="004508E1">
      <w:pPr>
        <w:pStyle w:val="Heading2"/>
        <w:spacing w:before="0" w:after="0"/>
        <w:rPr>
          <w:lang w:val="sr-Latn-RS"/>
        </w:rPr>
      </w:pPr>
      <w:r w:rsidRPr="00D06E2E">
        <w:rPr>
          <w:lang w:val="sr-Latn-RS"/>
        </w:rPr>
        <w:t>TOTAL NUMBER AND CLASSIFICATION OF COMPLAINTS</w:t>
      </w:r>
    </w:p>
    <w:p w14:paraId="6A0A33E3" w14:textId="61551407" w:rsidR="00F83478" w:rsidRPr="00D06E2E" w:rsidRDefault="00F83478" w:rsidP="00F83478">
      <w:pPr>
        <w:spacing w:after="0"/>
        <w:rPr>
          <w:rFonts w:cs="Times New Roman"/>
          <w:lang w:val="sr-Latn-RS"/>
        </w:rPr>
      </w:pPr>
    </w:p>
    <w:p w14:paraId="69B9A2B4" w14:textId="57B4E858" w:rsidR="0018604C" w:rsidRPr="00D06E2E" w:rsidRDefault="00160226" w:rsidP="0018604C">
      <w:pPr>
        <w:spacing w:after="0"/>
        <w:rPr>
          <w:rFonts w:cs="Times New Roman"/>
          <w:lang w:val="sr-Latn-RS"/>
        </w:rPr>
      </w:pPr>
      <w:r w:rsidRPr="00D06E2E">
        <w:rPr>
          <w:rFonts w:cs="Times New Roman"/>
          <w:lang w:val="sr-Latn-RS"/>
        </w:rPr>
        <w:t>In</w:t>
      </w:r>
      <w:r w:rsidR="0018604C" w:rsidRPr="00D06E2E">
        <w:rPr>
          <w:rFonts w:cs="Times New Roman"/>
          <w:lang w:val="sr-Latn-RS"/>
        </w:rPr>
        <w:t xml:space="preserve"> 2023</w:t>
      </w:r>
      <w:r w:rsidRPr="00D06E2E">
        <w:rPr>
          <w:rFonts w:cs="Times New Roman"/>
          <w:lang w:val="sr-Latn-RS"/>
        </w:rPr>
        <w:t xml:space="preserve"> the Protector of Citizens was approached by</w:t>
      </w:r>
      <w:r w:rsidR="0018604C" w:rsidRPr="00D06E2E">
        <w:rPr>
          <w:rFonts w:cs="Times New Roman"/>
          <w:lang w:val="sr-Latn-RS"/>
        </w:rPr>
        <w:t xml:space="preserve"> </w:t>
      </w:r>
      <w:r w:rsidRPr="00D06E2E">
        <w:rPr>
          <w:rFonts w:cs="Times New Roman"/>
          <w:lang w:val="sr-Latn-RS"/>
        </w:rPr>
        <w:t>14,</w:t>
      </w:r>
      <w:r w:rsidR="0018604C" w:rsidRPr="00D06E2E">
        <w:rPr>
          <w:rFonts w:cs="Times New Roman"/>
          <w:lang w:val="sr-Latn-RS"/>
        </w:rPr>
        <w:t xml:space="preserve">984 </w:t>
      </w:r>
      <w:r w:rsidRPr="00D06E2E">
        <w:rPr>
          <w:rFonts w:cs="Times New Roman"/>
          <w:lang w:val="sr-Latn-RS"/>
        </w:rPr>
        <w:t>citizens</w:t>
      </w:r>
      <w:r w:rsidR="0018604C" w:rsidRPr="00D06E2E">
        <w:rPr>
          <w:rFonts w:cs="Times New Roman"/>
          <w:lang w:val="sr-Latn-RS"/>
        </w:rPr>
        <w:t>,</w:t>
      </w:r>
      <w:r w:rsidRPr="00D06E2E">
        <w:rPr>
          <w:rFonts w:cs="Times New Roman"/>
          <w:lang w:val="sr-Latn-RS"/>
        </w:rPr>
        <w:t xml:space="preserve"> of whom the contact was established with</w:t>
      </w:r>
      <w:r w:rsidR="0018604C" w:rsidRPr="00D06E2E">
        <w:rPr>
          <w:rFonts w:cs="Times New Roman"/>
          <w:lang w:val="sr-Latn-RS"/>
        </w:rPr>
        <w:t xml:space="preserve"> </w:t>
      </w:r>
      <w:r w:rsidRPr="00D06E2E">
        <w:rPr>
          <w:rFonts w:cs="Times New Roman"/>
          <w:lang w:val="sr-Latn-RS"/>
        </w:rPr>
        <w:t>8,</w:t>
      </w:r>
      <w:r w:rsidR="0018604C" w:rsidRPr="00D06E2E">
        <w:rPr>
          <w:rFonts w:cs="Times New Roman"/>
          <w:lang w:val="sr-Latn-RS"/>
        </w:rPr>
        <w:t xml:space="preserve">885 </w:t>
      </w:r>
      <w:r w:rsidRPr="00D06E2E">
        <w:rPr>
          <w:rFonts w:cs="Times New Roman"/>
          <w:lang w:val="sr-Latn-RS"/>
        </w:rPr>
        <w:t>citizens</w:t>
      </w:r>
      <w:r w:rsidR="0018604C" w:rsidRPr="00D06E2E">
        <w:rPr>
          <w:rFonts w:cs="Times New Roman"/>
          <w:lang w:val="sr-Latn-RS"/>
        </w:rPr>
        <w:t>.</w:t>
      </w:r>
      <w:r w:rsidRPr="00D06E2E">
        <w:rPr>
          <w:rFonts w:cs="Times New Roman"/>
          <w:lang w:val="sr-Latn-RS"/>
        </w:rPr>
        <w:t xml:space="preserve"> Discussions were held with</w:t>
      </w:r>
      <w:r w:rsidR="0018604C" w:rsidRPr="00D06E2E">
        <w:rPr>
          <w:rFonts w:cs="Times New Roman"/>
          <w:lang w:val="sr-Latn-RS"/>
        </w:rPr>
        <w:t xml:space="preserve"> </w:t>
      </w:r>
      <w:r w:rsidRPr="00D06E2E">
        <w:rPr>
          <w:rFonts w:cs="Times New Roman"/>
          <w:lang w:val="sr-Latn-RS"/>
        </w:rPr>
        <w:t>1,</w:t>
      </w:r>
      <w:r w:rsidR="00C540E9" w:rsidRPr="00D06E2E">
        <w:rPr>
          <w:rFonts w:cs="Times New Roman"/>
          <w:lang w:val="sr-Latn-RS"/>
        </w:rPr>
        <w:t xml:space="preserve">674 </w:t>
      </w:r>
      <w:r w:rsidRPr="00D06E2E">
        <w:rPr>
          <w:rFonts w:cs="Times New Roman"/>
          <w:lang w:val="sr-Latn-RS"/>
        </w:rPr>
        <w:t>citizens</w:t>
      </w:r>
      <w:r w:rsidR="0018604C" w:rsidRPr="00D06E2E">
        <w:rPr>
          <w:rFonts w:cs="Times New Roman"/>
          <w:lang w:val="sr-Latn-RS"/>
        </w:rPr>
        <w:t>,</w:t>
      </w:r>
      <w:r w:rsidRPr="00D06E2E">
        <w:rPr>
          <w:rFonts w:cs="Times New Roman"/>
          <w:lang w:val="sr-Latn-RS"/>
        </w:rPr>
        <w:t xml:space="preserve"> and the number of received cases amounted to</w:t>
      </w:r>
      <w:r w:rsidR="0018604C" w:rsidRPr="00D06E2E">
        <w:rPr>
          <w:rFonts w:cs="Times New Roman"/>
          <w:lang w:val="sr-Latn-RS"/>
        </w:rPr>
        <w:t xml:space="preserve"> </w:t>
      </w:r>
      <w:r w:rsidRPr="00D06E2E">
        <w:rPr>
          <w:rFonts w:cs="Times New Roman"/>
          <w:lang w:val="sr-Latn-RS"/>
        </w:rPr>
        <w:t>4,</w:t>
      </w:r>
      <w:r w:rsidR="0018604C" w:rsidRPr="00D06E2E">
        <w:rPr>
          <w:rFonts w:cs="Times New Roman"/>
          <w:lang w:val="sr-Latn-RS"/>
        </w:rPr>
        <w:t xml:space="preserve">425 </w:t>
      </w:r>
      <w:r w:rsidRPr="00D06E2E">
        <w:rPr>
          <w:lang w:val="sr-Latn-RS"/>
        </w:rPr>
        <w:t>of which were</w:t>
      </w:r>
      <w:r w:rsidR="0018604C" w:rsidRPr="00D06E2E">
        <w:rPr>
          <w:lang w:val="sr-Latn-RS"/>
        </w:rPr>
        <w:t xml:space="preserve"> </w:t>
      </w:r>
      <w:r w:rsidR="0018604C" w:rsidRPr="00D06E2E">
        <w:rPr>
          <w:rFonts w:cs="Times New Roman"/>
          <w:lang w:val="sr-Latn-RS"/>
        </w:rPr>
        <w:t>4</w:t>
      </w:r>
      <w:r w:rsidRPr="00D06E2E">
        <w:rPr>
          <w:rFonts w:cs="Times New Roman"/>
          <w:lang w:val="sr-Latn-RS"/>
        </w:rPr>
        <w:t>,</w:t>
      </w:r>
      <w:r w:rsidR="0018604C" w:rsidRPr="00D06E2E">
        <w:rPr>
          <w:rFonts w:cs="Times New Roman"/>
          <w:lang w:val="sr-Latn-RS"/>
        </w:rPr>
        <w:t xml:space="preserve">367 </w:t>
      </w:r>
      <w:r w:rsidRPr="00D06E2E">
        <w:rPr>
          <w:rFonts w:cs="Times New Roman"/>
          <w:lang w:val="sr-Latn-RS"/>
        </w:rPr>
        <w:t>complaints and 58 investigations initiated upon own initiative</w:t>
      </w:r>
      <w:r w:rsidR="0018604C" w:rsidRPr="00D06E2E">
        <w:rPr>
          <w:rFonts w:cs="Times New Roman"/>
          <w:lang w:val="sr-Latn-RS"/>
        </w:rPr>
        <w:t xml:space="preserve">. </w:t>
      </w:r>
    </w:p>
    <w:p w14:paraId="11A3B506" w14:textId="77777777" w:rsidR="0018604C" w:rsidRPr="00D06E2E" w:rsidRDefault="0018604C" w:rsidP="0018604C">
      <w:pPr>
        <w:spacing w:after="0"/>
        <w:rPr>
          <w:rFonts w:cs="Times New Roman"/>
          <w:lang w:val="sr-Latn-RS"/>
        </w:rPr>
      </w:pPr>
    </w:p>
    <w:p w14:paraId="506474A8" w14:textId="7C5816EB" w:rsidR="0018604C" w:rsidRPr="00D06E2E" w:rsidRDefault="00160226" w:rsidP="0018604C">
      <w:pPr>
        <w:jc w:val="center"/>
        <w:rPr>
          <w:rFonts w:cs="Times New Roman"/>
          <w:b/>
          <w:iCs/>
          <w:lang w:val="sr-Latn-RS"/>
        </w:rPr>
      </w:pPr>
      <w:r w:rsidRPr="00D06E2E">
        <w:rPr>
          <w:rFonts w:cs="Times New Roman"/>
          <w:b/>
          <w:lang w:val="sr-Latn-RS"/>
        </w:rPr>
        <w:t>Table</w:t>
      </w:r>
      <w:r w:rsidR="009E0B47" w:rsidRPr="00D06E2E">
        <w:rPr>
          <w:rFonts w:cs="Times New Roman"/>
          <w:b/>
          <w:lang w:val="sr-Latn-RS"/>
        </w:rPr>
        <w:t xml:space="preserve"> </w:t>
      </w:r>
      <w:r w:rsidR="0018604C" w:rsidRPr="00D06E2E">
        <w:rPr>
          <w:rFonts w:cs="Times New Roman"/>
          <w:b/>
          <w:lang w:val="sr-Latn-RS"/>
        </w:rPr>
        <w:t>1 –</w:t>
      </w:r>
      <w:r w:rsidR="00B736F0" w:rsidRPr="00D06E2E">
        <w:rPr>
          <w:rFonts w:cs="Times New Roman"/>
          <w:b/>
          <w:lang w:val="sr-Latn-RS"/>
        </w:rPr>
        <w:t xml:space="preserve"> The o</w:t>
      </w:r>
      <w:r w:rsidRPr="00D06E2E">
        <w:rPr>
          <w:rFonts w:cs="Times New Roman"/>
          <w:b/>
          <w:lang w:val="sr-Latn-RS"/>
        </w:rPr>
        <w:t>verview of citizen appeals in 2023</w:t>
      </w:r>
      <w:r w:rsidR="0018604C" w:rsidRPr="00D06E2E">
        <w:rPr>
          <w:rFonts w:cs="Times New Roman"/>
          <w:b/>
          <w:lang w:val="sr-Latn-RS"/>
        </w:rPr>
        <w:t xml:space="preserve"> </w:t>
      </w:r>
    </w:p>
    <w:tbl>
      <w:tblPr>
        <w:tblW w:w="6555" w:type="dxa"/>
        <w:jc w:val="center"/>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3890"/>
        <w:gridCol w:w="1444"/>
        <w:gridCol w:w="1221"/>
      </w:tblGrid>
      <w:tr w:rsidR="0018604C" w:rsidRPr="00D06E2E" w14:paraId="5FDEF73D" w14:textId="77777777" w:rsidTr="001523DE">
        <w:trPr>
          <w:trHeight w:hRule="exact" w:val="329"/>
          <w:jc w:val="center"/>
        </w:trPr>
        <w:tc>
          <w:tcPr>
            <w:tcW w:w="0" w:type="auto"/>
            <w:tcBorders>
              <w:top w:val="single" w:sz="2" w:space="0" w:color="0070C0"/>
              <w:left w:val="single" w:sz="2" w:space="0" w:color="0070C0"/>
              <w:bottom w:val="single" w:sz="2" w:space="0" w:color="0070C0"/>
              <w:right w:val="single" w:sz="8" w:space="0" w:color="0070C0"/>
            </w:tcBorders>
            <w:vAlign w:val="bottom"/>
          </w:tcPr>
          <w:p w14:paraId="38DC23D4" w14:textId="77777777" w:rsidR="0018604C" w:rsidRPr="00D06E2E" w:rsidRDefault="0018604C" w:rsidP="00556F2C">
            <w:pPr>
              <w:spacing w:after="0"/>
              <w:rPr>
                <w:rFonts w:cs="Times New Roman"/>
                <w:b/>
                <w:lang w:val="sr-Latn-RS"/>
              </w:rPr>
            </w:pPr>
          </w:p>
        </w:tc>
        <w:tc>
          <w:tcPr>
            <w:tcW w:w="0" w:type="auto"/>
            <w:gridSpan w:val="2"/>
            <w:tcBorders>
              <w:top w:val="single" w:sz="2" w:space="0" w:color="0070C0"/>
              <w:left w:val="single" w:sz="8" w:space="0" w:color="0070C0"/>
              <w:bottom w:val="single" w:sz="2" w:space="0" w:color="0070C0"/>
              <w:right w:val="single" w:sz="2" w:space="0" w:color="0070C0"/>
            </w:tcBorders>
            <w:noWrap/>
            <w:vAlign w:val="center"/>
            <w:hideMark/>
          </w:tcPr>
          <w:p w14:paraId="70574AD6" w14:textId="5D2AC50B" w:rsidR="0018604C" w:rsidRPr="00D06E2E" w:rsidRDefault="0018604C" w:rsidP="00556F2C">
            <w:pPr>
              <w:spacing w:after="0"/>
              <w:jc w:val="center"/>
              <w:rPr>
                <w:rFonts w:cs="Times New Roman"/>
                <w:b/>
                <w:bCs/>
                <w:lang w:val="sr-Latn-RS"/>
              </w:rPr>
            </w:pPr>
            <w:r w:rsidRPr="00D06E2E">
              <w:rPr>
                <w:rFonts w:cs="Times New Roman"/>
                <w:b/>
                <w:bCs/>
                <w:lang w:val="sr-Latn-RS"/>
              </w:rPr>
              <w:t>2023</w:t>
            </w:r>
          </w:p>
        </w:tc>
      </w:tr>
      <w:tr w:rsidR="0018604C" w:rsidRPr="00D06E2E" w14:paraId="67B129B4" w14:textId="77777777" w:rsidTr="001523DE">
        <w:trPr>
          <w:trHeight w:hRule="exact" w:val="329"/>
          <w:jc w:val="center"/>
        </w:trPr>
        <w:tc>
          <w:tcPr>
            <w:tcW w:w="0" w:type="auto"/>
            <w:tcBorders>
              <w:top w:val="single" w:sz="2" w:space="0" w:color="0070C0"/>
              <w:left w:val="single" w:sz="2" w:space="0" w:color="0070C0"/>
              <w:bottom w:val="single" w:sz="2" w:space="0" w:color="0070C0"/>
              <w:right w:val="single" w:sz="8" w:space="0" w:color="0070C0"/>
            </w:tcBorders>
            <w:vAlign w:val="bottom"/>
            <w:hideMark/>
          </w:tcPr>
          <w:p w14:paraId="07BFD6F9" w14:textId="18A355CF" w:rsidR="0018604C" w:rsidRPr="00D06E2E" w:rsidRDefault="00160226" w:rsidP="00556F2C">
            <w:pPr>
              <w:spacing w:after="0"/>
              <w:rPr>
                <w:rFonts w:cs="Times New Roman"/>
                <w:b/>
                <w:lang w:val="sr-Latn-RS"/>
              </w:rPr>
            </w:pPr>
            <w:r w:rsidRPr="00D06E2E">
              <w:rPr>
                <w:rFonts w:cs="Times New Roman"/>
                <w:b/>
                <w:lang w:val="sr-Latn-RS"/>
              </w:rPr>
              <w:t>Type of appeal</w:t>
            </w:r>
          </w:p>
        </w:tc>
        <w:tc>
          <w:tcPr>
            <w:tcW w:w="0" w:type="auto"/>
            <w:tcBorders>
              <w:top w:val="single" w:sz="2" w:space="0" w:color="0070C0"/>
              <w:left w:val="single" w:sz="8" w:space="0" w:color="0070C0"/>
              <w:bottom w:val="single" w:sz="2" w:space="0" w:color="0070C0"/>
              <w:right w:val="single" w:sz="8" w:space="0" w:color="0070C0"/>
            </w:tcBorders>
            <w:noWrap/>
            <w:vAlign w:val="center"/>
            <w:hideMark/>
          </w:tcPr>
          <w:p w14:paraId="65A6D2F1" w14:textId="0753070C" w:rsidR="0018604C" w:rsidRPr="00D06E2E" w:rsidRDefault="00160226" w:rsidP="00556F2C">
            <w:pPr>
              <w:spacing w:after="0"/>
              <w:jc w:val="center"/>
              <w:rPr>
                <w:rFonts w:cs="Times New Roman"/>
                <w:b/>
                <w:bCs/>
                <w:lang w:val="sr-Latn-RS"/>
              </w:rPr>
            </w:pPr>
            <w:r w:rsidRPr="00D06E2E">
              <w:rPr>
                <w:rFonts w:cs="Times New Roman"/>
                <w:b/>
                <w:bCs/>
                <w:lang w:val="sr-Latn-RS"/>
              </w:rPr>
              <w:t>Number</w:t>
            </w:r>
          </w:p>
        </w:tc>
        <w:tc>
          <w:tcPr>
            <w:tcW w:w="0" w:type="auto"/>
            <w:tcBorders>
              <w:top w:val="single" w:sz="2" w:space="0" w:color="0070C0"/>
              <w:left w:val="single" w:sz="8" w:space="0" w:color="0070C0"/>
              <w:bottom w:val="single" w:sz="2" w:space="0" w:color="0070C0"/>
              <w:right w:val="single" w:sz="2" w:space="0" w:color="0070C0"/>
            </w:tcBorders>
            <w:noWrap/>
            <w:vAlign w:val="center"/>
            <w:hideMark/>
          </w:tcPr>
          <w:p w14:paraId="4BF74224" w14:textId="77777777" w:rsidR="0018604C" w:rsidRPr="00D06E2E" w:rsidRDefault="0018604C" w:rsidP="00556F2C">
            <w:pPr>
              <w:spacing w:after="0"/>
              <w:jc w:val="center"/>
              <w:rPr>
                <w:rFonts w:cs="Times New Roman"/>
                <w:b/>
                <w:bCs/>
                <w:lang w:val="sr-Latn-RS"/>
              </w:rPr>
            </w:pPr>
            <w:r w:rsidRPr="00D06E2E">
              <w:rPr>
                <w:rFonts w:cs="Times New Roman"/>
                <w:b/>
                <w:bCs/>
                <w:lang w:val="sr-Latn-RS"/>
              </w:rPr>
              <w:t>%</w:t>
            </w:r>
          </w:p>
        </w:tc>
      </w:tr>
      <w:tr w:rsidR="0018604C" w:rsidRPr="00D06E2E" w14:paraId="6F3F8BA5" w14:textId="77777777" w:rsidTr="001523DE">
        <w:trPr>
          <w:trHeight w:hRule="exact" w:val="329"/>
          <w:jc w:val="center"/>
        </w:trPr>
        <w:tc>
          <w:tcPr>
            <w:tcW w:w="0" w:type="auto"/>
            <w:tcBorders>
              <w:top w:val="single" w:sz="2" w:space="0" w:color="0070C0"/>
              <w:left w:val="single" w:sz="2" w:space="0" w:color="0070C0"/>
              <w:bottom w:val="single" w:sz="8" w:space="0" w:color="0070C0"/>
              <w:right w:val="single" w:sz="8" w:space="0" w:color="0070C0"/>
            </w:tcBorders>
            <w:vAlign w:val="bottom"/>
            <w:hideMark/>
          </w:tcPr>
          <w:p w14:paraId="1299DB4D" w14:textId="1AF00453" w:rsidR="0018604C" w:rsidRPr="00D06E2E" w:rsidRDefault="00160226" w:rsidP="00556F2C">
            <w:pPr>
              <w:spacing w:after="0"/>
              <w:jc w:val="left"/>
              <w:rPr>
                <w:rFonts w:cs="Times New Roman"/>
                <w:lang w:val="sr-Latn-RS"/>
              </w:rPr>
            </w:pPr>
            <w:r w:rsidRPr="00D06E2E">
              <w:rPr>
                <w:rFonts w:cs="Times New Roman"/>
                <w:lang w:val="sr-Latn-RS"/>
              </w:rPr>
              <w:t>Contacts with citizens</w:t>
            </w:r>
          </w:p>
        </w:tc>
        <w:tc>
          <w:tcPr>
            <w:tcW w:w="0" w:type="auto"/>
            <w:tcBorders>
              <w:top w:val="single" w:sz="2" w:space="0" w:color="0070C0"/>
              <w:left w:val="single" w:sz="8" w:space="0" w:color="0070C0"/>
              <w:bottom w:val="single" w:sz="8" w:space="0" w:color="0070C0"/>
              <w:right w:val="single" w:sz="8" w:space="0" w:color="0070C0"/>
            </w:tcBorders>
            <w:noWrap/>
            <w:vAlign w:val="center"/>
          </w:tcPr>
          <w:p w14:paraId="337EC495" w14:textId="42F324A8" w:rsidR="0018604C" w:rsidRPr="00D06E2E" w:rsidRDefault="00160226" w:rsidP="00556F2C">
            <w:pPr>
              <w:spacing w:after="0"/>
              <w:jc w:val="center"/>
              <w:rPr>
                <w:rFonts w:cs="Times New Roman"/>
                <w:lang w:val="sr-Latn-RS"/>
              </w:rPr>
            </w:pPr>
            <w:r w:rsidRPr="00D06E2E">
              <w:rPr>
                <w:rFonts w:cs="Times New Roman"/>
                <w:lang w:val="sr-Latn-RS"/>
              </w:rPr>
              <w:t>8,</w:t>
            </w:r>
            <w:r w:rsidR="0018604C" w:rsidRPr="00D06E2E">
              <w:rPr>
                <w:rFonts w:cs="Times New Roman"/>
                <w:lang w:val="sr-Latn-RS"/>
              </w:rPr>
              <w:t>885</w:t>
            </w:r>
          </w:p>
        </w:tc>
        <w:tc>
          <w:tcPr>
            <w:tcW w:w="0" w:type="auto"/>
            <w:tcBorders>
              <w:top w:val="single" w:sz="2" w:space="0" w:color="0070C0"/>
              <w:left w:val="single" w:sz="8" w:space="0" w:color="0070C0"/>
              <w:bottom w:val="single" w:sz="8" w:space="0" w:color="0070C0"/>
              <w:right w:val="single" w:sz="2" w:space="0" w:color="0070C0"/>
            </w:tcBorders>
            <w:noWrap/>
            <w:vAlign w:val="center"/>
          </w:tcPr>
          <w:p w14:paraId="21485708" w14:textId="515612E6" w:rsidR="0018604C" w:rsidRPr="00D06E2E" w:rsidRDefault="00160226" w:rsidP="00556F2C">
            <w:pPr>
              <w:spacing w:after="0"/>
              <w:jc w:val="center"/>
              <w:rPr>
                <w:rFonts w:cs="Times New Roman"/>
                <w:bCs/>
                <w:lang w:val="sr-Latn-RS"/>
              </w:rPr>
            </w:pPr>
            <w:r w:rsidRPr="00D06E2E">
              <w:rPr>
                <w:rFonts w:cs="Times New Roman"/>
                <w:bCs/>
                <w:lang w:val="sr-Latn-RS"/>
              </w:rPr>
              <w:t>59.</w:t>
            </w:r>
            <w:r w:rsidR="0018604C" w:rsidRPr="00D06E2E">
              <w:rPr>
                <w:rFonts w:cs="Times New Roman"/>
                <w:bCs/>
                <w:lang w:val="sr-Latn-RS"/>
              </w:rPr>
              <w:t>30%</w:t>
            </w:r>
          </w:p>
        </w:tc>
      </w:tr>
      <w:tr w:rsidR="0018604C" w:rsidRPr="00D06E2E" w14:paraId="07D7E906" w14:textId="77777777" w:rsidTr="001523DE">
        <w:trPr>
          <w:trHeight w:hRule="exact" w:val="329"/>
          <w:jc w:val="center"/>
        </w:trPr>
        <w:tc>
          <w:tcPr>
            <w:tcW w:w="0" w:type="auto"/>
            <w:tcBorders>
              <w:top w:val="single" w:sz="8" w:space="0" w:color="0070C0"/>
              <w:left w:val="single" w:sz="2" w:space="0" w:color="0070C0"/>
              <w:bottom w:val="single" w:sz="8" w:space="0" w:color="0070C0"/>
              <w:right w:val="single" w:sz="8" w:space="0" w:color="0070C0"/>
            </w:tcBorders>
            <w:vAlign w:val="bottom"/>
            <w:hideMark/>
          </w:tcPr>
          <w:p w14:paraId="73DD2C8E" w14:textId="68B8E98A" w:rsidR="0018604C" w:rsidRPr="00D06E2E" w:rsidRDefault="00160226" w:rsidP="00A127A6">
            <w:pPr>
              <w:spacing w:after="0"/>
              <w:rPr>
                <w:rFonts w:cs="Times New Roman"/>
                <w:lang w:val="sr-Latn-RS"/>
              </w:rPr>
            </w:pPr>
            <w:r w:rsidRPr="00D06E2E">
              <w:rPr>
                <w:rFonts w:cs="Times New Roman"/>
                <w:lang w:val="sr-Latn-RS"/>
              </w:rPr>
              <w:t>Cases</w:t>
            </w:r>
          </w:p>
        </w:tc>
        <w:tc>
          <w:tcPr>
            <w:tcW w:w="0" w:type="auto"/>
            <w:tcBorders>
              <w:top w:val="single" w:sz="8" w:space="0" w:color="0070C0"/>
              <w:left w:val="single" w:sz="8" w:space="0" w:color="0070C0"/>
              <w:bottom w:val="single" w:sz="8" w:space="0" w:color="0070C0"/>
              <w:right w:val="single" w:sz="8" w:space="0" w:color="0070C0"/>
            </w:tcBorders>
            <w:noWrap/>
            <w:vAlign w:val="center"/>
          </w:tcPr>
          <w:p w14:paraId="070327EB" w14:textId="2FF35156" w:rsidR="0018604C" w:rsidRPr="00D06E2E" w:rsidRDefault="00160226" w:rsidP="00556F2C">
            <w:pPr>
              <w:spacing w:after="0"/>
              <w:jc w:val="center"/>
              <w:rPr>
                <w:rFonts w:cs="Times New Roman"/>
                <w:lang w:val="sr-Latn-RS"/>
              </w:rPr>
            </w:pPr>
            <w:r w:rsidRPr="00D06E2E">
              <w:rPr>
                <w:rFonts w:cs="Times New Roman"/>
                <w:lang w:val="sr-Latn-RS"/>
              </w:rPr>
              <w:t>4,</w:t>
            </w:r>
            <w:r w:rsidR="0018604C" w:rsidRPr="00D06E2E">
              <w:rPr>
                <w:rFonts w:cs="Times New Roman"/>
                <w:lang w:val="sr-Latn-RS"/>
              </w:rPr>
              <w:t>425</w:t>
            </w:r>
          </w:p>
        </w:tc>
        <w:tc>
          <w:tcPr>
            <w:tcW w:w="0" w:type="auto"/>
            <w:tcBorders>
              <w:top w:val="single" w:sz="8" w:space="0" w:color="0070C0"/>
              <w:left w:val="single" w:sz="8" w:space="0" w:color="0070C0"/>
              <w:bottom w:val="single" w:sz="8" w:space="0" w:color="0070C0"/>
              <w:right w:val="single" w:sz="2" w:space="0" w:color="0070C0"/>
            </w:tcBorders>
            <w:noWrap/>
            <w:vAlign w:val="center"/>
          </w:tcPr>
          <w:p w14:paraId="1F1F1E3E" w14:textId="6321E622" w:rsidR="0018604C" w:rsidRPr="00D06E2E" w:rsidRDefault="0018604C" w:rsidP="00C21001">
            <w:pPr>
              <w:spacing w:after="0"/>
              <w:jc w:val="center"/>
              <w:rPr>
                <w:rFonts w:cs="Times New Roman"/>
                <w:bCs/>
                <w:lang w:val="sr-Latn-RS"/>
              </w:rPr>
            </w:pPr>
            <w:r w:rsidRPr="00D06E2E">
              <w:rPr>
                <w:rFonts w:cs="Times New Roman"/>
                <w:bCs/>
                <w:lang w:val="sr-Latn-RS"/>
              </w:rPr>
              <w:t>29</w:t>
            </w:r>
            <w:r w:rsidR="00160226" w:rsidRPr="00D06E2E">
              <w:rPr>
                <w:rFonts w:cs="Times New Roman"/>
                <w:bCs/>
                <w:lang w:val="sr-Latn-RS"/>
              </w:rPr>
              <w:t>.</w:t>
            </w:r>
            <w:r w:rsidRPr="00D06E2E">
              <w:rPr>
                <w:rFonts w:cs="Times New Roman"/>
                <w:bCs/>
                <w:lang w:val="sr-Latn-RS"/>
              </w:rPr>
              <w:t>53%</w:t>
            </w:r>
          </w:p>
        </w:tc>
      </w:tr>
      <w:tr w:rsidR="0018604C" w:rsidRPr="00D06E2E" w14:paraId="2069DBE3" w14:textId="77777777" w:rsidTr="001523DE">
        <w:trPr>
          <w:trHeight w:hRule="exact" w:val="329"/>
          <w:jc w:val="center"/>
        </w:trPr>
        <w:tc>
          <w:tcPr>
            <w:tcW w:w="0" w:type="auto"/>
            <w:tcBorders>
              <w:top w:val="single" w:sz="8" w:space="0" w:color="0070C0"/>
              <w:left w:val="single" w:sz="2" w:space="0" w:color="0070C0"/>
              <w:bottom w:val="single" w:sz="2" w:space="0" w:color="0070C0"/>
              <w:right w:val="single" w:sz="8" w:space="0" w:color="0070C0"/>
            </w:tcBorders>
            <w:vAlign w:val="bottom"/>
            <w:hideMark/>
          </w:tcPr>
          <w:p w14:paraId="01133D03" w14:textId="72727A91" w:rsidR="0018604C" w:rsidRPr="00D06E2E" w:rsidRDefault="00160226" w:rsidP="00556F2C">
            <w:pPr>
              <w:spacing w:after="0"/>
              <w:rPr>
                <w:rFonts w:cs="Times New Roman"/>
                <w:lang w:val="sr-Latn-RS"/>
              </w:rPr>
            </w:pPr>
            <w:r w:rsidRPr="00D06E2E">
              <w:rPr>
                <w:rFonts w:cs="Times New Roman"/>
                <w:lang w:val="sr-Latn-RS"/>
              </w:rPr>
              <w:t>Citizens received in person</w:t>
            </w:r>
          </w:p>
        </w:tc>
        <w:tc>
          <w:tcPr>
            <w:tcW w:w="0" w:type="auto"/>
            <w:tcBorders>
              <w:top w:val="single" w:sz="8" w:space="0" w:color="0070C0"/>
              <w:left w:val="single" w:sz="8" w:space="0" w:color="0070C0"/>
              <w:bottom w:val="single" w:sz="2" w:space="0" w:color="0070C0"/>
              <w:right w:val="single" w:sz="8" w:space="0" w:color="0070C0"/>
            </w:tcBorders>
            <w:noWrap/>
            <w:vAlign w:val="center"/>
          </w:tcPr>
          <w:p w14:paraId="5A18478C" w14:textId="73E0BF71" w:rsidR="0018604C" w:rsidRPr="00D06E2E" w:rsidRDefault="00160226" w:rsidP="00556F2C">
            <w:pPr>
              <w:spacing w:after="0"/>
              <w:jc w:val="center"/>
              <w:rPr>
                <w:rFonts w:cs="Times New Roman"/>
                <w:lang w:val="sr-Latn-RS"/>
              </w:rPr>
            </w:pPr>
            <w:r w:rsidRPr="00D06E2E">
              <w:rPr>
                <w:rFonts w:cs="Times New Roman"/>
                <w:lang w:val="sr-Latn-RS"/>
              </w:rPr>
              <w:t>1,</w:t>
            </w:r>
            <w:r w:rsidR="0018604C" w:rsidRPr="00D06E2E">
              <w:rPr>
                <w:rFonts w:cs="Times New Roman"/>
                <w:lang w:val="sr-Latn-RS"/>
              </w:rPr>
              <w:t>674</w:t>
            </w:r>
          </w:p>
        </w:tc>
        <w:tc>
          <w:tcPr>
            <w:tcW w:w="0" w:type="auto"/>
            <w:tcBorders>
              <w:top w:val="single" w:sz="8" w:space="0" w:color="0070C0"/>
              <w:left w:val="single" w:sz="8" w:space="0" w:color="0070C0"/>
              <w:bottom w:val="single" w:sz="2" w:space="0" w:color="0070C0"/>
              <w:right w:val="single" w:sz="2" w:space="0" w:color="0070C0"/>
            </w:tcBorders>
            <w:noWrap/>
            <w:vAlign w:val="center"/>
          </w:tcPr>
          <w:p w14:paraId="707DAD2F" w14:textId="2136DC8B" w:rsidR="0018604C" w:rsidRPr="00D06E2E" w:rsidRDefault="00160226" w:rsidP="00556F2C">
            <w:pPr>
              <w:spacing w:after="0"/>
              <w:jc w:val="center"/>
              <w:rPr>
                <w:rFonts w:cs="Times New Roman"/>
                <w:bCs/>
                <w:lang w:val="sr-Latn-RS"/>
              </w:rPr>
            </w:pPr>
            <w:r w:rsidRPr="00D06E2E">
              <w:rPr>
                <w:rFonts w:cs="Times New Roman"/>
                <w:bCs/>
                <w:lang w:val="sr-Latn-RS"/>
              </w:rPr>
              <w:t>11.</w:t>
            </w:r>
            <w:r w:rsidR="0018604C" w:rsidRPr="00D06E2E">
              <w:rPr>
                <w:rFonts w:cs="Times New Roman"/>
                <w:bCs/>
                <w:lang w:val="sr-Latn-RS"/>
              </w:rPr>
              <w:t>17%</w:t>
            </w:r>
          </w:p>
        </w:tc>
      </w:tr>
      <w:tr w:rsidR="0018604C" w:rsidRPr="00D06E2E" w14:paraId="22EE549D" w14:textId="77777777" w:rsidTr="001523DE">
        <w:trPr>
          <w:trHeight w:hRule="exact" w:val="329"/>
          <w:jc w:val="center"/>
        </w:trPr>
        <w:tc>
          <w:tcPr>
            <w:tcW w:w="0" w:type="auto"/>
            <w:tcBorders>
              <w:top w:val="single" w:sz="2" w:space="0" w:color="0070C0"/>
              <w:left w:val="single" w:sz="2" w:space="0" w:color="0070C0"/>
              <w:bottom w:val="single" w:sz="2" w:space="0" w:color="0070C0"/>
              <w:right w:val="single" w:sz="8" w:space="0" w:color="0070C0"/>
            </w:tcBorders>
            <w:vAlign w:val="bottom"/>
            <w:hideMark/>
          </w:tcPr>
          <w:p w14:paraId="18255807" w14:textId="4A319FCB" w:rsidR="0018604C" w:rsidRPr="00D06E2E" w:rsidRDefault="00160226" w:rsidP="00556F2C">
            <w:pPr>
              <w:spacing w:after="0"/>
              <w:rPr>
                <w:rFonts w:cs="Times New Roman"/>
                <w:b/>
                <w:lang w:val="sr-Latn-RS"/>
              </w:rPr>
            </w:pPr>
            <w:r w:rsidRPr="00D06E2E">
              <w:rPr>
                <w:rFonts w:cs="Times New Roman"/>
                <w:b/>
                <w:lang w:val="sr-Latn-RS"/>
              </w:rPr>
              <w:t>Total</w:t>
            </w:r>
          </w:p>
        </w:tc>
        <w:tc>
          <w:tcPr>
            <w:tcW w:w="0" w:type="auto"/>
            <w:tcBorders>
              <w:top w:val="single" w:sz="2" w:space="0" w:color="0070C0"/>
              <w:left w:val="single" w:sz="8" w:space="0" w:color="0070C0"/>
              <w:bottom w:val="single" w:sz="2" w:space="0" w:color="0070C0"/>
              <w:right w:val="single" w:sz="8" w:space="0" w:color="0070C0"/>
            </w:tcBorders>
            <w:noWrap/>
            <w:vAlign w:val="bottom"/>
          </w:tcPr>
          <w:p w14:paraId="6BAEBFBC" w14:textId="702F03E3" w:rsidR="0018604C" w:rsidRPr="00D06E2E" w:rsidRDefault="00160226" w:rsidP="00556F2C">
            <w:pPr>
              <w:spacing w:after="0"/>
              <w:jc w:val="center"/>
              <w:rPr>
                <w:rFonts w:cs="Times New Roman"/>
                <w:b/>
                <w:lang w:val="sr-Latn-RS"/>
              </w:rPr>
            </w:pPr>
            <w:r w:rsidRPr="00D06E2E">
              <w:rPr>
                <w:rFonts w:cs="Times New Roman"/>
                <w:b/>
                <w:lang w:val="sr-Latn-RS"/>
              </w:rPr>
              <w:t>14,</w:t>
            </w:r>
            <w:r w:rsidR="0018604C" w:rsidRPr="00D06E2E">
              <w:rPr>
                <w:rFonts w:cs="Times New Roman"/>
                <w:b/>
                <w:lang w:val="sr-Latn-RS"/>
              </w:rPr>
              <w:t>984</w:t>
            </w:r>
          </w:p>
        </w:tc>
        <w:tc>
          <w:tcPr>
            <w:tcW w:w="0" w:type="auto"/>
            <w:tcBorders>
              <w:top w:val="single" w:sz="2" w:space="0" w:color="0070C0"/>
              <w:left w:val="single" w:sz="8" w:space="0" w:color="0070C0"/>
              <w:bottom w:val="single" w:sz="2" w:space="0" w:color="0070C0"/>
              <w:right w:val="single" w:sz="2" w:space="0" w:color="0070C0"/>
            </w:tcBorders>
            <w:noWrap/>
            <w:vAlign w:val="bottom"/>
          </w:tcPr>
          <w:p w14:paraId="29FE7C2B" w14:textId="77777777" w:rsidR="0018604C" w:rsidRPr="00D06E2E" w:rsidRDefault="0018604C" w:rsidP="00556F2C">
            <w:pPr>
              <w:spacing w:after="0"/>
              <w:jc w:val="center"/>
              <w:rPr>
                <w:rFonts w:cs="Times New Roman"/>
                <w:b/>
                <w:bCs/>
                <w:lang w:val="sr-Latn-RS"/>
              </w:rPr>
            </w:pPr>
            <w:r w:rsidRPr="00D06E2E">
              <w:rPr>
                <w:rFonts w:cs="Times New Roman"/>
                <w:b/>
                <w:bCs/>
                <w:lang w:val="sr-Latn-RS"/>
              </w:rPr>
              <w:t>100%</w:t>
            </w:r>
          </w:p>
        </w:tc>
      </w:tr>
    </w:tbl>
    <w:p w14:paraId="2C30E074" w14:textId="77777777" w:rsidR="0018604C" w:rsidRPr="00D06E2E" w:rsidRDefault="0018604C" w:rsidP="0018604C">
      <w:pPr>
        <w:spacing w:after="0"/>
        <w:rPr>
          <w:rFonts w:cs="Times New Roman"/>
          <w:iCs/>
          <w:lang w:val="sr-Latn-RS"/>
        </w:rPr>
      </w:pPr>
    </w:p>
    <w:p w14:paraId="6A1F9EAD" w14:textId="77777777" w:rsidR="0018604C" w:rsidRPr="00D06E2E" w:rsidRDefault="0018604C" w:rsidP="0018604C">
      <w:pPr>
        <w:spacing w:after="0"/>
        <w:rPr>
          <w:rFonts w:cs="Times New Roman"/>
          <w:iCs/>
          <w:lang w:val="sr-Latn-RS"/>
        </w:rPr>
      </w:pPr>
    </w:p>
    <w:p w14:paraId="5A173933" w14:textId="4F003099" w:rsidR="0018604C" w:rsidRPr="00D06E2E" w:rsidRDefault="00160226" w:rsidP="0018604C">
      <w:pPr>
        <w:keepNext/>
        <w:jc w:val="center"/>
        <w:rPr>
          <w:rFonts w:cs="Times New Roman"/>
          <w:b/>
          <w:iCs/>
          <w:szCs w:val="18"/>
          <w:lang w:val="sr-Latn-RS"/>
        </w:rPr>
      </w:pPr>
      <w:r w:rsidRPr="00D06E2E">
        <w:rPr>
          <w:rFonts w:cs="Times New Roman"/>
          <w:b/>
          <w:iCs/>
          <w:szCs w:val="18"/>
          <w:lang w:val="sr-Latn-RS"/>
        </w:rPr>
        <w:t>Table</w:t>
      </w:r>
      <w:r w:rsidR="0018604C" w:rsidRPr="00D06E2E">
        <w:rPr>
          <w:rFonts w:cs="Times New Roman"/>
          <w:b/>
          <w:iCs/>
          <w:szCs w:val="18"/>
          <w:lang w:val="sr-Latn-RS"/>
        </w:rPr>
        <w:t xml:space="preserve"> 2 – </w:t>
      </w:r>
      <w:r w:rsidRPr="00D06E2E">
        <w:rPr>
          <w:rFonts w:cs="Times New Roman"/>
          <w:b/>
          <w:iCs/>
          <w:szCs w:val="18"/>
          <w:lang w:val="sr-Latn-RS"/>
        </w:rPr>
        <w:t>Comparative overview of contact with citizens in 2023 and 2022</w:t>
      </w:r>
      <w:r w:rsidR="0018604C" w:rsidRPr="00D06E2E">
        <w:rPr>
          <w:rFonts w:cs="Times New Roman"/>
          <w:b/>
          <w:iCs/>
          <w:szCs w:val="18"/>
          <w:lang w:val="sr-Latn-RS"/>
        </w:rPr>
        <w:t xml:space="preserve"> </w:t>
      </w:r>
    </w:p>
    <w:tbl>
      <w:tblPr>
        <w:tblW w:w="6658" w:type="dxa"/>
        <w:jc w:val="center"/>
        <w:tblBorders>
          <w:top w:val="single" w:sz="12" w:space="0" w:color="0070C0"/>
          <w:bottom w:val="single" w:sz="12" w:space="0" w:color="0070C0"/>
          <w:insideH w:val="single" w:sz="8" w:space="0" w:color="0070C0"/>
          <w:insideV w:val="single" w:sz="8" w:space="0" w:color="0070C0"/>
        </w:tblBorders>
        <w:tblCellMar>
          <w:left w:w="0" w:type="dxa"/>
          <w:right w:w="0" w:type="dxa"/>
        </w:tblCellMar>
        <w:tblLook w:val="00A0" w:firstRow="1" w:lastRow="0" w:firstColumn="1" w:lastColumn="0" w:noHBand="0" w:noVBand="0"/>
      </w:tblPr>
      <w:tblGrid>
        <w:gridCol w:w="3539"/>
        <w:gridCol w:w="1418"/>
        <w:gridCol w:w="1701"/>
      </w:tblGrid>
      <w:tr w:rsidR="0018604C" w:rsidRPr="00D06E2E" w14:paraId="41271902" w14:textId="77777777" w:rsidTr="006576C8">
        <w:trPr>
          <w:trHeight w:hRule="exact" w:val="329"/>
          <w:jc w:val="center"/>
        </w:trPr>
        <w:tc>
          <w:tcPr>
            <w:tcW w:w="3539" w:type="dxa"/>
            <w:tcBorders>
              <w:top w:val="single" w:sz="2"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tcPr>
          <w:p w14:paraId="47FA3803" w14:textId="77777777" w:rsidR="0018604C" w:rsidRPr="00D06E2E" w:rsidRDefault="0018604C" w:rsidP="00556F2C">
            <w:pPr>
              <w:spacing w:after="0"/>
              <w:rPr>
                <w:rFonts w:cs="Times New Roman"/>
                <w:b/>
                <w:bCs/>
                <w:lang w:val="sr-Latn-RS"/>
              </w:rPr>
            </w:pPr>
          </w:p>
        </w:tc>
        <w:tc>
          <w:tcPr>
            <w:tcW w:w="1418" w:type="dxa"/>
            <w:tcBorders>
              <w:top w:val="single" w:sz="2" w:space="0" w:color="0070C0"/>
              <w:left w:val="single" w:sz="8" w:space="0" w:color="0070C0"/>
              <w:bottom w:val="single" w:sz="2" w:space="0" w:color="0070C0"/>
              <w:right w:val="single" w:sz="8" w:space="0" w:color="0070C0"/>
            </w:tcBorders>
          </w:tcPr>
          <w:p w14:paraId="6543A6CD" w14:textId="24177A62" w:rsidR="0018604C" w:rsidRPr="00D06E2E" w:rsidRDefault="00160226" w:rsidP="00556F2C">
            <w:pPr>
              <w:spacing w:after="0"/>
              <w:jc w:val="center"/>
              <w:rPr>
                <w:rFonts w:cs="Times New Roman"/>
                <w:b/>
                <w:bCs/>
                <w:lang w:val="sr-Latn-RS"/>
              </w:rPr>
            </w:pPr>
            <w:r w:rsidRPr="00D06E2E">
              <w:rPr>
                <w:rFonts w:cs="Times New Roman"/>
                <w:b/>
                <w:bCs/>
                <w:lang w:val="sr-Latn-RS"/>
              </w:rPr>
              <w:t>2023</w:t>
            </w:r>
          </w:p>
        </w:tc>
        <w:tc>
          <w:tcPr>
            <w:tcW w:w="1701" w:type="dxa"/>
            <w:tcBorders>
              <w:top w:val="single" w:sz="2" w:space="0" w:color="0070C0"/>
              <w:left w:val="single" w:sz="8" w:space="0" w:color="0070C0"/>
              <w:bottom w:val="single" w:sz="2" w:space="0" w:color="0070C0"/>
              <w:right w:val="single" w:sz="8" w:space="0" w:color="0070C0"/>
            </w:tcBorders>
          </w:tcPr>
          <w:p w14:paraId="6F62ECE6" w14:textId="496A51AE" w:rsidR="0018604C" w:rsidRPr="00D06E2E" w:rsidRDefault="0018604C" w:rsidP="00556F2C">
            <w:pPr>
              <w:spacing w:after="0"/>
              <w:jc w:val="center"/>
              <w:rPr>
                <w:rFonts w:cs="Times New Roman"/>
                <w:b/>
                <w:bCs/>
                <w:lang w:val="sr-Latn-RS"/>
              </w:rPr>
            </w:pPr>
            <w:r w:rsidRPr="00D06E2E">
              <w:rPr>
                <w:rFonts w:cs="Times New Roman"/>
                <w:b/>
                <w:bCs/>
                <w:lang w:val="sr-Latn-RS"/>
              </w:rPr>
              <w:t>20</w:t>
            </w:r>
            <w:r w:rsidR="00160226" w:rsidRPr="00D06E2E">
              <w:rPr>
                <w:rFonts w:cs="Times New Roman"/>
                <w:b/>
                <w:bCs/>
                <w:lang w:val="sr-Latn-RS"/>
              </w:rPr>
              <w:t>22</w:t>
            </w:r>
          </w:p>
        </w:tc>
      </w:tr>
      <w:tr w:rsidR="0018604C" w:rsidRPr="00D06E2E" w14:paraId="68B4E7C1" w14:textId="77777777" w:rsidTr="006576C8">
        <w:trPr>
          <w:trHeight w:hRule="exact" w:val="329"/>
          <w:jc w:val="center"/>
        </w:trPr>
        <w:tc>
          <w:tcPr>
            <w:tcW w:w="3539" w:type="dxa"/>
            <w:tcBorders>
              <w:top w:val="single" w:sz="2" w:space="0" w:color="0070C0"/>
              <w:left w:val="single" w:sz="2" w:space="0" w:color="0070C0"/>
              <w:bottom w:val="single" w:sz="8" w:space="0" w:color="0070C0"/>
              <w:right w:val="single" w:sz="8" w:space="0" w:color="0070C0"/>
            </w:tcBorders>
            <w:tcMar>
              <w:top w:w="0" w:type="dxa"/>
              <w:left w:w="108" w:type="dxa"/>
              <w:bottom w:w="0" w:type="dxa"/>
              <w:right w:w="108" w:type="dxa"/>
            </w:tcMar>
            <w:vAlign w:val="center"/>
          </w:tcPr>
          <w:p w14:paraId="13F73978" w14:textId="24BB0D05" w:rsidR="0018604C" w:rsidRPr="00D06E2E" w:rsidRDefault="00160226" w:rsidP="00556F2C">
            <w:pPr>
              <w:spacing w:after="0"/>
              <w:rPr>
                <w:rFonts w:cs="Times New Roman"/>
                <w:lang w:val="sr-Latn-RS"/>
              </w:rPr>
            </w:pPr>
            <w:r w:rsidRPr="00D06E2E">
              <w:rPr>
                <w:rFonts w:cs="Times New Roman"/>
                <w:lang w:val="sr-Latn-RS"/>
              </w:rPr>
              <w:t>Contacts with citizens</w:t>
            </w:r>
          </w:p>
        </w:tc>
        <w:tc>
          <w:tcPr>
            <w:tcW w:w="1418" w:type="dxa"/>
            <w:tcBorders>
              <w:top w:val="single" w:sz="2" w:space="0" w:color="0070C0"/>
              <w:left w:val="single" w:sz="8" w:space="0" w:color="0070C0"/>
              <w:bottom w:val="single" w:sz="8" w:space="0" w:color="0070C0"/>
              <w:right w:val="single" w:sz="8" w:space="0" w:color="0070C0"/>
            </w:tcBorders>
          </w:tcPr>
          <w:p w14:paraId="0E647EF9" w14:textId="01489764" w:rsidR="0018604C" w:rsidRPr="00D06E2E" w:rsidRDefault="00160226" w:rsidP="00556F2C">
            <w:pPr>
              <w:spacing w:after="0"/>
              <w:jc w:val="center"/>
              <w:rPr>
                <w:rFonts w:cs="Times New Roman"/>
                <w:bCs/>
                <w:lang w:val="sr-Latn-RS"/>
              </w:rPr>
            </w:pPr>
            <w:r w:rsidRPr="00D06E2E">
              <w:rPr>
                <w:rFonts w:cs="Times New Roman"/>
                <w:bCs/>
                <w:lang w:val="sr-Latn-RS"/>
              </w:rPr>
              <w:t>8,</w:t>
            </w:r>
            <w:r w:rsidR="0018604C" w:rsidRPr="00D06E2E">
              <w:rPr>
                <w:rFonts w:cs="Times New Roman"/>
                <w:bCs/>
                <w:lang w:val="sr-Latn-RS"/>
              </w:rPr>
              <w:t>885</w:t>
            </w:r>
          </w:p>
        </w:tc>
        <w:tc>
          <w:tcPr>
            <w:tcW w:w="1701" w:type="dxa"/>
            <w:tcBorders>
              <w:top w:val="single" w:sz="2" w:space="0" w:color="0070C0"/>
              <w:left w:val="single" w:sz="8" w:space="0" w:color="0070C0"/>
              <w:bottom w:val="single" w:sz="8" w:space="0" w:color="0070C0"/>
              <w:right w:val="single" w:sz="8" w:space="0" w:color="0070C0"/>
            </w:tcBorders>
          </w:tcPr>
          <w:p w14:paraId="4067C9C9" w14:textId="3703E1F3" w:rsidR="0018604C" w:rsidRPr="00D06E2E" w:rsidRDefault="00160226" w:rsidP="00556F2C">
            <w:pPr>
              <w:spacing w:after="0"/>
              <w:jc w:val="center"/>
              <w:rPr>
                <w:rFonts w:cs="Times New Roman"/>
                <w:bCs/>
                <w:lang w:val="sr-Latn-RS"/>
              </w:rPr>
            </w:pPr>
            <w:r w:rsidRPr="00D06E2E">
              <w:rPr>
                <w:rFonts w:cs="Times New Roman"/>
                <w:bCs/>
                <w:lang w:val="sr-Latn-RS"/>
              </w:rPr>
              <w:t>8,</w:t>
            </w:r>
            <w:r w:rsidR="0018604C" w:rsidRPr="00D06E2E">
              <w:rPr>
                <w:rFonts w:cs="Times New Roman"/>
                <w:bCs/>
                <w:lang w:val="sr-Latn-RS"/>
              </w:rPr>
              <w:t>595</w:t>
            </w:r>
          </w:p>
        </w:tc>
      </w:tr>
      <w:tr w:rsidR="0018604C" w:rsidRPr="00D06E2E" w14:paraId="1468A533" w14:textId="77777777" w:rsidTr="006576C8">
        <w:trPr>
          <w:trHeight w:hRule="exact" w:val="329"/>
          <w:jc w:val="center"/>
        </w:trPr>
        <w:tc>
          <w:tcPr>
            <w:tcW w:w="3539" w:type="dxa"/>
            <w:tcBorders>
              <w:top w:val="single" w:sz="8" w:space="0" w:color="0070C0"/>
              <w:left w:val="single" w:sz="2" w:space="0" w:color="0070C0"/>
              <w:bottom w:val="single" w:sz="8" w:space="0" w:color="0070C0"/>
              <w:right w:val="single" w:sz="8" w:space="0" w:color="0070C0"/>
            </w:tcBorders>
            <w:tcMar>
              <w:top w:w="0" w:type="dxa"/>
              <w:left w:w="108" w:type="dxa"/>
              <w:bottom w:w="0" w:type="dxa"/>
              <w:right w:w="108" w:type="dxa"/>
            </w:tcMar>
            <w:vAlign w:val="center"/>
          </w:tcPr>
          <w:p w14:paraId="7F2BB8BE" w14:textId="5E22A83A" w:rsidR="0018604C" w:rsidRPr="00D06E2E" w:rsidRDefault="00160226" w:rsidP="00556F2C">
            <w:pPr>
              <w:spacing w:after="0"/>
              <w:rPr>
                <w:rFonts w:cs="Times New Roman"/>
                <w:lang w:val="sr-Latn-RS"/>
              </w:rPr>
            </w:pPr>
            <w:r w:rsidRPr="00D06E2E">
              <w:rPr>
                <w:rFonts w:cs="Times New Roman"/>
                <w:lang w:val="sr-Latn-RS"/>
              </w:rPr>
              <w:t>Cases</w:t>
            </w:r>
            <w:r w:rsidR="001523DE" w:rsidRPr="00D06E2E">
              <w:rPr>
                <w:rFonts w:cs="Times New Roman"/>
                <w:lang w:val="sr-Latn-RS"/>
              </w:rPr>
              <w:t xml:space="preserve"> </w:t>
            </w:r>
          </w:p>
        </w:tc>
        <w:tc>
          <w:tcPr>
            <w:tcW w:w="1418" w:type="dxa"/>
            <w:tcBorders>
              <w:top w:val="single" w:sz="8" w:space="0" w:color="0070C0"/>
              <w:left w:val="single" w:sz="8" w:space="0" w:color="0070C0"/>
              <w:bottom w:val="single" w:sz="8" w:space="0" w:color="0070C0"/>
              <w:right w:val="single" w:sz="8" w:space="0" w:color="0070C0"/>
            </w:tcBorders>
          </w:tcPr>
          <w:p w14:paraId="4B5B44DD" w14:textId="571D1B98" w:rsidR="0018604C" w:rsidRPr="00D06E2E" w:rsidRDefault="00160226" w:rsidP="00556F2C">
            <w:pPr>
              <w:spacing w:after="0"/>
              <w:jc w:val="center"/>
              <w:rPr>
                <w:rFonts w:cs="Times New Roman"/>
                <w:bCs/>
                <w:lang w:val="sr-Latn-RS"/>
              </w:rPr>
            </w:pPr>
            <w:r w:rsidRPr="00D06E2E">
              <w:rPr>
                <w:rFonts w:cs="Times New Roman"/>
                <w:bCs/>
                <w:lang w:val="sr-Latn-RS"/>
              </w:rPr>
              <w:t>4,</w:t>
            </w:r>
            <w:r w:rsidR="0018604C" w:rsidRPr="00D06E2E">
              <w:rPr>
                <w:rFonts w:cs="Times New Roman"/>
                <w:bCs/>
                <w:lang w:val="sr-Latn-RS"/>
              </w:rPr>
              <w:t>425</w:t>
            </w:r>
          </w:p>
        </w:tc>
        <w:tc>
          <w:tcPr>
            <w:tcW w:w="1701" w:type="dxa"/>
            <w:tcBorders>
              <w:top w:val="single" w:sz="8" w:space="0" w:color="0070C0"/>
              <w:left w:val="single" w:sz="8" w:space="0" w:color="0070C0"/>
              <w:bottom w:val="single" w:sz="8" w:space="0" w:color="0070C0"/>
              <w:right w:val="single" w:sz="8" w:space="0" w:color="0070C0"/>
            </w:tcBorders>
          </w:tcPr>
          <w:p w14:paraId="076DA53C" w14:textId="4B6CE5CB" w:rsidR="0018604C" w:rsidRPr="00D06E2E" w:rsidRDefault="00160226" w:rsidP="00556F2C">
            <w:pPr>
              <w:spacing w:after="0"/>
              <w:jc w:val="center"/>
              <w:rPr>
                <w:rFonts w:cs="Times New Roman"/>
                <w:bCs/>
                <w:lang w:val="sr-Latn-RS"/>
              </w:rPr>
            </w:pPr>
            <w:r w:rsidRPr="00D06E2E">
              <w:rPr>
                <w:rFonts w:cs="Times New Roman"/>
                <w:bCs/>
                <w:lang w:val="sr-Latn-RS"/>
              </w:rPr>
              <w:t>3,</w:t>
            </w:r>
            <w:r w:rsidR="0018604C" w:rsidRPr="00D06E2E">
              <w:rPr>
                <w:rFonts w:cs="Times New Roman"/>
                <w:bCs/>
                <w:lang w:val="sr-Latn-RS"/>
              </w:rPr>
              <w:t>601</w:t>
            </w:r>
          </w:p>
        </w:tc>
      </w:tr>
      <w:tr w:rsidR="0018604C" w:rsidRPr="00D06E2E" w14:paraId="614BC33C" w14:textId="77777777" w:rsidTr="006576C8">
        <w:trPr>
          <w:trHeight w:hRule="exact" w:val="329"/>
          <w:jc w:val="center"/>
        </w:trPr>
        <w:tc>
          <w:tcPr>
            <w:tcW w:w="3539" w:type="dxa"/>
            <w:tcBorders>
              <w:top w:val="single" w:sz="8"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tcPr>
          <w:p w14:paraId="0D964410" w14:textId="6BED55B8" w:rsidR="0018604C" w:rsidRPr="00D06E2E" w:rsidRDefault="00160226" w:rsidP="00556F2C">
            <w:pPr>
              <w:spacing w:after="0"/>
              <w:rPr>
                <w:rFonts w:cs="Times New Roman"/>
                <w:lang w:val="sr-Latn-RS"/>
              </w:rPr>
            </w:pPr>
            <w:r w:rsidRPr="00D06E2E">
              <w:rPr>
                <w:rFonts w:cs="Times New Roman"/>
                <w:lang w:val="sr-Latn-RS"/>
              </w:rPr>
              <w:t>Citizens received in person</w:t>
            </w:r>
          </w:p>
        </w:tc>
        <w:tc>
          <w:tcPr>
            <w:tcW w:w="1418" w:type="dxa"/>
            <w:tcBorders>
              <w:top w:val="single" w:sz="8" w:space="0" w:color="0070C0"/>
              <w:left w:val="single" w:sz="8" w:space="0" w:color="0070C0"/>
              <w:bottom w:val="single" w:sz="2" w:space="0" w:color="0070C0"/>
              <w:right w:val="single" w:sz="8" w:space="0" w:color="0070C0"/>
            </w:tcBorders>
          </w:tcPr>
          <w:p w14:paraId="58BDC592" w14:textId="32498391" w:rsidR="0018604C" w:rsidRPr="00D06E2E" w:rsidRDefault="00160226" w:rsidP="00556F2C">
            <w:pPr>
              <w:spacing w:after="0"/>
              <w:jc w:val="center"/>
              <w:rPr>
                <w:rFonts w:cs="Times New Roman"/>
                <w:bCs/>
                <w:lang w:val="sr-Latn-RS"/>
              </w:rPr>
            </w:pPr>
            <w:r w:rsidRPr="00D06E2E">
              <w:rPr>
                <w:rFonts w:cs="Times New Roman"/>
                <w:bCs/>
                <w:lang w:val="sr-Latn-RS"/>
              </w:rPr>
              <w:t>1,</w:t>
            </w:r>
            <w:r w:rsidR="0018604C" w:rsidRPr="00D06E2E">
              <w:rPr>
                <w:rFonts w:cs="Times New Roman"/>
                <w:bCs/>
                <w:lang w:val="sr-Latn-RS"/>
              </w:rPr>
              <w:t>674</w:t>
            </w:r>
          </w:p>
        </w:tc>
        <w:tc>
          <w:tcPr>
            <w:tcW w:w="1701" w:type="dxa"/>
            <w:tcBorders>
              <w:top w:val="single" w:sz="8" w:space="0" w:color="0070C0"/>
              <w:left w:val="single" w:sz="8" w:space="0" w:color="0070C0"/>
              <w:bottom w:val="single" w:sz="2" w:space="0" w:color="0070C0"/>
              <w:right w:val="single" w:sz="8" w:space="0" w:color="0070C0"/>
            </w:tcBorders>
          </w:tcPr>
          <w:p w14:paraId="03514EE1" w14:textId="62FB2297" w:rsidR="0018604C" w:rsidRPr="00D06E2E" w:rsidRDefault="00160226" w:rsidP="00556F2C">
            <w:pPr>
              <w:spacing w:after="0"/>
              <w:jc w:val="center"/>
              <w:rPr>
                <w:rFonts w:cs="Times New Roman"/>
                <w:bCs/>
                <w:lang w:val="sr-Latn-RS"/>
              </w:rPr>
            </w:pPr>
            <w:r w:rsidRPr="00D06E2E">
              <w:rPr>
                <w:rFonts w:cs="Times New Roman"/>
                <w:bCs/>
                <w:lang w:val="sr-Latn-RS"/>
              </w:rPr>
              <w:t>1,</w:t>
            </w:r>
            <w:r w:rsidR="0018604C" w:rsidRPr="00D06E2E">
              <w:rPr>
                <w:rFonts w:cs="Times New Roman"/>
                <w:bCs/>
                <w:lang w:val="sr-Latn-RS"/>
              </w:rPr>
              <w:t>645</w:t>
            </w:r>
          </w:p>
        </w:tc>
      </w:tr>
      <w:tr w:rsidR="0018604C" w:rsidRPr="00D06E2E" w14:paraId="65B1E0FF" w14:textId="77777777" w:rsidTr="006576C8">
        <w:trPr>
          <w:trHeight w:hRule="exact" w:val="329"/>
          <w:jc w:val="center"/>
        </w:trPr>
        <w:tc>
          <w:tcPr>
            <w:tcW w:w="3539" w:type="dxa"/>
            <w:tcBorders>
              <w:top w:val="single" w:sz="2"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tcPr>
          <w:p w14:paraId="328DC92A" w14:textId="02103A01" w:rsidR="0018604C" w:rsidRPr="00D06E2E" w:rsidRDefault="00160226" w:rsidP="00556F2C">
            <w:pPr>
              <w:spacing w:after="0"/>
              <w:rPr>
                <w:rFonts w:cs="Times New Roman"/>
                <w:lang w:val="sr-Latn-RS"/>
              </w:rPr>
            </w:pPr>
            <w:r w:rsidRPr="00D06E2E">
              <w:rPr>
                <w:rFonts w:cs="Times New Roman"/>
                <w:b/>
                <w:lang w:val="sr-Latn-RS"/>
              </w:rPr>
              <w:t>Total</w:t>
            </w:r>
          </w:p>
        </w:tc>
        <w:tc>
          <w:tcPr>
            <w:tcW w:w="1418" w:type="dxa"/>
            <w:tcBorders>
              <w:top w:val="single" w:sz="2" w:space="0" w:color="0070C0"/>
              <w:left w:val="single" w:sz="8" w:space="0" w:color="0070C0"/>
              <w:bottom w:val="single" w:sz="2" w:space="0" w:color="0070C0"/>
              <w:right w:val="single" w:sz="8" w:space="0" w:color="0070C0"/>
            </w:tcBorders>
          </w:tcPr>
          <w:p w14:paraId="046B1E1D" w14:textId="7EA06A51" w:rsidR="0018604C" w:rsidRPr="00D06E2E" w:rsidRDefault="00160226" w:rsidP="00556F2C">
            <w:pPr>
              <w:spacing w:after="0"/>
              <w:jc w:val="center"/>
              <w:rPr>
                <w:rFonts w:cs="Times New Roman"/>
                <w:b/>
                <w:bCs/>
                <w:lang w:val="sr-Latn-RS"/>
              </w:rPr>
            </w:pPr>
            <w:r w:rsidRPr="00D06E2E">
              <w:rPr>
                <w:rFonts w:cs="Times New Roman"/>
                <w:b/>
                <w:bCs/>
                <w:lang w:val="sr-Latn-RS"/>
              </w:rPr>
              <w:t>14,</w:t>
            </w:r>
            <w:r w:rsidR="0018604C" w:rsidRPr="00D06E2E">
              <w:rPr>
                <w:rFonts w:cs="Times New Roman"/>
                <w:b/>
                <w:bCs/>
                <w:lang w:val="sr-Latn-RS"/>
              </w:rPr>
              <w:t>984</w:t>
            </w:r>
          </w:p>
        </w:tc>
        <w:tc>
          <w:tcPr>
            <w:tcW w:w="1701" w:type="dxa"/>
            <w:tcBorders>
              <w:top w:val="single" w:sz="2" w:space="0" w:color="0070C0"/>
              <w:left w:val="single" w:sz="8" w:space="0" w:color="0070C0"/>
              <w:bottom w:val="single" w:sz="2" w:space="0" w:color="0070C0"/>
              <w:right w:val="single" w:sz="8" w:space="0" w:color="0070C0"/>
            </w:tcBorders>
          </w:tcPr>
          <w:p w14:paraId="1C6EE773" w14:textId="5877060A" w:rsidR="0018604C" w:rsidRPr="00D06E2E" w:rsidRDefault="00160226" w:rsidP="00556F2C">
            <w:pPr>
              <w:spacing w:after="0"/>
              <w:jc w:val="center"/>
              <w:rPr>
                <w:rFonts w:cs="Times New Roman"/>
                <w:b/>
                <w:bCs/>
                <w:lang w:val="sr-Latn-RS"/>
              </w:rPr>
            </w:pPr>
            <w:r w:rsidRPr="00D06E2E">
              <w:rPr>
                <w:rFonts w:cs="Times New Roman"/>
                <w:b/>
                <w:bCs/>
                <w:lang w:val="sr-Latn-RS"/>
              </w:rPr>
              <w:t>13,</w:t>
            </w:r>
            <w:r w:rsidR="0018604C" w:rsidRPr="00D06E2E">
              <w:rPr>
                <w:rFonts w:cs="Times New Roman"/>
                <w:b/>
                <w:bCs/>
                <w:lang w:val="sr-Latn-RS"/>
              </w:rPr>
              <w:t>841</w:t>
            </w:r>
          </w:p>
        </w:tc>
      </w:tr>
    </w:tbl>
    <w:p w14:paraId="741175A5" w14:textId="77777777" w:rsidR="0018604C" w:rsidRPr="00D06E2E" w:rsidRDefault="0018604C" w:rsidP="0018604C">
      <w:pPr>
        <w:spacing w:after="0"/>
        <w:rPr>
          <w:rFonts w:cs="Times New Roman"/>
          <w:lang w:val="sr-Latn-RS"/>
        </w:rPr>
      </w:pPr>
    </w:p>
    <w:p w14:paraId="5CDB2111" w14:textId="0CB8545A" w:rsidR="0018604C" w:rsidRPr="00D06E2E" w:rsidRDefault="00160226" w:rsidP="0018604C">
      <w:pPr>
        <w:spacing w:after="0"/>
        <w:rPr>
          <w:rFonts w:cs="Times New Roman"/>
          <w:lang w:val="sr-Latn-RS"/>
        </w:rPr>
      </w:pPr>
      <w:r w:rsidRPr="00D06E2E">
        <w:rPr>
          <w:rFonts w:cs="Times New Roman"/>
          <w:lang w:val="sr-Latn-RS"/>
        </w:rPr>
        <w:t>The table of comparative overview of contact with citizens in 2023 and in 2022 indicates</w:t>
      </w:r>
      <w:r w:rsidR="00B540A0" w:rsidRPr="00D06E2E">
        <w:rPr>
          <w:rFonts w:cs="Times New Roman"/>
          <w:lang w:val="sr-Latn-RS"/>
        </w:rPr>
        <w:t xml:space="preserve"> that the total number of appeals of citizens to the Protector of Citizens was increased by more than 8 percent and the number of cases by almost 23 percent, which is the confirmation of trust and credibility that this independent state authority enjoys among citizens.</w:t>
      </w:r>
    </w:p>
    <w:p w14:paraId="5D907931" w14:textId="77777777" w:rsidR="0018604C" w:rsidRPr="00D06E2E" w:rsidRDefault="0018604C" w:rsidP="0018604C">
      <w:pPr>
        <w:spacing w:after="0"/>
        <w:rPr>
          <w:rFonts w:cs="Times New Roman"/>
          <w:lang w:val="sr-Latn-RS"/>
        </w:rPr>
      </w:pPr>
    </w:p>
    <w:p w14:paraId="0A863BD9" w14:textId="59116505" w:rsidR="0018604C" w:rsidRPr="00D06E2E" w:rsidRDefault="00B540A0" w:rsidP="0018604C">
      <w:pPr>
        <w:pStyle w:val="Caption"/>
        <w:keepNext/>
        <w:spacing w:before="0"/>
        <w:jc w:val="center"/>
        <w:rPr>
          <w:lang w:val="sr-Latn-RS"/>
        </w:rPr>
      </w:pPr>
      <w:r w:rsidRPr="00D06E2E">
        <w:rPr>
          <w:lang w:val="sr-Latn-RS"/>
        </w:rPr>
        <w:t>Таble</w:t>
      </w:r>
      <w:r w:rsidR="0018604C" w:rsidRPr="00D06E2E">
        <w:rPr>
          <w:lang w:val="sr-Latn-RS"/>
        </w:rPr>
        <w:t xml:space="preserve"> 3 – </w:t>
      </w:r>
      <w:r w:rsidR="00B736F0" w:rsidRPr="00D06E2E">
        <w:rPr>
          <w:lang w:val="sr-Latn-RS"/>
        </w:rPr>
        <w:t>The o</w:t>
      </w:r>
      <w:r w:rsidRPr="00D06E2E">
        <w:rPr>
          <w:lang w:val="sr-Latn-RS"/>
        </w:rPr>
        <w:t>verview of handled cases from 2023</w:t>
      </w:r>
      <w:r w:rsidR="0018604C" w:rsidRPr="00D06E2E">
        <w:rPr>
          <w:lang w:val="sr-Latn-RS"/>
        </w:rPr>
        <w:t xml:space="preserve"> </w:t>
      </w:r>
    </w:p>
    <w:tbl>
      <w:tblPr>
        <w:tblW w:w="8934" w:type="dxa"/>
        <w:jc w:val="center"/>
        <w:tblBorders>
          <w:top w:val="single" w:sz="12" w:space="0" w:color="0070C0"/>
          <w:bottom w:val="single" w:sz="8" w:space="0" w:color="0070C0"/>
          <w:insideH w:val="single" w:sz="8" w:space="0" w:color="0070C0"/>
          <w:insideV w:val="single" w:sz="8" w:space="0" w:color="0070C0"/>
        </w:tblBorders>
        <w:tblLook w:val="04A0" w:firstRow="1" w:lastRow="0" w:firstColumn="1" w:lastColumn="0" w:noHBand="0" w:noVBand="1"/>
      </w:tblPr>
      <w:tblGrid>
        <w:gridCol w:w="5128"/>
        <w:gridCol w:w="1908"/>
        <w:gridCol w:w="1898"/>
      </w:tblGrid>
      <w:tr w:rsidR="0018604C" w:rsidRPr="00D06E2E" w14:paraId="0BB3EC05" w14:textId="77777777" w:rsidTr="006576C8">
        <w:trPr>
          <w:trHeight w:hRule="exact" w:val="329"/>
          <w:jc w:val="center"/>
        </w:trPr>
        <w:tc>
          <w:tcPr>
            <w:tcW w:w="5128" w:type="dxa"/>
            <w:tcBorders>
              <w:top w:val="single" w:sz="2" w:space="0" w:color="0070C0"/>
              <w:left w:val="single" w:sz="2" w:space="0" w:color="0070C0"/>
              <w:bottom w:val="single" w:sz="2" w:space="0" w:color="0070C0"/>
            </w:tcBorders>
            <w:vAlign w:val="center"/>
          </w:tcPr>
          <w:p w14:paraId="5AB2AEA6" w14:textId="1A9A8473" w:rsidR="0018604C" w:rsidRPr="00D06E2E" w:rsidRDefault="00B540A0" w:rsidP="00556F2C">
            <w:pPr>
              <w:spacing w:after="0"/>
              <w:rPr>
                <w:b/>
                <w:lang w:val="sr-Latn-RS"/>
              </w:rPr>
            </w:pPr>
            <w:r w:rsidRPr="00D06E2E">
              <w:rPr>
                <w:b/>
                <w:lang w:val="sr-Latn-RS"/>
              </w:rPr>
              <w:t>Number of cases in 2023</w:t>
            </w:r>
          </w:p>
        </w:tc>
        <w:tc>
          <w:tcPr>
            <w:tcW w:w="1908" w:type="dxa"/>
            <w:tcBorders>
              <w:top w:val="single" w:sz="2" w:space="0" w:color="0070C0"/>
              <w:bottom w:val="single" w:sz="2" w:space="0" w:color="0070C0"/>
            </w:tcBorders>
            <w:vAlign w:val="center"/>
          </w:tcPr>
          <w:p w14:paraId="13E306B3" w14:textId="4775DA11" w:rsidR="0018604C" w:rsidRPr="00D06E2E" w:rsidRDefault="00B540A0" w:rsidP="00556F2C">
            <w:pPr>
              <w:spacing w:after="0"/>
              <w:jc w:val="center"/>
              <w:rPr>
                <w:b/>
                <w:lang w:val="sr-Latn-RS"/>
              </w:rPr>
            </w:pPr>
            <w:r w:rsidRPr="00D06E2E">
              <w:rPr>
                <w:b/>
                <w:lang w:val="sr-Latn-RS"/>
              </w:rPr>
              <w:t>4,</w:t>
            </w:r>
            <w:r w:rsidR="0018604C" w:rsidRPr="00D06E2E">
              <w:rPr>
                <w:b/>
                <w:lang w:val="sr-Latn-RS"/>
              </w:rPr>
              <w:t>425</w:t>
            </w:r>
          </w:p>
        </w:tc>
        <w:tc>
          <w:tcPr>
            <w:tcW w:w="1898" w:type="dxa"/>
            <w:tcBorders>
              <w:top w:val="single" w:sz="2" w:space="0" w:color="0070C0"/>
              <w:bottom w:val="single" w:sz="2" w:space="0" w:color="0070C0"/>
              <w:right w:val="single" w:sz="2" w:space="0" w:color="0070C0"/>
            </w:tcBorders>
          </w:tcPr>
          <w:p w14:paraId="0784C631" w14:textId="77777777" w:rsidR="0018604C" w:rsidRPr="00D06E2E" w:rsidRDefault="0018604C" w:rsidP="00556F2C">
            <w:pPr>
              <w:spacing w:after="0"/>
              <w:jc w:val="center"/>
              <w:rPr>
                <w:b/>
                <w:lang w:val="sr-Latn-RS"/>
              </w:rPr>
            </w:pPr>
            <w:r w:rsidRPr="00D06E2E">
              <w:rPr>
                <w:b/>
                <w:bCs/>
                <w:lang w:val="sr-Latn-RS"/>
              </w:rPr>
              <w:t>%</w:t>
            </w:r>
          </w:p>
        </w:tc>
      </w:tr>
      <w:tr w:rsidR="0018604C" w:rsidRPr="00D06E2E" w14:paraId="76B97A59" w14:textId="77777777" w:rsidTr="006576C8">
        <w:trPr>
          <w:trHeight w:hRule="exact" w:val="329"/>
          <w:jc w:val="center"/>
        </w:trPr>
        <w:tc>
          <w:tcPr>
            <w:tcW w:w="5128" w:type="dxa"/>
            <w:tcBorders>
              <w:top w:val="single" w:sz="2" w:space="0" w:color="0070C0"/>
              <w:left w:val="single" w:sz="2" w:space="0" w:color="0070C0"/>
              <w:bottom w:val="single" w:sz="8" w:space="0" w:color="0070C0"/>
            </w:tcBorders>
            <w:vAlign w:val="center"/>
          </w:tcPr>
          <w:p w14:paraId="1072215C" w14:textId="48810A0D" w:rsidR="0018604C" w:rsidRPr="00D06E2E" w:rsidRDefault="00B540A0" w:rsidP="00B540A0">
            <w:pPr>
              <w:spacing w:after="0"/>
              <w:rPr>
                <w:lang w:val="sr-Latn-RS"/>
              </w:rPr>
            </w:pPr>
            <w:r w:rsidRPr="00D06E2E">
              <w:rPr>
                <w:lang w:val="sr-Latn-RS"/>
              </w:rPr>
              <w:t>Number of completed cases from 2023</w:t>
            </w:r>
            <w:r w:rsidR="0018604C" w:rsidRPr="00D06E2E">
              <w:rPr>
                <w:lang w:val="sr-Latn-RS"/>
              </w:rPr>
              <w:t xml:space="preserve">  </w:t>
            </w:r>
          </w:p>
        </w:tc>
        <w:tc>
          <w:tcPr>
            <w:tcW w:w="1908" w:type="dxa"/>
            <w:tcBorders>
              <w:top w:val="single" w:sz="2" w:space="0" w:color="0070C0"/>
              <w:bottom w:val="single" w:sz="8" w:space="0" w:color="0070C0"/>
            </w:tcBorders>
            <w:vAlign w:val="center"/>
          </w:tcPr>
          <w:p w14:paraId="057679FA" w14:textId="36A2DD5C" w:rsidR="0018604C" w:rsidRPr="00D06E2E" w:rsidRDefault="0018604C" w:rsidP="00556F2C">
            <w:pPr>
              <w:spacing w:after="0"/>
              <w:jc w:val="center"/>
              <w:rPr>
                <w:lang w:val="sr-Latn-RS"/>
              </w:rPr>
            </w:pPr>
            <w:r w:rsidRPr="00D06E2E">
              <w:rPr>
                <w:lang w:val="sr-Latn-RS"/>
              </w:rPr>
              <w:t>3</w:t>
            </w:r>
            <w:r w:rsidR="00B540A0" w:rsidRPr="00D06E2E">
              <w:rPr>
                <w:lang w:val="sr-Latn-RS"/>
              </w:rPr>
              <w:t>,</w:t>
            </w:r>
            <w:r w:rsidRPr="00D06E2E">
              <w:rPr>
                <w:lang w:val="sr-Latn-RS"/>
              </w:rPr>
              <w:t>935</w:t>
            </w:r>
          </w:p>
        </w:tc>
        <w:tc>
          <w:tcPr>
            <w:tcW w:w="1898" w:type="dxa"/>
            <w:tcBorders>
              <w:top w:val="single" w:sz="2" w:space="0" w:color="0070C0"/>
              <w:bottom w:val="single" w:sz="8" w:space="0" w:color="0070C0"/>
              <w:right w:val="single" w:sz="2" w:space="0" w:color="0070C0"/>
            </w:tcBorders>
          </w:tcPr>
          <w:p w14:paraId="2D321E19" w14:textId="1CBC3C34" w:rsidR="0018604C" w:rsidRPr="00D06E2E" w:rsidRDefault="00B540A0" w:rsidP="00556F2C">
            <w:pPr>
              <w:spacing w:after="0"/>
              <w:jc w:val="center"/>
              <w:rPr>
                <w:lang w:val="sr-Latn-RS"/>
              </w:rPr>
            </w:pPr>
            <w:r w:rsidRPr="00D06E2E">
              <w:rPr>
                <w:lang w:val="sr-Latn-RS"/>
              </w:rPr>
              <w:t>88.</w:t>
            </w:r>
            <w:r w:rsidR="0018604C" w:rsidRPr="00D06E2E">
              <w:rPr>
                <w:lang w:val="sr-Latn-RS"/>
              </w:rPr>
              <w:t>93%</w:t>
            </w:r>
          </w:p>
        </w:tc>
      </w:tr>
      <w:tr w:rsidR="0018604C" w:rsidRPr="00D06E2E" w14:paraId="7D48F9C0" w14:textId="77777777" w:rsidTr="006576C8">
        <w:trPr>
          <w:trHeight w:hRule="exact" w:val="329"/>
          <w:jc w:val="center"/>
        </w:trPr>
        <w:tc>
          <w:tcPr>
            <w:tcW w:w="5128" w:type="dxa"/>
            <w:tcBorders>
              <w:top w:val="single" w:sz="8" w:space="0" w:color="0070C0"/>
              <w:left w:val="single" w:sz="2" w:space="0" w:color="0070C0"/>
              <w:bottom w:val="single" w:sz="2" w:space="0" w:color="0070C0"/>
            </w:tcBorders>
            <w:vAlign w:val="center"/>
          </w:tcPr>
          <w:p w14:paraId="44979D4C" w14:textId="741B48A6" w:rsidR="0018604C" w:rsidRPr="00D06E2E" w:rsidRDefault="00B540A0" w:rsidP="00556F2C">
            <w:pPr>
              <w:spacing w:after="0"/>
              <w:rPr>
                <w:lang w:val="sr-Latn-RS"/>
              </w:rPr>
            </w:pPr>
            <w:r w:rsidRPr="00D06E2E">
              <w:rPr>
                <w:lang w:val="sr-Latn-RS"/>
              </w:rPr>
              <w:t>Number of cases in progress from 2023</w:t>
            </w:r>
          </w:p>
        </w:tc>
        <w:tc>
          <w:tcPr>
            <w:tcW w:w="1908" w:type="dxa"/>
            <w:tcBorders>
              <w:top w:val="single" w:sz="8" w:space="0" w:color="0070C0"/>
              <w:bottom w:val="single" w:sz="2" w:space="0" w:color="0070C0"/>
            </w:tcBorders>
            <w:vAlign w:val="center"/>
          </w:tcPr>
          <w:p w14:paraId="077A34EB" w14:textId="77777777" w:rsidR="0018604C" w:rsidRPr="00D06E2E" w:rsidRDefault="0018604C" w:rsidP="00556F2C">
            <w:pPr>
              <w:spacing w:after="0"/>
              <w:jc w:val="center"/>
              <w:rPr>
                <w:lang w:val="sr-Latn-RS"/>
              </w:rPr>
            </w:pPr>
            <w:r w:rsidRPr="00D06E2E">
              <w:rPr>
                <w:lang w:val="sr-Latn-RS"/>
              </w:rPr>
              <w:t>490</w:t>
            </w:r>
          </w:p>
        </w:tc>
        <w:tc>
          <w:tcPr>
            <w:tcW w:w="1898" w:type="dxa"/>
            <w:tcBorders>
              <w:top w:val="single" w:sz="8" w:space="0" w:color="0070C0"/>
              <w:bottom w:val="single" w:sz="2" w:space="0" w:color="0070C0"/>
              <w:right w:val="single" w:sz="2" w:space="0" w:color="0070C0"/>
            </w:tcBorders>
          </w:tcPr>
          <w:p w14:paraId="764CD9B5" w14:textId="39A732BC" w:rsidR="0018604C" w:rsidRPr="00D06E2E" w:rsidRDefault="0018604C" w:rsidP="00C21001">
            <w:pPr>
              <w:spacing w:after="0"/>
              <w:jc w:val="center"/>
              <w:rPr>
                <w:lang w:val="sr-Latn-RS"/>
              </w:rPr>
            </w:pPr>
            <w:r w:rsidRPr="00D06E2E">
              <w:rPr>
                <w:lang w:val="sr-Latn-RS"/>
              </w:rPr>
              <w:t>11</w:t>
            </w:r>
            <w:r w:rsidR="00B540A0" w:rsidRPr="00D06E2E">
              <w:rPr>
                <w:lang w:val="sr-Latn-RS"/>
              </w:rPr>
              <w:t>.</w:t>
            </w:r>
            <w:r w:rsidRPr="00D06E2E">
              <w:rPr>
                <w:lang w:val="sr-Latn-RS"/>
              </w:rPr>
              <w:t>07%</w:t>
            </w:r>
          </w:p>
        </w:tc>
      </w:tr>
    </w:tbl>
    <w:p w14:paraId="73A22479" w14:textId="77777777" w:rsidR="0018604C" w:rsidRPr="00D06E2E" w:rsidRDefault="0018604C" w:rsidP="0018604C">
      <w:pPr>
        <w:spacing w:after="0"/>
        <w:rPr>
          <w:rFonts w:cs="Times New Roman"/>
          <w:lang w:val="sr-Latn-RS"/>
        </w:rPr>
      </w:pPr>
    </w:p>
    <w:p w14:paraId="2E5E1B30" w14:textId="4C0EE515" w:rsidR="0018604C" w:rsidRPr="00D06E2E" w:rsidRDefault="0018604C" w:rsidP="0018604C">
      <w:pPr>
        <w:jc w:val="center"/>
        <w:rPr>
          <w:rFonts w:cs="Times New Roman"/>
          <w:b/>
          <w:lang w:val="sr-Latn-RS"/>
        </w:rPr>
      </w:pPr>
      <w:r w:rsidRPr="00D06E2E">
        <w:rPr>
          <w:rFonts w:cs="Times New Roman"/>
          <w:b/>
          <w:lang w:val="sr-Latn-RS"/>
        </w:rPr>
        <w:t xml:space="preserve"> </w:t>
      </w:r>
      <w:r w:rsidR="00B736F0" w:rsidRPr="00D06E2E">
        <w:rPr>
          <w:rFonts w:cs="Times New Roman"/>
          <w:b/>
          <w:lang w:val="sr-Latn-RS"/>
        </w:rPr>
        <w:t xml:space="preserve">Table </w:t>
      </w:r>
      <w:r w:rsidRPr="00D06E2E">
        <w:rPr>
          <w:rFonts w:cs="Times New Roman"/>
          <w:b/>
          <w:lang w:val="sr-Latn-RS"/>
        </w:rPr>
        <w:t xml:space="preserve">4 – </w:t>
      </w:r>
      <w:r w:rsidR="00B736F0" w:rsidRPr="00D06E2E">
        <w:rPr>
          <w:rFonts w:cs="Times New Roman"/>
          <w:b/>
          <w:lang w:val="sr-Latn-RS"/>
        </w:rPr>
        <w:t>The o</w:t>
      </w:r>
      <w:r w:rsidR="00B540A0" w:rsidRPr="00D06E2E">
        <w:rPr>
          <w:rFonts w:cs="Times New Roman"/>
          <w:b/>
          <w:lang w:val="sr-Latn-RS"/>
        </w:rPr>
        <w:t>verview of handling all cases in 2023</w:t>
      </w:r>
      <w:r w:rsidRPr="00D06E2E">
        <w:rPr>
          <w:rFonts w:cs="Times New Roman"/>
          <w:b/>
          <w:lang w:val="sr-Latn-RS"/>
        </w:rPr>
        <w:t xml:space="preserve"> </w:t>
      </w:r>
    </w:p>
    <w:tbl>
      <w:tblPr>
        <w:tblW w:w="8779"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left w:w="0" w:type="dxa"/>
          <w:right w:w="0" w:type="dxa"/>
        </w:tblCellMar>
        <w:tblLook w:val="04A0" w:firstRow="1" w:lastRow="0" w:firstColumn="1" w:lastColumn="0" w:noHBand="0" w:noVBand="1"/>
      </w:tblPr>
      <w:tblGrid>
        <w:gridCol w:w="3550"/>
        <w:gridCol w:w="1701"/>
        <w:gridCol w:w="1701"/>
        <w:gridCol w:w="1827"/>
      </w:tblGrid>
      <w:tr w:rsidR="0018604C" w:rsidRPr="00D06E2E" w14:paraId="469AA9AA" w14:textId="77777777" w:rsidTr="006576C8">
        <w:trPr>
          <w:trHeight w:hRule="exact" w:val="588"/>
          <w:jc w:val="center"/>
        </w:trPr>
        <w:tc>
          <w:tcPr>
            <w:tcW w:w="3550" w:type="dxa"/>
            <w:tcMar>
              <w:top w:w="0" w:type="dxa"/>
              <w:left w:w="108" w:type="dxa"/>
              <w:bottom w:w="0" w:type="dxa"/>
              <w:right w:w="108" w:type="dxa"/>
            </w:tcMar>
            <w:vAlign w:val="center"/>
          </w:tcPr>
          <w:p w14:paraId="6B45C332" w14:textId="77777777" w:rsidR="0018604C" w:rsidRPr="00D06E2E" w:rsidRDefault="0018604C" w:rsidP="00556F2C">
            <w:pPr>
              <w:spacing w:after="0"/>
              <w:rPr>
                <w:rFonts w:ascii="Calibri" w:hAnsi="Calibri" w:cs="Calibri"/>
                <w:b/>
                <w:bCs/>
                <w:lang w:val="sr-Latn-RS"/>
              </w:rPr>
            </w:pPr>
          </w:p>
        </w:tc>
        <w:tc>
          <w:tcPr>
            <w:tcW w:w="1701" w:type="dxa"/>
            <w:noWrap/>
            <w:tcMar>
              <w:top w:w="0" w:type="dxa"/>
              <w:left w:w="108" w:type="dxa"/>
              <w:bottom w:w="0" w:type="dxa"/>
              <w:right w:w="108" w:type="dxa"/>
            </w:tcMar>
            <w:vAlign w:val="center"/>
            <w:hideMark/>
          </w:tcPr>
          <w:p w14:paraId="6E5E4F4B" w14:textId="30ACC798" w:rsidR="0018604C" w:rsidRPr="00D06E2E" w:rsidRDefault="0018604C" w:rsidP="00556F2C">
            <w:pPr>
              <w:spacing w:after="0"/>
              <w:jc w:val="center"/>
              <w:rPr>
                <w:b/>
                <w:lang w:val="sr-Latn-RS"/>
              </w:rPr>
            </w:pPr>
            <w:r w:rsidRPr="00D06E2E">
              <w:rPr>
                <w:b/>
                <w:lang w:val="sr-Latn-RS"/>
              </w:rPr>
              <w:t>2023</w:t>
            </w:r>
          </w:p>
        </w:tc>
        <w:tc>
          <w:tcPr>
            <w:tcW w:w="1701" w:type="dxa"/>
            <w:hideMark/>
          </w:tcPr>
          <w:p w14:paraId="3314F372" w14:textId="52B13B4A" w:rsidR="0018604C" w:rsidRPr="00D06E2E" w:rsidRDefault="00B540A0" w:rsidP="00556F2C">
            <w:pPr>
              <w:spacing w:after="0"/>
              <w:jc w:val="center"/>
              <w:rPr>
                <w:b/>
                <w:lang w:val="sr-Latn-RS"/>
              </w:rPr>
            </w:pPr>
            <w:r w:rsidRPr="00D06E2E">
              <w:rPr>
                <w:b/>
                <w:lang w:val="sr-Latn-RS"/>
              </w:rPr>
              <w:t>From previous years</w:t>
            </w:r>
          </w:p>
        </w:tc>
        <w:tc>
          <w:tcPr>
            <w:tcW w:w="1827" w:type="dxa"/>
            <w:hideMark/>
          </w:tcPr>
          <w:p w14:paraId="45CC385A" w14:textId="41DEDFBD" w:rsidR="0018604C" w:rsidRPr="00D06E2E" w:rsidRDefault="00B540A0" w:rsidP="00556F2C">
            <w:pPr>
              <w:spacing w:after="0"/>
              <w:jc w:val="center"/>
              <w:rPr>
                <w:b/>
                <w:lang w:val="sr-Latn-RS"/>
              </w:rPr>
            </w:pPr>
            <w:r w:rsidRPr="00D06E2E">
              <w:rPr>
                <w:b/>
                <w:lang w:val="sr-Latn-RS"/>
              </w:rPr>
              <w:t>Total</w:t>
            </w:r>
          </w:p>
        </w:tc>
      </w:tr>
      <w:tr w:rsidR="0018604C" w:rsidRPr="00D06E2E" w14:paraId="5AE328EB" w14:textId="77777777" w:rsidTr="006576C8">
        <w:trPr>
          <w:trHeight w:hRule="exact" w:val="329"/>
          <w:jc w:val="center"/>
        </w:trPr>
        <w:tc>
          <w:tcPr>
            <w:tcW w:w="3550" w:type="dxa"/>
            <w:tcMar>
              <w:top w:w="0" w:type="dxa"/>
              <w:left w:w="108" w:type="dxa"/>
              <w:bottom w:w="0" w:type="dxa"/>
              <w:right w:w="108" w:type="dxa"/>
            </w:tcMar>
            <w:vAlign w:val="center"/>
            <w:hideMark/>
          </w:tcPr>
          <w:p w14:paraId="366BB7D9" w14:textId="449DE45B" w:rsidR="0018604C" w:rsidRPr="00D06E2E" w:rsidRDefault="00B540A0" w:rsidP="00556F2C">
            <w:pPr>
              <w:spacing w:after="0"/>
              <w:rPr>
                <w:b/>
                <w:bCs/>
                <w:lang w:val="sr-Latn-RS"/>
              </w:rPr>
            </w:pPr>
            <w:r w:rsidRPr="00D06E2E">
              <w:rPr>
                <w:b/>
                <w:bCs/>
                <w:lang w:val="sr-Latn-RS"/>
              </w:rPr>
              <w:t>Number of cases</w:t>
            </w:r>
          </w:p>
        </w:tc>
        <w:tc>
          <w:tcPr>
            <w:tcW w:w="1701" w:type="dxa"/>
            <w:noWrap/>
            <w:tcMar>
              <w:top w:w="0" w:type="dxa"/>
              <w:left w:w="108" w:type="dxa"/>
              <w:bottom w:w="0" w:type="dxa"/>
              <w:right w:w="108" w:type="dxa"/>
            </w:tcMar>
            <w:vAlign w:val="center"/>
            <w:hideMark/>
          </w:tcPr>
          <w:p w14:paraId="5D78D88C" w14:textId="50B0E321" w:rsidR="0018604C" w:rsidRPr="00D06E2E" w:rsidRDefault="00B540A0" w:rsidP="00556F2C">
            <w:pPr>
              <w:spacing w:after="0"/>
              <w:jc w:val="center"/>
              <w:rPr>
                <w:b/>
                <w:bCs/>
                <w:lang w:val="sr-Latn-RS"/>
              </w:rPr>
            </w:pPr>
            <w:r w:rsidRPr="00D06E2E">
              <w:rPr>
                <w:b/>
                <w:bCs/>
                <w:lang w:val="sr-Latn-RS"/>
              </w:rPr>
              <w:t>4,</w:t>
            </w:r>
            <w:r w:rsidR="0018604C" w:rsidRPr="00D06E2E">
              <w:rPr>
                <w:b/>
                <w:bCs/>
                <w:lang w:val="sr-Latn-RS"/>
              </w:rPr>
              <w:t>425</w:t>
            </w:r>
          </w:p>
        </w:tc>
        <w:tc>
          <w:tcPr>
            <w:tcW w:w="1701" w:type="dxa"/>
            <w:hideMark/>
          </w:tcPr>
          <w:p w14:paraId="00184F1A" w14:textId="6EE8932E" w:rsidR="0018604C" w:rsidRPr="00D06E2E" w:rsidRDefault="0018604C" w:rsidP="00556F2C">
            <w:pPr>
              <w:spacing w:after="0"/>
              <w:jc w:val="center"/>
              <w:rPr>
                <w:b/>
                <w:bCs/>
                <w:lang w:val="sr-Latn-RS"/>
              </w:rPr>
            </w:pPr>
            <w:r w:rsidRPr="00D06E2E">
              <w:rPr>
                <w:b/>
                <w:bCs/>
                <w:lang w:val="sr-Latn-RS"/>
              </w:rPr>
              <w:t>1</w:t>
            </w:r>
            <w:r w:rsidR="00B540A0" w:rsidRPr="00D06E2E">
              <w:rPr>
                <w:b/>
                <w:bCs/>
                <w:lang w:val="sr-Latn-RS"/>
              </w:rPr>
              <w:t>,</w:t>
            </w:r>
            <w:r w:rsidRPr="00D06E2E">
              <w:rPr>
                <w:b/>
                <w:bCs/>
                <w:lang w:val="sr-Latn-RS"/>
              </w:rPr>
              <w:t>168</w:t>
            </w:r>
          </w:p>
        </w:tc>
        <w:tc>
          <w:tcPr>
            <w:tcW w:w="1827" w:type="dxa"/>
            <w:hideMark/>
          </w:tcPr>
          <w:p w14:paraId="3F9F3C90" w14:textId="7BCC27D2" w:rsidR="0018604C" w:rsidRPr="00D06E2E" w:rsidRDefault="00B540A0" w:rsidP="00556F2C">
            <w:pPr>
              <w:spacing w:after="0"/>
              <w:jc w:val="center"/>
              <w:rPr>
                <w:b/>
                <w:bCs/>
                <w:lang w:val="sr-Latn-RS"/>
              </w:rPr>
            </w:pPr>
            <w:r w:rsidRPr="00D06E2E">
              <w:rPr>
                <w:b/>
                <w:bCs/>
                <w:lang w:val="sr-Latn-RS"/>
              </w:rPr>
              <w:t>5,</w:t>
            </w:r>
            <w:r w:rsidR="0018604C" w:rsidRPr="00D06E2E">
              <w:rPr>
                <w:b/>
                <w:bCs/>
                <w:lang w:val="sr-Latn-RS"/>
              </w:rPr>
              <w:t>593</w:t>
            </w:r>
          </w:p>
        </w:tc>
      </w:tr>
      <w:tr w:rsidR="0018604C" w:rsidRPr="00D06E2E" w14:paraId="78686FC8" w14:textId="77777777" w:rsidTr="006576C8">
        <w:trPr>
          <w:trHeight w:hRule="exact" w:val="329"/>
          <w:jc w:val="center"/>
        </w:trPr>
        <w:tc>
          <w:tcPr>
            <w:tcW w:w="3550" w:type="dxa"/>
            <w:tcMar>
              <w:top w:w="0" w:type="dxa"/>
              <w:left w:w="108" w:type="dxa"/>
              <w:bottom w:w="0" w:type="dxa"/>
              <w:right w:w="108" w:type="dxa"/>
            </w:tcMar>
            <w:vAlign w:val="center"/>
            <w:hideMark/>
          </w:tcPr>
          <w:p w14:paraId="57A5A738" w14:textId="1A5F5DEE" w:rsidR="0018604C" w:rsidRPr="00D06E2E" w:rsidRDefault="00B540A0" w:rsidP="00556F2C">
            <w:pPr>
              <w:spacing w:after="0"/>
              <w:rPr>
                <w:lang w:val="sr-Latn-RS"/>
              </w:rPr>
            </w:pPr>
            <w:r w:rsidRPr="00D06E2E">
              <w:rPr>
                <w:lang w:val="sr-Latn-RS"/>
              </w:rPr>
              <w:t>Number of completed cases</w:t>
            </w:r>
          </w:p>
        </w:tc>
        <w:tc>
          <w:tcPr>
            <w:tcW w:w="1701" w:type="dxa"/>
            <w:noWrap/>
            <w:tcMar>
              <w:top w:w="0" w:type="dxa"/>
              <w:left w:w="108" w:type="dxa"/>
              <w:bottom w:w="0" w:type="dxa"/>
              <w:right w:w="108" w:type="dxa"/>
            </w:tcMar>
            <w:vAlign w:val="center"/>
            <w:hideMark/>
          </w:tcPr>
          <w:p w14:paraId="090D061C" w14:textId="39C9E486" w:rsidR="0018604C" w:rsidRPr="00D06E2E" w:rsidRDefault="00B540A0" w:rsidP="00556F2C">
            <w:pPr>
              <w:spacing w:after="0"/>
              <w:jc w:val="center"/>
              <w:rPr>
                <w:lang w:val="sr-Latn-RS"/>
              </w:rPr>
            </w:pPr>
            <w:r w:rsidRPr="00D06E2E">
              <w:rPr>
                <w:lang w:val="sr-Latn-RS"/>
              </w:rPr>
              <w:t>3,</w:t>
            </w:r>
            <w:r w:rsidR="0018604C" w:rsidRPr="00D06E2E">
              <w:rPr>
                <w:lang w:val="sr-Latn-RS"/>
              </w:rPr>
              <w:t>935</w:t>
            </w:r>
          </w:p>
        </w:tc>
        <w:tc>
          <w:tcPr>
            <w:tcW w:w="1701" w:type="dxa"/>
            <w:hideMark/>
          </w:tcPr>
          <w:p w14:paraId="53B00FD3" w14:textId="77777777" w:rsidR="0018604C" w:rsidRPr="00D06E2E" w:rsidRDefault="0018604C" w:rsidP="00556F2C">
            <w:pPr>
              <w:spacing w:after="0"/>
              <w:jc w:val="center"/>
              <w:rPr>
                <w:lang w:val="sr-Latn-RS"/>
              </w:rPr>
            </w:pPr>
            <w:r w:rsidRPr="00D06E2E">
              <w:rPr>
                <w:lang w:val="sr-Latn-RS"/>
              </w:rPr>
              <w:t>806</w:t>
            </w:r>
          </w:p>
        </w:tc>
        <w:tc>
          <w:tcPr>
            <w:tcW w:w="1827" w:type="dxa"/>
            <w:hideMark/>
          </w:tcPr>
          <w:p w14:paraId="245BFF93" w14:textId="255CEF18" w:rsidR="0018604C" w:rsidRPr="00D06E2E" w:rsidRDefault="0018604C" w:rsidP="00C21001">
            <w:pPr>
              <w:spacing w:after="0"/>
              <w:jc w:val="center"/>
              <w:rPr>
                <w:lang w:val="sr-Latn-RS"/>
              </w:rPr>
            </w:pPr>
            <w:r w:rsidRPr="00D06E2E">
              <w:rPr>
                <w:lang w:val="sr-Latn-RS"/>
              </w:rPr>
              <w:t>4</w:t>
            </w:r>
            <w:r w:rsidR="00216EDE" w:rsidRPr="00D06E2E">
              <w:rPr>
                <w:lang w:val="sr-Latn-RS"/>
              </w:rPr>
              <w:t>,</w:t>
            </w:r>
            <w:r w:rsidRPr="00D06E2E">
              <w:rPr>
                <w:lang w:val="sr-Latn-RS"/>
              </w:rPr>
              <w:t>741 (84</w:t>
            </w:r>
            <w:r w:rsidR="00216EDE" w:rsidRPr="00D06E2E">
              <w:rPr>
                <w:lang w:val="sr-Latn-RS"/>
              </w:rPr>
              <w:t>.</w:t>
            </w:r>
            <w:r w:rsidRPr="00D06E2E">
              <w:rPr>
                <w:lang w:val="sr-Latn-RS"/>
              </w:rPr>
              <w:t>77%)</w:t>
            </w:r>
          </w:p>
        </w:tc>
      </w:tr>
      <w:tr w:rsidR="0018604C" w:rsidRPr="00D06E2E" w14:paraId="059EE127" w14:textId="77777777" w:rsidTr="006576C8">
        <w:trPr>
          <w:trHeight w:hRule="exact" w:val="329"/>
          <w:jc w:val="center"/>
        </w:trPr>
        <w:tc>
          <w:tcPr>
            <w:tcW w:w="3550" w:type="dxa"/>
            <w:tcMar>
              <w:top w:w="0" w:type="dxa"/>
              <w:left w:w="108" w:type="dxa"/>
              <w:bottom w:w="0" w:type="dxa"/>
              <w:right w:w="108" w:type="dxa"/>
            </w:tcMar>
            <w:vAlign w:val="center"/>
            <w:hideMark/>
          </w:tcPr>
          <w:p w14:paraId="59955380" w14:textId="71E2D57F" w:rsidR="0018604C" w:rsidRPr="00D06E2E" w:rsidRDefault="00B540A0" w:rsidP="00556F2C">
            <w:pPr>
              <w:spacing w:after="0"/>
              <w:rPr>
                <w:lang w:val="sr-Latn-RS"/>
              </w:rPr>
            </w:pPr>
            <w:r w:rsidRPr="00D06E2E">
              <w:rPr>
                <w:lang w:val="sr-Latn-RS"/>
              </w:rPr>
              <w:t>Number of cases in progress</w:t>
            </w:r>
          </w:p>
        </w:tc>
        <w:tc>
          <w:tcPr>
            <w:tcW w:w="1701" w:type="dxa"/>
            <w:noWrap/>
            <w:tcMar>
              <w:top w:w="0" w:type="dxa"/>
              <w:left w:w="108" w:type="dxa"/>
              <w:bottom w:w="0" w:type="dxa"/>
              <w:right w:w="108" w:type="dxa"/>
            </w:tcMar>
            <w:vAlign w:val="center"/>
            <w:hideMark/>
          </w:tcPr>
          <w:p w14:paraId="50B13B7A" w14:textId="77777777" w:rsidR="0018604C" w:rsidRPr="00D06E2E" w:rsidRDefault="0018604C" w:rsidP="00556F2C">
            <w:pPr>
              <w:spacing w:after="0"/>
              <w:jc w:val="center"/>
              <w:rPr>
                <w:lang w:val="sr-Latn-RS"/>
              </w:rPr>
            </w:pPr>
            <w:r w:rsidRPr="00D06E2E">
              <w:rPr>
                <w:lang w:val="sr-Latn-RS"/>
              </w:rPr>
              <w:t>490</w:t>
            </w:r>
          </w:p>
        </w:tc>
        <w:tc>
          <w:tcPr>
            <w:tcW w:w="1701" w:type="dxa"/>
            <w:hideMark/>
          </w:tcPr>
          <w:p w14:paraId="3A439954" w14:textId="77777777" w:rsidR="0018604C" w:rsidRPr="00D06E2E" w:rsidRDefault="0018604C" w:rsidP="00556F2C">
            <w:pPr>
              <w:spacing w:after="0"/>
              <w:jc w:val="center"/>
              <w:rPr>
                <w:lang w:val="sr-Latn-RS"/>
              </w:rPr>
            </w:pPr>
            <w:r w:rsidRPr="00D06E2E">
              <w:rPr>
                <w:lang w:val="sr-Latn-RS"/>
              </w:rPr>
              <w:t>362</w:t>
            </w:r>
          </w:p>
        </w:tc>
        <w:tc>
          <w:tcPr>
            <w:tcW w:w="1827" w:type="dxa"/>
            <w:hideMark/>
          </w:tcPr>
          <w:p w14:paraId="4E5DF578" w14:textId="77777777" w:rsidR="0018604C" w:rsidRPr="00D06E2E" w:rsidRDefault="0018604C" w:rsidP="00556F2C">
            <w:pPr>
              <w:spacing w:after="0"/>
              <w:jc w:val="center"/>
              <w:rPr>
                <w:lang w:val="sr-Latn-RS"/>
              </w:rPr>
            </w:pPr>
            <w:r w:rsidRPr="00D06E2E">
              <w:rPr>
                <w:lang w:val="sr-Latn-RS"/>
              </w:rPr>
              <w:t>852</w:t>
            </w:r>
          </w:p>
        </w:tc>
      </w:tr>
    </w:tbl>
    <w:p w14:paraId="3B303F81" w14:textId="4C05C815" w:rsidR="00066F29" w:rsidRPr="00D06E2E" w:rsidRDefault="00C16F78" w:rsidP="00066F29">
      <w:pPr>
        <w:keepNext/>
        <w:spacing w:after="0"/>
        <w:jc w:val="center"/>
        <w:rPr>
          <w:rFonts w:cs="Times New Roman"/>
          <w:b/>
          <w:iCs/>
          <w:szCs w:val="18"/>
          <w:lang w:val="sr-Latn-RS"/>
        </w:rPr>
      </w:pPr>
      <w:r w:rsidRPr="00D06E2E">
        <w:rPr>
          <w:rFonts w:cs="Times New Roman"/>
          <w:b/>
          <w:iCs/>
          <w:szCs w:val="18"/>
          <w:lang w:val="sr-Latn-RS"/>
        </w:rPr>
        <w:lastRenderedPageBreak/>
        <w:t>Table</w:t>
      </w:r>
      <w:r w:rsidR="0018604C" w:rsidRPr="00D06E2E">
        <w:rPr>
          <w:rFonts w:cs="Times New Roman"/>
          <w:b/>
          <w:iCs/>
          <w:szCs w:val="18"/>
          <w:lang w:val="sr-Latn-RS"/>
        </w:rPr>
        <w:t xml:space="preserve"> 5 - </w:t>
      </w:r>
      <w:r w:rsidRPr="00D06E2E">
        <w:rPr>
          <w:rFonts w:cs="Times New Roman"/>
          <w:b/>
          <w:iCs/>
          <w:szCs w:val="18"/>
          <w:lang w:val="sr-Latn-RS"/>
        </w:rPr>
        <w:t>Cases</w:t>
      </w:r>
      <w:r w:rsidR="0018604C" w:rsidRPr="00D06E2E">
        <w:rPr>
          <w:rFonts w:cs="Times New Roman"/>
          <w:b/>
          <w:iCs/>
          <w:szCs w:val="18"/>
          <w:vertAlign w:val="superscript"/>
          <w:lang w:val="sr-Latn-RS"/>
        </w:rPr>
        <w:footnoteReference w:id="43"/>
      </w:r>
      <w:r w:rsidR="0018604C" w:rsidRPr="00D06E2E">
        <w:rPr>
          <w:rFonts w:cs="Times New Roman"/>
          <w:b/>
          <w:iCs/>
          <w:szCs w:val="18"/>
          <w:lang w:val="sr-Latn-RS"/>
        </w:rPr>
        <w:t xml:space="preserve"> </w:t>
      </w:r>
      <w:r w:rsidR="00066F29" w:rsidRPr="00D06E2E">
        <w:rPr>
          <w:rFonts w:cs="Times New Roman"/>
          <w:b/>
          <w:iCs/>
          <w:szCs w:val="18"/>
          <w:lang w:val="sr-Latn-RS"/>
        </w:rPr>
        <w:t xml:space="preserve">from 2023 classified by areas of operation and departments </w:t>
      </w:r>
    </w:p>
    <w:p w14:paraId="45010364" w14:textId="5D17F248" w:rsidR="0018604C" w:rsidRPr="00D06E2E" w:rsidRDefault="0018604C" w:rsidP="0018604C">
      <w:pPr>
        <w:keepNext/>
        <w:jc w:val="center"/>
        <w:rPr>
          <w:rFonts w:cs="Times New Roman"/>
          <w:b/>
          <w:iCs/>
          <w:szCs w:val="18"/>
          <w:lang w:val="sr-Latn-RS"/>
        </w:rPr>
      </w:pPr>
    </w:p>
    <w:tbl>
      <w:tblPr>
        <w:tblW w:w="8655"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0A0" w:firstRow="1" w:lastRow="0" w:firstColumn="1" w:lastColumn="0" w:noHBand="0" w:noVBand="0"/>
      </w:tblPr>
      <w:tblGrid>
        <w:gridCol w:w="6225"/>
        <w:gridCol w:w="1011"/>
        <w:gridCol w:w="1440"/>
      </w:tblGrid>
      <w:tr w:rsidR="0018604C" w:rsidRPr="00D06E2E" w14:paraId="62D27F2C" w14:textId="77777777" w:rsidTr="006576C8">
        <w:trPr>
          <w:trHeight w:hRule="exact" w:val="329"/>
          <w:jc w:val="center"/>
        </w:trPr>
        <w:tc>
          <w:tcPr>
            <w:tcW w:w="6225" w:type="dxa"/>
            <w:noWrap/>
            <w:hideMark/>
          </w:tcPr>
          <w:p w14:paraId="52EBF0C3" w14:textId="28124B7D" w:rsidR="0018604C" w:rsidRPr="00D06E2E" w:rsidRDefault="00066F29" w:rsidP="00066F29">
            <w:pPr>
              <w:spacing w:after="0"/>
              <w:rPr>
                <w:rFonts w:cs="Times New Roman"/>
                <w:b/>
                <w:lang w:val="sr-Latn-RS"/>
              </w:rPr>
            </w:pPr>
            <w:r w:rsidRPr="00D06E2E">
              <w:rPr>
                <w:rFonts w:cs="Times New Roman"/>
                <w:b/>
                <w:lang w:val="sr-Latn-RS"/>
              </w:rPr>
              <w:t>Areas of operation and departments of the Protector</w:t>
            </w:r>
            <w:r w:rsidR="0018604C" w:rsidRPr="00D06E2E">
              <w:rPr>
                <w:rFonts w:cs="Times New Roman"/>
                <w:b/>
                <w:lang w:val="sr-Latn-RS"/>
              </w:rPr>
              <w:t xml:space="preserve"> Заштитника грађана</w:t>
            </w:r>
          </w:p>
        </w:tc>
        <w:tc>
          <w:tcPr>
            <w:tcW w:w="990" w:type="dxa"/>
            <w:noWrap/>
            <w:vAlign w:val="center"/>
            <w:hideMark/>
          </w:tcPr>
          <w:p w14:paraId="40805616" w14:textId="7BDEFC98" w:rsidR="0018604C" w:rsidRPr="00D06E2E" w:rsidRDefault="00066F29" w:rsidP="00556F2C">
            <w:pPr>
              <w:spacing w:after="0"/>
              <w:jc w:val="center"/>
              <w:rPr>
                <w:rFonts w:cs="Times New Roman"/>
                <w:b/>
                <w:lang w:val="sr-Latn-RS"/>
              </w:rPr>
            </w:pPr>
            <w:r w:rsidRPr="00D06E2E">
              <w:rPr>
                <w:rFonts w:cs="Times New Roman"/>
                <w:b/>
                <w:lang w:val="sr-Latn-RS"/>
              </w:rPr>
              <w:t>number</w:t>
            </w:r>
          </w:p>
        </w:tc>
        <w:tc>
          <w:tcPr>
            <w:tcW w:w="1440" w:type="dxa"/>
            <w:noWrap/>
            <w:vAlign w:val="center"/>
            <w:hideMark/>
          </w:tcPr>
          <w:p w14:paraId="16735D64" w14:textId="53FC2F1A" w:rsidR="0018604C" w:rsidRPr="00D06E2E" w:rsidRDefault="00066F29" w:rsidP="00556F2C">
            <w:pPr>
              <w:spacing w:after="0"/>
              <w:jc w:val="center"/>
              <w:rPr>
                <w:rFonts w:cs="Times New Roman"/>
                <w:b/>
                <w:lang w:val="sr-Latn-RS"/>
              </w:rPr>
            </w:pPr>
            <w:r w:rsidRPr="00D06E2E">
              <w:rPr>
                <w:rFonts w:cs="Times New Roman"/>
                <w:b/>
                <w:lang w:val="sr-Latn-RS"/>
              </w:rPr>
              <w:t>percentage</w:t>
            </w:r>
          </w:p>
        </w:tc>
      </w:tr>
      <w:tr w:rsidR="0018604C" w:rsidRPr="00D06E2E" w14:paraId="00EB533F" w14:textId="77777777" w:rsidTr="006576C8">
        <w:trPr>
          <w:trHeight w:hRule="exact" w:val="329"/>
          <w:jc w:val="center"/>
        </w:trPr>
        <w:tc>
          <w:tcPr>
            <w:tcW w:w="6225" w:type="dxa"/>
            <w:noWrap/>
            <w:hideMark/>
          </w:tcPr>
          <w:p w14:paraId="40659D84" w14:textId="0A830E66" w:rsidR="0018604C" w:rsidRPr="00D06E2E" w:rsidRDefault="00066F29" w:rsidP="008F61B3">
            <w:pPr>
              <w:pStyle w:val="ListParagraph"/>
              <w:numPr>
                <w:ilvl w:val="0"/>
                <w:numId w:val="17"/>
              </w:numPr>
              <w:spacing w:after="0" w:line="256" w:lineRule="auto"/>
              <w:ind w:left="284" w:hanging="284"/>
              <w:contextualSpacing/>
              <w:rPr>
                <w:b/>
                <w:lang w:val="sr-Latn-RS"/>
              </w:rPr>
            </w:pPr>
            <w:r w:rsidRPr="00D06E2E">
              <w:rPr>
                <w:b/>
                <w:lang w:val="sr-Latn-RS"/>
              </w:rPr>
              <w:t>Area of economic and property rights</w:t>
            </w:r>
          </w:p>
        </w:tc>
        <w:tc>
          <w:tcPr>
            <w:tcW w:w="990" w:type="dxa"/>
            <w:noWrap/>
          </w:tcPr>
          <w:p w14:paraId="1558A553" w14:textId="6CCC7CB1" w:rsidR="0018604C" w:rsidRPr="00D06E2E" w:rsidRDefault="00216EDE" w:rsidP="00556F2C">
            <w:pPr>
              <w:spacing w:after="0"/>
              <w:jc w:val="center"/>
              <w:rPr>
                <w:rFonts w:cs="Times New Roman"/>
                <w:b/>
                <w:color w:val="000000" w:themeColor="text1"/>
                <w:lang w:val="sr-Latn-RS"/>
              </w:rPr>
            </w:pPr>
            <w:r w:rsidRPr="00D06E2E">
              <w:rPr>
                <w:rFonts w:cs="Times New Roman"/>
                <w:b/>
                <w:color w:val="000000" w:themeColor="text1"/>
                <w:lang w:val="sr-Latn-RS"/>
              </w:rPr>
              <w:t>1,</w:t>
            </w:r>
            <w:r w:rsidR="0018604C" w:rsidRPr="00D06E2E">
              <w:rPr>
                <w:rFonts w:cs="Times New Roman"/>
                <w:b/>
                <w:color w:val="000000" w:themeColor="text1"/>
                <w:lang w:val="sr-Latn-RS"/>
              </w:rPr>
              <w:t>732</w:t>
            </w:r>
          </w:p>
        </w:tc>
        <w:tc>
          <w:tcPr>
            <w:tcW w:w="1440" w:type="dxa"/>
            <w:noWrap/>
          </w:tcPr>
          <w:p w14:paraId="04CB28DD" w14:textId="3D6CC7AF" w:rsidR="0018604C" w:rsidRPr="00D06E2E" w:rsidRDefault="00216EDE" w:rsidP="00556F2C">
            <w:pPr>
              <w:spacing w:after="0"/>
              <w:jc w:val="center"/>
              <w:rPr>
                <w:rFonts w:cs="Times New Roman"/>
                <w:b/>
                <w:bCs/>
                <w:lang w:val="sr-Latn-RS"/>
              </w:rPr>
            </w:pPr>
            <w:r w:rsidRPr="00D06E2E">
              <w:rPr>
                <w:rFonts w:cs="Times New Roman"/>
                <w:b/>
                <w:bCs/>
                <w:lang w:val="sr-Latn-RS"/>
              </w:rPr>
              <w:t>39.</w:t>
            </w:r>
            <w:r w:rsidR="0018604C" w:rsidRPr="00D06E2E">
              <w:rPr>
                <w:rFonts w:cs="Times New Roman"/>
                <w:b/>
                <w:bCs/>
                <w:lang w:val="sr-Latn-RS"/>
              </w:rPr>
              <w:t>14%</w:t>
            </w:r>
          </w:p>
        </w:tc>
      </w:tr>
      <w:tr w:rsidR="0018604C" w:rsidRPr="00D06E2E" w14:paraId="3484A702" w14:textId="77777777" w:rsidTr="006576C8">
        <w:trPr>
          <w:trHeight w:hRule="exact" w:val="329"/>
          <w:jc w:val="center"/>
        </w:trPr>
        <w:tc>
          <w:tcPr>
            <w:tcW w:w="6225" w:type="dxa"/>
            <w:noWrap/>
          </w:tcPr>
          <w:p w14:paraId="5EE54AC3" w14:textId="159DB69E" w:rsidR="0018604C" w:rsidRPr="00D06E2E" w:rsidRDefault="00066F29" w:rsidP="008F61B3">
            <w:pPr>
              <w:pStyle w:val="ListParagraph"/>
              <w:numPr>
                <w:ilvl w:val="1"/>
                <w:numId w:val="17"/>
              </w:numPr>
              <w:tabs>
                <w:tab w:val="left" w:pos="3750"/>
              </w:tabs>
              <w:spacing w:after="0" w:line="256" w:lineRule="auto"/>
              <w:ind w:left="447" w:hanging="425"/>
              <w:contextualSpacing/>
              <w:rPr>
                <w:lang w:val="sr-Latn-RS"/>
              </w:rPr>
            </w:pPr>
            <w:r w:rsidRPr="00D06E2E">
              <w:rPr>
                <w:lang w:val="sr-Latn-RS"/>
              </w:rPr>
              <w:t>Real estate cadaster</w:t>
            </w:r>
          </w:p>
        </w:tc>
        <w:tc>
          <w:tcPr>
            <w:tcW w:w="990" w:type="dxa"/>
            <w:noWrap/>
          </w:tcPr>
          <w:p w14:paraId="1D72017F"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543</w:t>
            </w:r>
          </w:p>
        </w:tc>
        <w:tc>
          <w:tcPr>
            <w:tcW w:w="1440" w:type="dxa"/>
            <w:noWrap/>
          </w:tcPr>
          <w:p w14:paraId="39B01E3C" w14:textId="50CD8104" w:rsidR="0018604C" w:rsidRPr="00D06E2E" w:rsidRDefault="0018604C" w:rsidP="00FC476F">
            <w:pPr>
              <w:spacing w:after="0"/>
              <w:jc w:val="center"/>
              <w:rPr>
                <w:rFonts w:cs="Times New Roman"/>
                <w:bCs/>
                <w:lang w:val="sr-Latn-RS"/>
              </w:rPr>
            </w:pPr>
            <w:r w:rsidRPr="00D06E2E">
              <w:rPr>
                <w:rFonts w:cs="Times New Roman"/>
                <w:bCs/>
                <w:lang w:val="sr-Latn-RS"/>
              </w:rPr>
              <w:t>31</w:t>
            </w:r>
            <w:r w:rsidR="00216EDE" w:rsidRPr="00D06E2E">
              <w:rPr>
                <w:rFonts w:cs="Times New Roman"/>
                <w:bCs/>
                <w:lang w:val="sr-Latn-RS"/>
              </w:rPr>
              <w:t>.</w:t>
            </w:r>
            <w:r w:rsidRPr="00D06E2E">
              <w:rPr>
                <w:rFonts w:cs="Times New Roman"/>
                <w:bCs/>
                <w:lang w:val="sr-Latn-RS"/>
              </w:rPr>
              <w:t>35%</w:t>
            </w:r>
          </w:p>
        </w:tc>
      </w:tr>
      <w:tr w:rsidR="0018604C" w:rsidRPr="00D06E2E" w14:paraId="6521A455" w14:textId="77777777" w:rsidTr="006576C8">
        <w:trPr>
          <w:trHeight w:hRule="exact" w:val="329"/>
          <w:jc w:val="center"/>
        </w:trPr>
        <w:tc>
          <w:tcPr>
            <w:tcW w:w="6225" w:type="dxa"/>
            <w:noWrap/>
            <w:hideMark/>
          </w:tcPr>
          <w:p w14:paraId="6007CEF1" w14:textId="2F523253" w:rsidR="0018604C" w:rsidRPr="00D06E2E" w:rsidRDefault="00066F29" w:rsidP="008F61B3">
            <w:pPr>
              <w:pStyle w:val="ListParagraph"/>
              <w:numPr>
                <w:ilvl w:val="1"/>
                <w:numId w:val="17"/>
              </w:numPr>
              <w:tabs>
                <w:tab w:val="left" w:pos="3750"/>
              </w:tabs>
              <w:spacing w:after="0" w:line="256" w:lineRule="auto"/>
              <w:ind w:left="447" w:hanging="425"/>
              <w:contextualSpacing/>
              <w:rPr>
                <w:lang w:val="sr-Latn-RS"/>
              </w:rPr>
            </w:pPr>
            <w:r w:rsidRPr="00D06E2E">
              <w:rPr>
                <w:lang w:val="sr-Latn-RS"/>
              </w:rPr>
              <w:t>Local self-government</w:t>
            </w:r>
            <w:r w:rsidR="0018604C" w:rsidRPr="00D06E2E">
              <w:rPr>
                <w:lang w:val="sr-Latn-RS"/>
              </w:rPr>
              <w:t xml:space="preserve">  </w:t>
            </w:r>
          </w:p>
        </w:tc>
        <w:tc>
          <w:tcPr>
            <w:tcW w:w="990" w:type="dxa"/>
            <w:noWrap/>
          </w:tcPr>
          <w:p w14:paraId="269ADDE0"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522</w:t>
            </w:r>
          </w:p>
        </w:tc>
        <w:tc>
          <w:tcPr>
            <w:tcW w:w="1440" w:type="dxa"/>
            <w:noWrap/>
          </w:tcPr>
          <w:p w14:paraId="1E3EAA8D" w14:textId="27CB0190" w:rsidR="0018604C" w:rsidRPr="00D06E2E" w:rsidRDefault="00216EDE" w:rsidP="00556F2C">
            <w:pPr>
              <w:spacing w:after="0"/>
              <w:jc w:val="center"/>
              <w:rPr>
                <w:rFonts w:cs="Times New Roman"/>
                <w:bCs/>
                <w:lang w:val="sr-Latn-RS"/>
              </w:rPr>
            </w:pPr>
            <w:r w:rsidRPr="00D06E2E">
              <w:rPr>
                <w:rFonts w:cs="Times New Roman"/>
                <w:bCs/>
                <w:lang w:val="sr-Latn-RS"/>
              </w:rPr>
              <w:t>30.</w:t>
            </w:r>
            <w:r w:rsidR="0018604C" w:rsidRPr="00D06E2E">
              <w:rPr>
                <w:rFonts w:cs="Times New Roman"/>
                <w:bCs/>
                <w:lang w:val="sr-Latn-RS"/>
              </w:rPr>
              <w:t>14%</w:t>
            </w:r>
          </w:p>
        </w:tc>
      </w:tr>
      <w:tr w:rsidR="0018604C" w:rsidRPr="00D06E2E" w14:paraId="629B78FD" w14:textId="77777777" w:rsidTr="006576C8">
        <w:trPr>
          <w:trHeight w:hRule="exact" w:val="329"/>
          <w:jc w:val="center"/>
        </w:trPr>
        <w:tc>
          <w:tcPr>
            <w:tcW w:w="6225" w:type="dxa"/>
            <w:noWrap/>
            <w:hideMark/>
          </w:tcPr>
          <w:p w14:paraId="56AA4B29" w14:textId="04225E09" w:rsidR="0018604C" w:rsidRPr="00D06E2E" w:rsidRDefault="00066F29" w:rsidP="008F61B3">
            <w:pPr>
              <w:pStyle w:val="ListParagraph"/>
              <w:numPr>
                <w:ilvl w:val="1"/>
                <w:numId w:val="17"/>
              </w:numPr>
              <w:tabs>
                <w:tab w:val="left" w:pos="3750"/>
              </w:tabs>
              <w:spacing w:after="0" w:line="256" w:lineRule="auto"/>
              <w:ind w:left="447" w:hanging="425"/>
              <w:contextualSpacing/>
              <w:rPr>
                <w:lang w:val="sr-Latn-RS"/>
              </w:rPr>
            </w:pPr>
            <w:r w:rsidRPr="00D06E2E">
              <w:rPr>
                <w:lang w:val="sr-Latn-RS"/>
              </w:rPr>
              <w:t>Consumer protection</w:t>
            </w:r>
          </w:p>
        </w:tc>
        <w:tc>
          <w:tcPr>
            <w:tcW w:w="990" w:type="dxa"/>
            <w:noWrap/>
          </w:tcPr>
          <w:p w14:paraId="5E124E84"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198</w:t>
            </w:r>
          </w:p>
        </w:tc>
        <w:tc>
          <w:tcPr>
            <w:tcW w:w="1440" w:type="dxa"/>
            <w:noWrap/>
          </w:tcPr>
          <w:p w14:paraId="7F5B09FF" w14:textId="705FDFBE" w:rsidR="0018604C" w:rsidRPr="00D06E2E" w:rsidRDefault="00216EDE" w:rsidP="00556F2C">
            <w:pPr>
              <w:spacing w:after="0"/>
              <w:jc w:val="center"/>
              <w:rPr>
                <w:rFonts w:cs="Times New Roman"/>
                <w:bCs/>
                <w:lang w:val="sr-Latn-RS"/>
              </w:rPr>
            </w:pPr>
            <w:r w:rsidRPr="00D06E2E">
              <w:rPr>
                <w:rFonts w:cs="Times New Roman"/>
                <w:bCs/>
                <w:lang w:val="sr-Latn-RS"/>
              </w:rPr>
              <w:t>11.</w:t>
            </w:r>
            <w:r w:rsidR="0018604C" w:rsidRPr="00D06E2E">
              <w:rPr>
                <w:rFonts w:cs="Times New Roman"/>
                <w:bCs/>
                <w:lang w:val="sr-Latn-RS"/>
              </w:rPr>
              <w:t>43%</w:t>
            </w:r>
          </w:p>
        </w:tc>
      </w:tr>
      <w:tr w:rsidR="0018604C" w:rsidRPr="00D06E2E" w14:paraId="45E44DDF" w14:textId="77777777" w:rsidTr="006576C8">
        <w:trPr>
          <w:trHeight w:hRule="exact" w:val="329"/>
          <w:jc w:val="center"/>
        </w:trPr>
        <w:tc>
          <w:tcPr>
            <w:tcW w:w="6225" w:type="dxa"/>
            <w:noWrap/>
            <w:hideMark/>
          </w:tcPr>
          <w:p w14:paraId="017D7DC5" w14:textId="45DC18F9" w:rsidR="0018604C" w:rsidRPr="00D06E2E" w:rsidRDefault="00066F29" w:rsidP="008F61B3">
            <w:pPr>
              <w:pStyle w:val="ListParagraph"/>
              <w:numPr>
                <w:ilvl w:val="1"/>
                <w:numId w:val="17"/>
              </w:numPr>
              <w:tabs>
                <w:tab w:val="left" w:pos="3750"/>
              </w:tabs>
              <w:spacing w:after="0" w:line="256" w:lineRule="auto"/>
              <w:ind w:left="447" w:hanging="425"/>
              <w:contextualSpacing/>
              <w:rPr>
                <w:lang w:val="sr-Latn-RS"/>
              </w:rPr>
            </w:pPr>
            <w:r w:rsidRPr="00D06E2E">
              <w:rPr>
                <w:lang w:val="sr-Latn-RS"/>
              </w:rPr>
              <w:t>Energy and mining</w:t>
            </w:r>
            <w:r w:rsidR="0018604C" w:rsidRPr="00D06E2E">
              <w:rPr>
                <w:lang w:val="sr-Latn-RS"/>
              </w:rPr>
              <w:tab/>
            </w:r>
          </w:p>
        </w:tc>
        <w:tc>
          <w:tcPr>
            <w:tcW w:w="990" w:type="dxa"/>
            <w:noWrap/>
          </w:tcPr>
          <w:p w14:paraId="464EABB5" w14:textId="77777777" w:rsidR="0018604C" w:rsidRPr="00D06E2E" w:rsidRDefault="0018604C" w:rsidP="00556F2C">
            <w:pPr>
              <w:spacing w:after="0"/>
              <w:jc w:val="center"/>
              <w:rPr>
                <w:color w:val="000000"/>
                <w:lang w:val="sr-Latn-RS"/>
              </w:rPr>
            </w:pPr>
            <w:r w:rsidRPr="00D06E2E">
              <w:rPr>
                <w:color w:val="000000"/>
                <w:lang w:val="sr-Latn-RS"/>
              </w:rPr>
              <w:t>142</w:t>
            </w:r>
          </w:p>
        </w:tc>
        <w:tc>
          <w:tcPr>
            <w:tcW w:w="1440" w:type="dxa"/>
            <w:noWrap/>
          </w:tcPr>
          <w:p w14:paraId="531E20FC" w14:textId="3AD5010C" w:rsidR="0018604C" w:rsidRPr="00D06E2E" w:rsidRDefault="00216EDE" w:rsidP="00556F2C">
            <w:pPr>
              <w:spacing w:after="0"/>
              <w:jc w:val="center"/>
              <w:rPr>
                <w:rFonts w:cs="Times New Roman"/>
                <w:bCs/>
                <w:lang w:val="sr-Latn-RS"/>
              </w:rPr>
            </w:pPr>
            <w:r w:rsidRPr="00D06E2E">
              <w:rPr>
                <w:rFonts w:cs="Times New Roman"/>
                <w:bCs/>
                <w:lang w:val="sr-Latn-RS"/>
              </w:rPr>
              <w:t>8.</w:t>
            </w:r>
            <w:r w:rsidR="0018604C" w:rsidRPr="00D06E2E">
              <w:rPr>
                <w:rFonts w:cs="Times New Roman"/>
                <w:bCs/>
                <w:lang w:val="sr-Latn-RS"/>
              </w:rPr>
              <w:t>20%</w:t>
            </w:r>
          </w:p>
        </w:tc>
      </w:tr>
      <w:tr w:rsidR="0018604C" w:rsidRPr="00D06E2E" w14:paraId="5C7656B3" w14:textId="77777777" w:rsidTr="006576C8">
        <w:trPr>
          <w:trHeight w:hRule="exact" w:val="329"/>
          <w:jc w:val="center"/>
        </w:trPr>
        <w:tc>
          <w:tcPr>
            <w:tcW w:w="6225" w:type="dxa"/>
            <w:noWrap/>
          </w:tcPr>
          <w:p w14:paraId="628C342F" w14:textId="342FA7DF" w:rsidR="0018604C" w:rsidRPr="00D06E2E" w:rsidRDefault="00066F29" w:rsidP="008F61B3">
            <w:pPr>
              <w:pStyle w:val="ListParagraph"/>
              <w:numPr>
                <w:ilvl w:val="1"/>
                <w:numId w:val="17"/>
              </w:numPr>
              <w:tabs>
                <w:tab w:val="left" w:pos="3750"/>
              </w:tabs>
              <w:spacing w:after="0" w:line="256" w:lineRule="auto"/>
              <w:ind w:left="447" w:hanging="425"/>
              <w:contextualSpacing/>
              <w:rPr>
                <w:lang w:val="sr-Latn-RS"/>
              </w:rPr>
            </w:pPr>
            <w:r w:rsidRPr="00D06E2E">
              <w:rPr>
                <w:lang w:val="sr-Latn-RS"/>
              </w:rPr>
              <w:t>Construction and infrastructure</w:t>
            </w:r>
            <w:r w:rsidR="0018604C" w:rsidRPr="00D06E2E">
              <w:rPr>
                <w:lang w:val="sr-Latn-RS"/>
              </w:rPr>
              <w:t xml:space="preserve">   </w:t>
            </w:r>
          </w:p>
        </w:tc>
        <w:tc>
          <w:tcPr>
            <w:tcW w:w="990" w:type="dxa"/>
            <w:noWrap/>
          </w:tcPr>
          <w:p w14:paraId="37BAD68D" w14:textId="77777777" w:rsidR="0018604C" w:rsidRPr="00D06E2E" w:rsidRDefault="0018604C" w:rsidP="00556F2C">
            <w:pPr>
              <w:spacing w:after="0"/>
              <w:jc w:val="center"/>
              <w:rPr>
                <w:color w:val="000000"/>
                <w:lang w:val="sr-Latn-RS"/>
              </w:rPr>
            </w:pPr>
            <w:r w:rsidRPr="00D06E2E">
              <w:rPr>
                <w:color w:val="000000"/>
                <w:lang w:val="sr-Latn-RS"/>
              </w:rPr>
              <w:t>128</w:t>
            </w:r>
          </w:p>
        </w:tc>
        <w:tc>
          <w:tcPr>
            <w:tcW w:w="1440" w:type="dxa"/>
            <w:noWrap/>
          </w:tcPr>
          <w:p w14:paraId="15C5B325" w14:textId="37129793" w:rsidR="0018604C" w:rsidRPr="00D06E2E" w:rsidRDefault="0018604C" w:rsidP="00FC476F">
            <w:pPr>
              <w:spacing w:after="0"/>
              <w:jc w:val="center"/>
              <w:rPr>
                <w:rFonts w:cs="Times New Roman"/>
                <w:bCs/>
                <w:lang w:val="sr-Latn-RS"/>
              </w:rPr>
            </w:pPr>
            <w:r w:rsidRPr="00D06E2E">
              <w:rPr>
                <w:rFonts w:cs="Times New Roman"/>
                <w:bCs/>
                <w:lang w:val="sr-Latn-RS"/>
              </w:rPr>
              <w:t>7</w:t>
            </w:r>
            <w:r w:rsidR="00216EDE" w:rsidRPr="00D06E2E">
              <w:rPr>
                <w:rFonts w:cs="Times New Roman"/>
                <w:bCs/>
                <w:lang w:val="sr-Latn-RS"/>
              </w:rPr>
              <w:t>.</w:t>
            </w:r>
            <w:r w:rsidR="00E445DC" w:rsidRPr="00D06E2E">
              <w:rPr>
                <w:rFonts w:cs="Times New Roman"/>
                <w:bCs/>
                <w:lang w:val="sr-Latn-RS"/>
              </w:rPr>
              <w:t>39</w:t>
            </w:r>
            <w:r w:rsidRPr="00D06E2E">
              <w:rPr>
                <w:rFonts w:cs="Times New Roman"/>
                <w:bCs/>
                <w:lang w:val="sr-Latn-RS"/>
              </w:rPr>
              <w:t>%</w:t>
            </w:r>
          </w:p>
        </w:tc>
      </w:tr>
      <w:tr w:rsidR="0018604C" w:rsidRPr="00D06E2E" w14:paraId="3AA16335" w14:textId="77777777" w:rsidTr="006576C8">
        <w:trPr>
          <w:trHeight w:hRule="exact" w:val="329"/>
          <w:jc w:val="center"/>
        </w:trPr>
        <w:tc>
          <w:tcPr>
            <w:tcW w:w="6225" w:type="dxa"/>
            <w:noWrap/>
          </w:tcPr>
          <w:p w14:paraId="42E8FD13" w14:textId="5AB188A8" w:rsidR="0018604C" w:rsidRPr="00D06E2E" w:rsidRDefault="00066F29" w:rsidP="008F61B3">
            <w:pPr>
              <w:pStyle w:val="ListParagraph"/>
              <w:numPr>
                <w:ilvl w:val="1"/>
                <w:numId w:val="17"/>
              </w:numPr>
              <w:tabs>
                <w:tab w:val="left" w:pos="3750"/>
              </w:tabs>
              <w:spacing w:after="0" w:line="256" w:lineRule="auto"/>
              <w:ind w:left="447" w:hanging="425"/>
              <w:contextualSpacing/>
              <w:rPr>
                <w:lang w:val="sr-Latn-RS"/>
              </w:rPr>
            </w:pPr>
            <w:r w:rsidRPr="00D06E2E">
              <w:rPr>
                <w:lang w:val="sr-Latn-RS"/>
              </w:rPr>
              <w:t>Restitution</w:t>
            </w:r>
            <w:r w:rsidR="0018604C" w:rsidRPr="00D06E2E">
              <w:rPr>
                <w:lang w:val="sr-Latn-RS"/>
              </w:rPr>
              <w:tab/>
            </w:r>
          </w:p>
        </w:tc>
        <w:tc>
          <w:tcPr>
            <w:tcW w:w="990" w:type="dxa"/>
            <w:noWrap/>
          </w:tcPr>
          <w:p w14:paraId="7F4198E4" w14:textId="77777777" w:rsidR="0018604C" w:rsidRPr="00D06E2E" w:rsidRDefault="0018604C" w:rsidP="00556F2C">
            <w:pPr>
              <w:spacing w:after="0"/>
              <w:jc w:val="center"/>
              <w:rPr>
                <w:color w:val="000000"/>
                <w:lang w:val="sr-Latn-RS"/>
              </w:rPr>
            </w:pPr>
            <w:r w:rsidRPr="00D06E2E">
              <w:rPr>
                <w:color w:val="000000"/>
                <w:lang w:val="sr-Latn-RS"/>
              </w:rPr>
              <w:t>50</w:t>
            </w:r>
          </w:p>
        </w:tc>
        <w:tc>
          <w:tcPr>
            <w:tcW w:w="1440" w:type="dxa"/>
            <w:noWrap/>
          </w:tcPr>
          <w:p w14:paraId="12935E9D" w14:textId="12E5A175" w:rsidR="0018604C" w:rsidRPr="00D06E2E" w:rsidRDefault="00216EDE" w:rsidP="00556F2C">
            <w:pPr>
              <w:spacing w:after="0"/>
              <w:jc w:val="center"/>
              <w:rPr>
                <w:rFonts w:cs="Times New Roman"/>
                <w:bCs/>
                <w:lang w:val="sr-Latn-RS"/>
              </w:rPr>
            </w:pPr>
            <w:r w:rsidRPr="00D06E2E">
              <w:rPr>
                <w:rFonts w:cs="Times New Roman"/>
                <w:bCs/>
                <w:lang w:val="sr-Latn-RS"/>
              </w:rPr>
              <w:t>2.</w:t>
            </w:r>
            <w:r w:rsidR="0018604C" w:rsidRPr="00D06E2E">
              <w:rPr>
                <w:rFonts w:cs="Times New Roman"/>
                <w:bCs/>
                <w:lang w:val="sr-Latn-RS"/>
              </w:rPr>
              <w:t>89%</w:t>
            </w:r>
          </w:p>
        </w:tc>
      </w:tr>
      <w:tr w:rsidR="0018604C" w:rsidRPr="00D06E2E" w14:paraId="746717EE" w14:textId="77777777" w:rsidTr="006576C8">
        <w:trPr>
          <w:trHeight w:hRule="exact" w:val="329"/>
          <w:jc w:val="center"/>
        </w:trPr>
        <w:tc>
          <w:tcPr>
            <w:tcW w:w="6225" w:type="dxa"/>
            <w:noWrap/>
            <w:hideMark/>
          </w:tcPr>
          <w:p w14:paraId="5C67CE9B" w14:textId="4322CFA1" w:rsidR="0018604C" w:rsidRPr="00D06E2E" w:rsidRDefault="00066F29" w:rsidP="008F61B3">
            <w:pPr>
              <w:pStyle w:val="ListParagraph"/>
              <w:numPr>
                <w:ilvl w:val="1"/>
                <w:numId w:val="17"/>
              </w:numPr>
              <w:tabs>
                <w:tab w:val="left" w:pos="3750"/>
              </w:tabs>
              <w:spacing w:after="0" w:line="256" w:lineRule="auto"/>
              <w:ind w:left="447" w:hanging="425"/>
              <w:contextualSpacing/>
              <w:rPr>
                <w:lang w:val="sr-Latn-RS"/>
              </w:rPr>
            </w:pPr>
            <w:r w:rsidRPr="00D06E2E">
              <w:rPr>
                <w:lang w:val="sr-Latn-RS"/>
              </w:rPr>
              <w:t>Environmental protection</w:t>
            </w:r>
          </w:p>
        </w:tc>
        <w:tc>
          <w:tcPr>
            <w:tcW w:w="990" w:type="dxa"/>
            <w:noWrap/>
          </w:tcPr>
          <w:p w14:paraId="156DEECC" w14:textId="77777777" w:rsidR="0018604C" w:rsidRPr="00D06E2E" w:rsidRDefault="0018604C" w:rsidP="00556F2C">
            <w:pPr>
              <w:spacing w:after="0"/>
              <w:jc w:val="center"/>
              <w:rPr>
                <w:color w:val="000000"/>
                <w:lang w:val="sr-Latn-RS"/>
              </w:rPr>
            </w:pPr>
            <w:r w:rsidRPr="00D06E2E">
              <w:rPr>
                <w:color w:val="000000"/>
                <w:lang w:val="sr-Latn-RS"/>
              </w:rPr>
              <w:t>41</w:t>
            </w:r>
          </w:p>
        </w:tc>
        <w:tc>
          <w:tcPr>
            <w:tcW w:w="1440" w:type="dxa"/>
            <w:noWrap/>
          </w:tcPr>
          <w:p w14:paraId="356EBD76" w14:textId="006C22D2" w:rsidR="0018604C" w:rsidRPr="00D06E2E" w:rsidRDefault="00216EDE" w:rsidP="00556F2C">
            <w:pPr>
              <w:spacing w:after="0"/>
              <w:jc w:val="center"/>
              <w:rPr>
                <w:rFonts w:cs="Times New Roman"/>
                <w:bCs/>
                <w:lang w:val="sr-Latn-RS"/>
              </w:rPr>
            </w:pPr>
            <w:r w:rsidRPr="00D06E2E">
              <w:rPr>
                <w:rFonts w:cs="Times New Roman"/>
                <w:bCs/>
                <w:lang w:val="sr-Latn-RS"/>
              </w:rPr>
              <w:t>2.</w:t>
            </w:r>
            <w:r w:rsidR="0018604C" w:rsidRPr="00D06E2E">
              <w:rPr>
                <w:rFonts w:cs="Times New Roman"/>
                <w:bCs/>
                <w:lang w:val="sr-Latn-RS"/>
              </w:rPr>
              <w:t>37%</w:t>
            </w:r>
          </w:p>
        </w:tc>
      </w:tr>
      <w:tr w:rsidR="0018604C" w:rsidRPr="00D06E2E" w14:paraId="2B1F2351" w14:textId="77777777" w:rsidTr="006576C8">
        <w:trPr>
          <w:trHeight w:hRule="exact" w:val="329"/>
          <w:jc w:val="center"/>
        </w:trPr>
        <w:tc>
          <w:tcPr>
            <w:tcW w:w="6225" w:type="dxa"/>
            <w:noWrap/>
          </w:tcPr>
          <w:p w14:paraId="320DEAEA" w14:textId="792649A9" w:rsidR="0018604C" w:rsidRPr="00D06E2E" w:rsidRDefault="00066F29" w:rsidP="008F61B3">
            <w:pPr>
              <w:pStyle w:val="ListParagraph"/>
              <w:numPr>
                <w:ilvl w:val="1"/>
                <w:numId w:val="17"/>
              </w:numPr>
              <w:tabs>
                <w:tab w:val="left" w:pos="3750"/>
              </w:tabs>
              <w:spacing w:after="0" w:line="256" w:lineRule="auto"/>
              <w:ind w:left="447" w:hanging="425"/>
              <w:contextualSpacing/>
              <w:rPr>
                <w:lang w:val="sr-Latn-RS"/>
              </w:rPr>
            </w:pPr>
            <w:r w:rsidRPr="00D06E2E">
              <w:rPr>
                <w:lang w:val="sr-Latn-RS"/>
              </w:rPr>
              <w:t>Agriculture</w:t>
            </w:r>
          </w:p>
        </w:tc>
        <w:tc>
          <w:tcPr>
            <w:tcW w:w="990" w:type="dxa"/>
            <w:noWrap/>
          </w:tcPr>
          <w:p w14:paraId="5AF9EABF"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36</w:t>
            </w:r>
          </w:p>
        </w:tc>
        <w:tc>
          <w:tcPr>
            <w:tcW w:w="1440" w:type="dxa"/>
            <w:noWrap/>
          </w:tcPr>
          <w:p w14:paraId="40AF9620" w14:textId="20949A2A" w:rsidR="0018604C" w:rsidRPr="00D06E2E" w:rsidRDefault="00216EDE" w:rsidP="00556F2C">
            <w:pPr>
              <w:spacing w:after="0"/>
              <w:jc w:val="center"/>
              <w:rPr>
                <w:rFonts w:cs="Times New Roman"/>
                <w:bCs/>
                <w:lang w:val="sr-Latn-RS"/>
              </w:rPr>
            </w:pPr>
            <w:r w:rsidRPr="00D06E2E">
              <w:rPr>
                <w:rFonts w:cs="Times New Roman"/>
                <w:bCs/>
                <w:lang w:val="sr-Latn-RS"/>
              </w:rPr>
              <w:t>2.</w:t>
            </w:r>
            <w:r w:rsidR="0018604C" w:rsidRPr="00D06E2E">
              <w:rPr>
                <w:rFonts w:cs="Times New Roman"/>
                <w:bCs/>
                <w:lang w:val="sr-Latn-RS"/>
              </w:rPr>
              <w:t>08%</w:t>
            </w:r>
          </w:p>
        </w:tc>
      </w:tr>
      <w:tr w:rsidR="0018604C" w:rsidRPr="00D06E2E" w14:paraId="2123751D" w14:textId="77777777" w:rsidTr="006576C8">
        <w:trPr>
          <w:trHeight w:hRule="exact" w:val="329"/>
          <w:jc w:val="center"/>
        </w:trPr>
        <w:tc>
          <w:tcPr>
            <w:tcW w:w="6225" w:type="dxa"/>
            <w:noWrap/>
          </w:tcPr>
          <w:p w14:paraId="649A9E29" w14:textId="362E6B9B" w:rsidR="0018604C" w:rsidRPr="00D06E2E" w:rsidRDefault="00066F29" w:rsidP="008F61B3">
            <w:pPr>
              <w:pStyle w:val="ListParagraph"/>
              <w:numPr>
                <w:ilvl w:val="1"/>
                <w:numId w:val="17"/>
              </w:numPr>
              <w:tabs>
                <w:tab w:val="left" w:pos="3750"/>
              </w:tabs>
              <w:spacing w:after="0" w:line="256" w:lineRule="auto"/>
              <w:ind w:left="447" w:hanging="425"/>
              <w:contextualSpacing/>
              <w:rPr>
                <w:lang w:val="sr-Latn-RS"/>
              </w:rPr>
            </w:pPr>
            <w:r w:rsidRPr="00D06E2E">
              <w:rPr>
                <w:lang w:val="sr-Latn-RS"/>
              </w:rPr>
              <w:t>Public administration</w:t>
            </w:r>
          </w:p>
        </w:tc>
        <w:tc>
          <w:tcPr>
            <w:tcW w:w="990" w:type="dxa"/>
            <w:noWrap/>
          </w:tcPr>
          <w:p w14:paraId="1AB26C87"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27</w:t>
            </w:r>
          </w:p>
        </w:tc>
        <w:tc>
          <w:tcPr>
            <w:tcW w:w="1440" w:type="dxa"/>
            <w:noWrap/>
          </w:tcPr>
          <w:p w14:paraId="49FA4485" w14:textId="34CFACBE" w:rsidR="0018604C" w:rsidRPr="00D06E2E" w:rsidRDefault="00216EDE" w:rsidP="00556F2C">
            <w:pPr>
              <w:spacing w:after="0"/>
              <w:jc w:val="center"/>
              <w:rPr>
                <w:rFonts w:cs="Times New Roman"/>
                <w:bCs/>
                <w:lang w:val="sr-Latn-RS"/>
              </w:rPr>
            </w:pPr>
            <w:r w:rsidRPr="00D06E2E">
              <w:rPr>
                <w:rFonts w:cs="Times New Roman"/>
                <w:bCs/>
                <w:lang w:val="sr-Latn-RS"/>
              </w:rPr>
              <w:t>1.</w:t>
            </w:r>
            <w:r w:rsidR="00184A5C" w:rsidRPr="00D06E2E">
              <w:rPr>
                <w:rFonts w:cs="Times New Roman"/>
                <w:bCs/>
                <w:lang w:val="sr-Latn-RS"/>
              </w:rPr>
              <w:t>55</w:t>
            </w:r>
            <w:r w:rsidR="0018604C" w:rsidRPr="00D06E2E">
              <w:rPr>
                <w:rFonts w:cs="Times New Roman"/>
                <w:bCs/>
                <w:lang w:val="sr-Latn-RS"/>
              </w:rPr>
              <w:t>%</w:t>
            </w:r>
          </w:p>
        </w:tc>
      </w:tr>
      <w:tr w:rsidR="0018604C" w:rsidRPr="00D06E2E" w14:paraId="5F31AED1" w14:textId="77777777" w:rsidTr="006576C8">
        <w:trPr>
          <w:trHeight w:hRule="exact" w:val="274"/>
          <w:jc w:val="center"/>
        </w:trPr>
        <w:tc>
          <w:tcPr>
            <w:tcW w:w="6225" w:type="dxa"/>
            <w:noWrap/>
          </w:tcPr>
          <w:p w14:paraId="6850A85C" w14:textId="35E67A40" w:rsidR="0018604C" w:rsidRPr="00D06E2E" w:rsidRDefault="0018604C" w:rsidP="00066F29">
            <w:pPr>
              <w:pStyle w:val="ListParagraph"/>
              <w:numPr>
                <w:ilvl w:val="1"/>
                <w:numId w:val="17"/>
              </w:numPr>
              <w:spacing w:after="0" w:line="256" w:lineRule="auto"/>
              <w:ind w:left="453" w:hanging="453"/>
              <w:contextualSpacing/>
              <w:rPr>
                <w:lang w:val="sr-Latn-RS"/>
              </w:rPr>
            </w:pPr>
            <w:r w:rsidRPr="00D06E2E">
              <w:rPr>
                <w:lang w:val="sr-Latn-RS"/>
              </w:rPr>
              <w:t xml:space="preserve"> </w:t>
            </w:r>
            <w:r w:rsidR="00066F29" w:rsidRPr="00D06E2E">
              <w:rPr>
                <w:lang w:val="sr-Latn-RS"/>
              </w:rPr>
              <w:t>Transportation and transportation infrastructure</w:t>
            </w:r>
            <w:r w:rsidRPr="00D06E2E">
              <w:rPr>
                <w:lang w:val="sr-Latn-RS"/>
              </w:rPr>
              <w:t xml:space="preserve"> саобраћајна инфраструктура</w:t>
            </w:r>
          </w:p>
        </w:tc>
        <w:tc>
          <w:tcPr>
            <w:tcW w:w="990" w:type="dxa"/>
            <w:noWrap/>
          </w:tcPr>
          <w:p w14:paraId="7957AE8E"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17</w:t>
            </w:r>
          </w:p>
        </w:tc>
        <w:tc>
          <w:tcPr>
            <w:tcW w:w="1440" w:type="dxa"/>
            <w:noWrap/>
          </w:tcPr>
          <w:p w14:paraId="33D07553" w14:textId="1216A080" w:rsidR="0018604C" w:rsidRPr="00D06E2E" w:rsidRDefault="00216EDE" w:rsidP="00556F2C">
            <w:pPr>
              <w:spacing w:after="0"/>
              <w:jc w:val="center"/>
              <w:rPr>
                <w:rFonts w:cs="Times New Roman"/>
                <w:bCs/>
                <w:lang w:val="sr-Latn-RS"/>
              </w:rPr>
            </w:pPr>
            <w:r w:rsidRPr="00D06E2E">
              <w:rPr>
                <w:rFonts w:cs="Times New Roman"/>
                <w:bCs/>
                <w:lang w:val="sr-Latn-RS"/>
              </w:rPr>
              <w:t>0.</w:t>
            </w:r>
            <w:r w:rsidR="0018604C" w:rsidRPr="00D06E2E">
              <w:rPr>
                <w:rFonts w:cs="Times New Roman"/>
                <w:bCs/>
                <w:lang w:val="sr-Latn-RS"/>
              </w:rPr>
              <w:t>98%</w:t>
            </w:r>
          </w:p>
        </w:tc>
      </w:tr>
      <w:tr w:rsidR="0018604C" w:rsidRPr="00D06E2E" w14:paraId="532AE752" w14:textId="77777777" w:rsidTr="006576C8">
        <w:trPr>
          <w:trHeight w:hRule="exact" w:val="329"/>
          <w:jc w:val="center"/>
        </w:trPr>
        <w:tc>
          <w:tcPr>
            <w:tcW w:w="6225" w:type="dxa"/>
            <w:noWrap/>
          </w:tcPr>
          <w:p w14:paraId="100C7493" w14:textId="384CC16A" w:rsidR="0018604C" w:rsidRPr="00D06E2E" w:rsidRDefault="0018604C" w:rsidP="00066F29">
            <w:pPr>
              <w:pStyle w:val="ListParagraph"/>
              <w:numPr>
                <w:ilvl w:val="1"/>
                <w:numId w:val="17"/>
              </w:numPr>
              <w:spacing w:after="0" w:line="256" w:lineRule="auto"/>
              <w:ind w:left="453" w:hanging="453"/>
              <w:contextualSpacing/>
              <w:rPr>
                <w:lang w:val="sr-Latn-RS"/>
              </w:rPr>
            </w:pPr>
            <w:r w:rsidRPr="00D06E2E">
              <w:rPr>
                <w:lang w:val="sr-Latn-RS"/>
              </w:rPr>
              <w:t xml:space="preserve"> </w:t>
            </w:r>
            <w:r w:rsidR="00066F29" w:rsidRPr="00D06E2E">
              <w:rPr>
                <w:lang w:val="sr-Latn-RS"/>
              </w:rPr>
              <w:t>Economy</w:t>
            </w:r>
          </w:p>
        </w:tc>
        <w:tc>
          <w:tcPr>
            <w:tcW w:w="990" w:type="dxa"/>
            <w:noWrap/>
          </w:tcPr>
          <w:p w14:paraId="48E0ED6A" w14:textId="77777777" w:rsidR="0018604C" w:rsidRPr="00D06E2E" w:rsidRDefault="0018604C" w:rsidP="00556F2C">
            <w:pPr>
              <w:spacing w:after="0"/>
              <w:jc w:val="center"/>
              <w:rPr>
                <w:color w:val="000000"/>
                <w:lang w:val="sr-Latn-RS"/>
              </w:rPr>
            </w:pPr>
            <w:r w:rsidRPr="00D06E2E">
              <w:rPr>
                <w:color w:val="000000"/>
                <w:lang w:val="sr-Latn-RS"/>
              </w:rPr>
              <w:t>12</w:t>
            </w:r>
          </w:p>
        </w:tc>
        <w:tc>
          <w:tcPr>
            <w:tcW w:w="1440" w:type="dxa"/>
            <w:noWrap/>
          </w:tcPr>
          <w:p w14:paraId="7800D651" w14:textId="1CADE764" w:rsidR="0018604C" w:rsidRPr="00D06E2E" w:rsidRDefault="00216EDE" w:rsidP="00556F2C">
            <w:pPr>
              <w:spacing w:after="0"/>
              <w:jc w:val="center"/>
              <w:rPr>
                <w:rFonts w:cs="Times New Roman"/>
                <w:bCs/>
                <w:lang w:val="sr-Latn-RS"/>
              </w:rPr>
            </w:pPr>
            <w:r w:rsidRPr="00D06E2E">
              <w:rPr>
                <w:rFonts w:cs="Times New Roman"/>
                <w:bCs/>
                <w:lang w:val="sr-Latn-RS"/>
              </w:rPr>
              <w:t>0.</w:t>
            </w:r>
            <w:r w:rsidR="00E445DC" w:rsidRPr="00D06E2E">
              <w:rPr>
                <w:rFonts w:cs="Times New Roman"/>
                <w:bCs/>
                <w:lang w:val="sr-Latn-RS"/>
              </w:rPr>
              <w:t>69</w:t>
            </w:r>
            <w:r w:rsidR="0018604C" w:rsidRPr="00D06E2E">
              <w:rPr>
                <w:rFonts w:cs="Times New Roman"/>
                <w:bCs/>
                <w:lang w:val="sr-Latn-RS"/>
              </w:rPr>
              <w:t>%</w:t>
            </w:r>
          </w:p>
        </w:tc>
      </w:tr>
      <w:tr w:rsidR="0018604C" w:rsidRPr="00D06E2E" w14:paraId="5ECA8A62" w14:textId="77777777" w:rsidTr="006576C8">
        <w:trPr>
          <w:trHeight w:hRule="exact" w:val="329"/>
          <w:jc w:val="center"/>
        </w:trPr>
        <w:tc>
          <w:tcPr>
            <w:tcW w:w="6225" w:type="dxa"/>
            <w:noWrap/>
          </w:tcPr>
          <w:p w14:paraId="2FF92568" w14:textId="19AE9A14" w:rsidR="0018604C" w:rsidRPr="00D06E2E" w:rsidRDefault="0018604C" w:rsidP="00066F29">
            <w:pPr>
              <w:pStyle w:val="ListParagraph"/>
              <w:numPr>
                <w:ilvl w:val="1"/>
                <w:numId w:val="17"/>
              </w:numPr>
              <w:spacing w:after="0" w:line="256" w:lineRule="auto"/>
              <w:ind w:left="453" w:hanging="453"/>
              <w:contextualSpacing/>
              <w:rPr>
                <w:lang w:val="sr-Latn-RS"/>
              </w:rPr>
            </w:pPr>
            <w:r w:rsidRPr="00D06E2E">
              <w:rPr>
                <w:lang w:val="sr-Latn-RS"/>
              </w:rPr>
              <w:t xml:space="preserve"> </w:t>
            </w:r>
            <w:r w:rsidR="00066F29" w:rsidRPr="00D06E2E">
              <w:rPr>
                <w:lang w:val="sr-Latn-RS"/>
              </w:rPr>
              <w:t>Natural disasters</w:t>
            </w:r>
          </w:p>
        </w:tc>
        <w:tc>
          <w:tcPr>
            <w:tcW w:w="990" w:type="dxa"/>
            <w:noWrap/>
          </w:tcPr>
          <w:p w14:paraId="041CE0D9"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10</w:t>
            </w:r>
          </w:p>
        </w:tc>
        <w:tc>
          <w:tcPr>
            <w:tcW w:w="1440" w:type="dxa"/>
            <w:noWrap/>
          </w:tcPr>
          <w:p w14:paraId="62EAA50B" w14:textId="5BFB38FA" w:rsidR="0018604C" w:rsidRPr="00D06E2E" w:rsidRDefault="00216EDE" w:rsidP="00556F2C">
            <w:pPr>
              <w:spacing w:after="0"/>
              <w:jc w:val="center"/>
              <w:rPr>
                <w:rFonts w:cs="Times New Roman"/>
                <w:bCs/>
                <w:lang w:val="sr-Latn-RS"/>
              </w:rPr>
            </w:pPr>
            <w:r w:rsidRPr="00D06E2E">
              <w:rPr>
                <w:rFonts w:cs="Times New Roman"/>
                <w:bCs/>
                <w:lang w:val="sr-Latn-RS"/>
              </w:rPr>
              <w:t>0.</w:t>
            </w:r>
            <w:r w:rsidR="0018604C" w:rsidRPr="00D06E2E">
              <w:rPr>
                <w:rFonts w:cs="Times New Roman"/>
                <w:bCs/>
                <w:lang w:val="sr-Latn-RS"/>
              </w:rPr>
              <w:t>58%</w:t>
            </w:r>
          </w:p>
        </w:tc>
      </w:tr>
      <w:tr w:rsidR="0018604C" w:rsidRPr="00D06E2E" w14:paraId="60FF684F" w14:textId="77777777" w:rsidTr="006576C8">
        <w:trPr>
          <w:trHeight w:hRule="exact" w:val="329"/>
          <w:jc w:val="center"/>
        </w:trPr>
        <w:tc>
          <w:tcPr>
            <w:tcW w:w="6225" w:type="dxa"/>
            <w:noWrap/>
          </w:tcPr>
          <w:p w14:paraId="1B2BC751" w14:textId="340800EB" w:rsidR="0018604C" w:rsidRPr="00D06E2E" w:rsidRDefault="0018604C" w:rsidP="00066F29">
            <w:pPr>
              <w:pStyle w:val="ListParagraph"/>
              <w:numPr>
                <w:ilvl w:val="1"/>
                <w:numId w:val="17"/>
              </w:numPr>
              <w:spacing w:after="0" w:line="256" w:lineRule="auto"/>
              <w:ind w:left="453" w:hanging="453"/>
              <w:contextualSpacing/>
              <w:rPr>
                <w:lang w:val="sr-Latn-RS"/>
              </w:rPr>
            </w:pPr>
            <w:r w:rsidRPr="00D06E2E">
              <w:rPr>
                <w:lang w:val="sr-Latn-RS"/>
              </w:rPr>
              <w:t xml:space="preserve"> </w:t>
            </w:r>
            <w:r w:rsidR="00066F29" w:rsidRPr="00D06E2E">
              <w:rPr>
                <w:lang w:val="sr-Latn-RS"/>
              </w:rPr>
              <w:t>Expropriation</w:t>
            </w:r>
          </w:p>
        </w:tc>
        <w:tc>
          <w:tcPr>
            <w:tcW w:w="990" w:type="dxa"/>
            <w:noWrap/>
          </w:tcPr>
          <w:p w14:paraId="798A2F9C"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6</w:t>
            </w:r>
          </w:p>
        </w:tc>
        <w:tc>
          <w:tcPr>
            <w:tcW w:w="1440" w:type="dxa"/>
            <w:noWrap/>
          </w:tcPr>
          <w:p w14:paraId="455174EC" w14:textId="4859B2CF" w:rsidR="0018604C" w:rsidRPr="00D06E2E" w:rsidRDefault="00216EDE" w:rsidP="00556F2C">
            <w:pPr>
              <w:spacing w:after="0" w:line="360" w:lineRule="auto"/>
              <w:jc w:val="center"/>
              <w:rPr>
                <w:rFonts w:cs="Times New Roman"/>
                <w:bCs/>
                <w:lang w:val="sr-Latn-RS"/>
              </w:rPr>
            </w:pPr>
            <w:r w:rsidRPr="00D06E2E">
              <w:rPr>
                <w:rFonts w:cs="Times New Roman"/>
                <w:bCs/>
                <w:lang w:val="sr-Latn-RS"/>
              </w:rPr>
              <w:t>0.</w:t>
            </w:r>
            <w:r w:rsidR="0018604C" w:rsidRPr="00D06E2E">
              <w:rPr>
                <w:rFonts w:cs="Times New Roman"/>
                <w:bCs/>
                <w:lang w:val="sr-Latn-RS"/>
              </w:rPr>
              <w:t>35%</w:t>
            </w:r>
          </w:p>
        </w:tc>
      </w:tr>
      <w:tr w:rsidR="0018604C" w:rsidRPr="00D06E2E" w14:paraId="79553B96" w14:textId="77777777" w:rsidTr="006576C8">
        <w:trPr>
          <w:trHeight w:hRule="exact" w:val="329"/>
          <w:jc w:val="center"/>
        </w:trPr>
        <w:tc>
          <w:tcPr>
            <w:tcW w:w="6225" w:type="dxa"/>
            <w:noWrap/>
            <w:hideMark/>
          </w:tcPr>
          <w:p w14:paraId="41519217" w14:textId="038D00D9" w:rsidR="0018604C" w:rsidRPr="00D06E2E" w:rsidRDefault="00066F29" w:rsidP="008F61B3">
            <w:pPr>
              <w:pStyle w:val="ListParagraph"/>
              <w:numPr>
                <w:ilvl w:val="0"/>
                <w:numId w:val="17"/>
              </w:numPr>
              <w:spacing w:after="0" w:line="256" w:lineRule="auto"/>
              <w:ind w:left="284" w:hanging="284"/>
              <w:contextualSpacing/>
              <w:rPr>
                <w:b/>
                <w:lang w:val="sr-Latn-RS"/>
              </w:rPr>
            </w:pPr>
            <w:r w:rsidRPr="00D06E2E">
              <w:rPr>
                <w:b/>
                <w:lang w:val="sr-Latn-RS"/>
              </w:rPr>
              <w:t>Area of civil and political rights</w:t>
            </w:r>
          </w:p>
        </w:tc>
        <w:tc>
          <w:tcPr>
            <w:tcW w:w="990" w:type="dxa"/>
            <w:noWrap/>
          </w:tcPr>
          <w:p w14:paraId="715E4BB4" w14:textId="0DD9156E" w:rsidR="0018604C" w:rsidRPr="00D06E2E" w:rsidRDefault="00216EDE" w:rsidP="00556F2C">
            <w:pPr>
              <w:spacing w:after="0"/>
              <w:jc w:val="center"/>
              <w:rPr>
                <w:rFonts w:cs="Times New Roman"/>
                <w:b/>
                <w:color w:val="000000" w:themeColor="text1"/>
                <w:lang w:val="sr-Latn-RS"/>
              </w:rPr>
            </w:pPr>
            <w:r w:rsidRPr="00D06E2E">
              <w:rPr>
                <w:rFonts w:cs="Times New Roman"/>
                <w:b/>
                <w:color w:val="000000" w:themeColor="text1"/>
                <w:lang w:val="sr-Latn-RS"/>
              </w:rPr>
              <w:t>1,</w:t>
            </w:r>
            <w:r w:rsidR="0018604C" w:rsidRPr="00D06E2E">
              <w:rPr>
                <w:rFonts w:cs="Times New Roman"/>
                <w:b/>
                <w:color w:val="000000" w:themeColor="text1"/>
                <w:lang w:val="sr-Latn-RS"/>
              </w:rPr>
              <w:t>038</w:t>
            </w:r>
          </w:p>
        </w:tc>
        <w:tc>
          <w:tcPr>
            <w:tcW w:w="1440" w:type="dxa"/>
            <w:noWrap/>
          </w:tcPr>
          <w:p w14:paraId="498B1FF1" w14:textId="2EEF7951" w:rsidR="0018604C" w:rsidRPr="00D06E2E" w:rsidRDefault="00216EDE" w:rsidP="00556F2C">
            <w:pPr>
              <w:spacing w:after="0"/>
              <w:jc w:val="center"/>
              <w:rPr>
                <w:rFonts w:cs="Times New Roman"/>
                <w:b/>
                <w:bCs/>
                <w:lang w:val="sr-Latn-RS"/>
              </w:rPr>
            </w:pPr>
            <w:r w:rsidRPr="00D06E2E">
              <w:rPr>
                <w:rFonts w:cs="Times New Roman"/>
                <w:b/>
                <w:bCs/>
                <w:lang w:val="sr-Latn-RS"/>
              </w:rPr>
              <w:t>23.</w:t>
            </w:r>
            <w:r w:rsidR="0018604C" w:rsidRPr="00D06E2E">
              <w:rPr>
                <w:rFonts w:cs="Times New Roman"/>
                <w:b/>
                <w:bCs/>
                <w:lang w:val="sr-Latn-RS"/>
              </w:rPr>
              <w:t>46%</w:t>
            </w:r>
          </w:p>
        </w:tc>
      </w:tr>
      <w:tr w:rsidR="0018604C" w:rsidRPr="00D06E2E" w14:paraId="1E81802D" w14:textId="77777777" w:rsidTr="006576C8">
        <w:trPr>
          <w:trHeight w:hRule="exact" w:val="329"/>
          <w:jc w:val="center"/>
        </w:trPr>
        <w:tc>
          <w:tcPr>
            <w:tcW w:w="6225" w:type="dxa"/>
            <w:noWrap/>
          </w:tcPr>
          <w:p w14:paraId="55DBDDEE" w14:textId="22E412AC" w:rsidR="0018604C" w:rsidRPr="00D06E2E" w:rsidRDefault="00066F29" w:rsidP="00066F29">
            <w:pPr>
              <w:pStyle w:val="ListParagraph"/>
              <w:numPr>
                <w:ilvl w:val="1"/>
                <w:numId w:val="17"/>
              </w:numPr>
              <w:tabs>
                <w:tab w:val="left" w:pos="3750"/>
              </w:tabs>
              <w:spacing w:after="0" w:line="256" w:lineRule="auto"/>
              <w:ind w:left="447" w:hanging="425"/>
              <w:contextualSpacing/>
              <w:rPr>
                <w:lang w:val="sr-Latn-RS"/>
              </w:rPr>
            </w:pPr>
            <w:r w:rsidRPr="00D06E2E">
              <w:rPr>
                <w:lang w:val="sr-Latn-RS"/>
              </w:rPr>
              <w:t>MoI</w:t>
            </w:r>
            <w:r w:rsidR="0018604C" w:rsidRPr="00D06E2E">
              <w:rPr>
                <w:lang w:val="sr-Latn-RS"/>
              </w:rPr>
              <w:t xml:space="preserve"> </w:t>
            </w:r>
            <w:r w:rsidRPr="00D06E2E">
              <w:rPr>
                <w:lang w:val="sr-Latn-RS"/>
              </w:rPr>
              <w:t>–</w:t>
            </w:r>
            <w:r w:rsidR="0018604C" w:rsidRPr="00D06E2E">
              <w:rPr>
                <w:lang w:val="sr-Latn-RS"/>
              </w:rPr>
              <w:t xml:space="preserve"> </w:t>
            </w:r>
            <w:r w:rsidRPr="00D06E2E">
              <w:rPr>
                <w:lang w:val="sr-Latn-RS"/>
              </w:rPr>
              <w:t>Police affairs</w:t>
            </w:r>
          </w:p>
        </w:tc>
        <w:tc>
          <w:tcPr>
            <w:tcW w:w="990" w:type="dxa"/>
            <w:noWrap/>
          </w:tcPr>
          <w:p w14:paraId="6EDDD7CA"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255</w:t>
            </w:r>
          </w:p>
        </w:tc>
        <w:tc>
          <w:tcPr>
            <w:tcW w:w="1440" w:type="dxa"/>
            <w:noWrap/>
          </w:tcPr>
          <w:p w14:paraId="4FAC428A" w14:textId="1AF923A0" w:rsidR="0018604C" w:rsidRPr="00D06E2E" w:rsidRDefault="00216EDE" w:rsidP="00556F2C">
            <w:pPr>
              <w:spacing w:after="0"/>
              <w:jc w:val="center"/>
              <w:rPr>
                <w:rFonts w:cs="Times New Roman"/>
                <w:bCs/>
                <w:lang w:val="sr-Latn-RS"/>
              </w:rPr>
            </w:pPr>
            <w:r w:rsidRPr="00D06E2E">
              <w:rPr>
                <w:rFonts w:cs="Times New Roman"/>
                <w:bCs/>
                <w:lang w:val="sr-Latn-RS"/>
              </w:rPr>
              <w:t>24.</w:t>
            </w:r>
            <w:r w:rsidR="0018604C" w:rsidRPr="00D06E2E">
              <w:rPr>
                <w:rFonts w:cs="Times New Roman"/>
                <w:bCs/>
                <w:lang w:val="sr-Latn-RS"/>
              </w:rPr>
              <w:t>57%</w:t>
            </w:r>
          </w:p>
        </w:tc>
      </w:tr>
      <w:tr w:rsidR="0018604C" w:rsidRPr="00D06E2E" w14:paraId="17E66921" w14:textId="77777777" w:rsidTr="006576C8">
        <w:trPr>
          <w:trHeight w:hRule="exact" w:val="329"/>
          <w:jc w:val="center"/>
        </w:trPr>
        <w:tc>
          <w:tcPr>
            <w:tcW w:w="6225" w:type="dxa"/>
            <w:noWrap/>
          </w:tcPr>
          <w:p w14:paraId="691F023B" w14:textId="76896FA1" w:rsidR="0018604C" w:rsidRPr="00D06E2E" w:rsidRDefault="00066F29" w:rsidP="008F61B3">
            <w:pPr>
              <w:pStyle w:val="ListParagraph"/>
              <w:numPr>
                <w:ilvl w:val="1"/>
                <w:numId w:val="17"/>
              </w:numPr>
              <w:tabs>
                <w:tab w:val="left" w:pos="3750"/>
              </w:tabs>
              <w:spacing w:after="0" w:line="256" w:lineRule="auto"/>
              <w:ind w:left="447" w:hanging="425"/>
              <w:contextualSpacing/>
              <w:rPr>
                <w:lang w:val="sr-Latn-RS"/>
              </w:rPr>
            </w:pPr>
            <w:r w:rsidRPr="00D06E2E">
              <w:rPr>
                <w:lang w:val="sr-Latn-RS"/>
              </w:rPr>
              <w:t>Health</w:t>
            </w:r>
          </w:p>
        </w:tc>
        <w:tc>
          <w:tcPr>
            <w:tcW w:w="990" w:type="dxa"/>
            <w:noWrap/>
          </w:tcPr>
          <w:p w14:paraId="65A58100"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239</w:t>
            </w:r>
          </w:p>
        </w:tc>
        <w:tc>
          <w:tcPr>
            <w:tcW w:w="1440" w:type="dxa"/>
            <w:noWrap/>
          </w:tcPr>
          <w:p w14:paraId="1952C89A" w14:textId="389FD579" w:rsidR="0018604C" w:rsidRPr="00D06E2E" w:rsidRDefault="0018604C" w:rsidP="00FC476F">
            <w:pPr>
              <w:spacing w:after="0"/>
              <w:jc w:val="center"/>
              <w:rPr>
                <w:rFonts w:cs="Times New Roman"/>
                <w:bCs/>
                <w:lang w:val="sr-Latn-RS"/>
              </w:rPr>
            </w:pPr>
            <w:r w:rsidRPr="00D06E2E">
              <w:rPr>
                <w:rFonts w:cs="Times New Roman"/>
                <w:bCs/>
                <w:lang w:val="sr-Latn-RS"/>
              </w:rPr>
              <w:t>23</w:t>
            </w:r>
            <w:r w:rsidR="00216EDE" w:rsidRPr="00D06E2E">
              <w:rPr>
                <w:rFonts w:cs="Times New Roman"/>
                <w:bCs/>
                <w:lang w:val="sr-Latn-RS"/>
              </w:rPr>
              <w:t>.</w:t>
            </w:r>
            <w:r w:rsidRPr="00D06E2E">
              <w:rPr>
                <w:rFonts w:cs="Times New Roman"/>
                <w:bCs/>
                <w:lang w:val="sr-Latn-RS"/>
              </w:rPr>
              <w:t>03%</w:t>
            </w:r>
          </w:p>
        </w:tc>
      </w:tr>
      <w:tr w:rsidR="0018604C" w:rsidRPr="00D06E2E" w14:paraId="7105EEBE" w14:textId="77777777" w:rsidTr="006576C8">
        <w:trPr>
          <w:trHeight w:hRule="exact" w:val="329"/>
          <w:jc w:val="center"/>
        </w:trPr>
        <w:tc>
          <w:tcPr>
            <w:tcW w:w="6225" w:type="dxa"/>
            <w:noWrap/>
          </w:tcPr>
          <w:p w14:paraId="7D5BDEC4" w14:textId="525076F0" w:rsidR="0018604C" w:rsidRPr="00D06E2E" w:rsidRDefault="00066F29" w:rsidP="008F61B3">
            <w:pPr>
              <w:pStyle w:val="ListParagraph"/>
              <w:numPr>
                <w:ilvl w:val="1"/>
                <w:numId w:val="17"/>
              </w:numPr>
              <w:tabs>
                <w:tab w:val="left" w:pos="3930"/>
              </w:tabs>
              <w:spacing w:after="0" w:line="256" w:lineRule="auto"/>
              <w:ind w:left="447" w:hanging="425"/>
              <w:contextualSpacing/>
              <w:rPr>
                <w:lang w:val="sr-Latn-RS"/>
              </w:rPr>
            </w:pPr>
            <w:r w:rsidRPr="00D06E2E">
              <w:rPr>
                <w:lang w:val="sr-Latn-RS"/>
              </w:rPr>
              <w:t>Finances</w:t>
            </w:r>
          </w:p>
        </w:tc>
        <w:tc>
          <w:tcPr>
            <w:tcW w:w="990" w:type="dxa"/>
            <w:noWrap/>
          </w:tcPr>
          <w:p w14:paraId="487E05DB"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226</w:t>
            </w:r>
          </w:p>
        </w:tc>
        <w:tc>
          <w:tcPr>
            <w:tcW w:w="1440" w:type="dxa"/>
            <w:noWrap/>
          </w:tcPr>
          <w:p w14:paraId="25B377C1" w14:textId="7AE33CF0" w:rsidR="0018604C" w:rsidRPr="00D06E2E" w:rsidRDefault="0018604C" w:rsidP="00FC476F">
            <w:pPr>
              <w:spacing w:after="0"/>
              <w:jc w:val="center"/>
              <w:rPr>
                <w:rFonts w:cs="Times New Roman"/>
                <w:bCs/>
                <w:lang w:val="sr-Latn-RS"/>
              </w:rPr>
            </w:pPr>
            <w:r w:rsidRPr="00D06E2E">
              <w:rPr>
                <w:rFonts w:cs="Times New Roman"/>
                <w:bCs/>
                <w:lang w:val="sr-Latn-RS"/>
              </w:rPr>
              <w:t>21</w:t>
            </w:r>
            <w:r w:rsidR="00216EDE" w:rsidRPr="00D06E2E">
              <w:rPr>
                <w:rFonts w:cs="Times New Roman"/>
                <w:bCs/>
                <w:lang w:val="sr-Latn-RS"/>
              </w:rPr>
              <w:t>.</w:t>
            </w:r>
            <w:r w:rsidRPr="00D06E2E">
              <w:rPr>
                <w:rFonts w:cs="Times New Roman"/>
                <w:bCs/>
                <w:lang w:val="sr-Latn-RS"/>
              </w:rPr>
              <w:t>77%</w:t>
            </w:r>
          </w:p>
        </w:tc>
      </w:tr>
      <w:tr w:rsidR="0018604C" w:rsidRPr="00D06E2E" w14:paraId="6CB73D20" w14:textId="77777777" w:rsidTr="006576C8">
        <w:trPr>
          <w:trHeight w:hRule="exact" w:val="329"/>
          <w:jc w:val="center"/>
        </w:trPr>
        <w:tc>
          <w:tcPr>
            <w:tcW w:w="6225" w:type="dxa"/>
            <w:noWrap/>
            <w:hideMark/>
          </w:tcPr>
          <w:p w14:paraId="0BA4E1BE" w14:textId="1E7E74C4" w:rsidR="0018604C" w:rsidRPr="00D06E2E" w:rsidRDefault="00066F29" w:rsidP="008F61B3">
            <w:pPr>
              <w:pStyle w:val="ListParagraph"/>
              <w:numPr>
                <w:ilvl w:val="1"/>
                <w:numId w:val="17"/>
              </w:numPr>
              <w:tabs>
                <w:tab w:val="left" w:pos="3750"/>
              </w:tabs>
              <w:spacing w:after="0" w:line="256" w:lineRule="auto"/>
              <w:ind w:left="447" w:hanging="425"/>
              <w:contextualSpacing/>
              <w:rPr>
                <w:b/>
                <w:lang w:val="sr-Latn-RS"/>
              </w:rPr>
            </w:pPr>
            <w:r w:rsidRPr="00D06E2E">
              <w:rPr>
                <w:lang w:val="sr-Latn-RS"/>
              </w:rPr>
              <w:t>Justice and judiciary</w:t>
            </w:r>
            <w:r w:rsidR="0018604C" w:rsidRPr="00D06E2E">
              <w:rPr>
                <w:lang w:val="sr-Latn-RS"/>
              </w:rPr>
              <w:tab/>
            </w:r>
          </w:p>
        </w:tc>
        <w:tc>
          <w:tcPr>
            <w:tcW w:w="990" w:type="dxa"/>
            <w:noWrap/>
          </w:tcPr>
          <w:p w14:paraId="4F74ED18"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170</w:t>
            </w:r>
          </w:p>
        </w:tc>
        <w:tc>
          <w:tcPr>
            <w:tcW w:w="1440" w:type="dxa"/>
            <w:noWrap/>
          </w:tcPr>
          <w:p w14:paraId="53B89EF7" w14:textId="4FC976C5" w:rsidR="0018604C" w:rsidRPr="00D06E2E" w:rsidRDefault="00FC476F" w:rsidP="00556F2C">
            <w:pPr>
              <w:spacing w:after="0"/>
              <w:jc w:val="center"/>
              <w:rPr>
                <w:rFonts w:cs="Times New Roman"/>
                <w:bCs/>
                <w:lang w:val="sr-Latn-RS"/>
              </w:rPr>
            </w:pPr>
            <w:r w:rsidRPr="00D06E2E">
              <w:rPr>
                <w:rFonts w:cs="Times New Roman"/>
                <w:bCs/>
                <w:lang w:val="sr-Latn-RS"/>
              </w:rPr>
              <w:t>16</w:t>
            </w:r>
            <w:r w:rsidR="00216EDE" w:rsidRPr="00D06E2E">
              <w:rPr>
                <w:rFonts w:cs="Times New Roman"/>
                <w:bCs/>
                <w:lang w:val="sr-Latn-RS"/>
              </w:rPr>
              <w:t>.</w:t>
            </w:r>
            <w:r w:rsidR="00184A5C" w:rsidRPr="00D06E2E">
              <w:rPr>
                <w:rFonts w:cs="Times New Roman"/>
                <w:bCs/>
                <w:lang w:val="sr-Latn-RS"/>
              </w:rPr>
              <w:t>37</w:t>
            </w:r>
            <w:r w:rsidR="0018604C" w:rsidRPr="00D06E2E">
              <w:rPr>
                <w:rFonts w:cs="Times New Roman"/>
                <w:bCs/>
                <w:lang w:val="sr-Latn-RS"/>
              </w:rPr>
              <w:t>%</w:t>
            </w:r>
          </w:p>
        </w:tc>
      </w:tr>
      <w:tr w:rsidR="0018604C" w:rsidRPr="00D06E2E" w14:paraId="4F59DD29" w14:textId="77777777" w:rsidTr="006576C8">
        <w:trPr>
          <w:trHeight w:hRule="exact" w:val="329"/>
          <w:jc w:val="center"/>
        </w:trPr>
        <w:tc>
          <w:tcPr>
            <w:tcW w:w="6225" w:type="dxa"/>
            <w:noWrap/>
          </w:tcPr>
          <w:p w14:paraId="4CB0D4D5" w14:textId="0F9692A4" w:rsidR="0018604C" w:rsidRPr="00D06E2E" w:rsidRDefault="00066F29" w:rsidP="008F61B3">
            <w:pPr>
              <w:pStyle w:val="ListParagraph"/>
              <w:numPr>
                <w:ilvl w:val="1"/>
                <w:numId w:val="17"/>
              </w:numPr>
              <w:tabs>
                <w:tab w:val="left" w:pos="3750"/>
              </w:tabs>
              <w:spacing w:after="0" w:line="256" w:lineRule="auto"/>
              <w:ind w:left="447" w:hanging="425"/>
              <w:contextualSpacing/>
              <w:rPr>
                <w:lang w:val="sr-Latn-RS"/>
              </w:rPr>
            </w:pPr>
            <w:r w:rsidRPr="00D06E2E">
              <w:rPr>
                <w:lang w:val="sr-Latn-RS"/>
              </w:rPr>
              <w:t>Judiciary professions</w:t>
            </w:r>
            <w:r w:rsidR="0018604C" w:rsidRPr="00D06E2E">
              <w:rPr>
                <w:lang w:val="sr-Latn-RS"/>
              </w:rPr>
              <w:tab/>
            </w:r>
          </w:p>
        </w:tc>
        <w:tc>
          <w:tcPr>
            <w:tcW w:w="990" w:type="dxa"/>
            <w:noWrap/>
          </w:tcPr>
          <w:p w14:paraId="36E1D1E9"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72</w:t>
            </w:r>
          </w:p>
        </w:tc>
        <w:tc>
          <w:tcPr>
            <w:tcW w:w="1440" w:type="dxa"/>
            <w:noWrap/>
          </w:tcPr>
          <w:p w14:paraId="103EAC04" w14:textId="1923C7B6" w:rsidR="0018604C" w:rsidRPr="00D06E2E" w:rsidRDefault="0018604C" w:rsidP="00FC476F">
            <w:pPr>
              <w:spacing w:after="0"/>
              <w:jc w:val="center"/>
              <w:rPr>
                <w:rFonts w:cs="Times New Roman"/>
                <w:bCs/>
                <w:lang w:val="sr-Latn-RS"/>
              </w:rPr>
            </w:pPr>
            <w:r w:rsidRPr="00D06E2E">
              <w:rPr>
                <w:rFonts w:cs="Times New Roman"/>
                <w:bCs/>
                <w:lang w:val="sr-Latn-RS"/>
              </w:rPr>
              <w:t>6</w:t>
            </w:r>
            <w:r w:rsidR="00216EDE" w:rsidRPr="00D06E2E">
              <w:rPr>
                <w:rFonts w:cs="Times New Roman"/>
                <w:bCs/>
                <w:lang w:val="sr-Latn-RS"/>
              </w:rPr>
              <w:t>.</w:t>
            </w:r>
            <w:r w:rsidRPr="00D06E2E">
              <w:rPr>
                <w:rFonts w:cs="Times New Roman"/>
                <w:bCs/>
                <w:lang w:val="sr-Latn-RS"/>
              </w:rPr>
              <w:t>94%</w:t>
            </w:r>
          </w:p>
        </w:tc>
      </w:tr>
      <w:tr w:rsidR="0018604C" w:rsidRPr="00D06E2E" w14:paraId="6ADC40A1" w14:textId="77777777" w:rsidTr="006576C8">
        <w:trPr>
          <w:trHeight w:hRule="exact" w:val="329"/>
          <w:jc w:val="center"/>
        </w:trPr>
        <w:tc>
          <w:tcPr>
            <w:tcW w:w="6225" w:type="dxa"/>
            <w:noWrap/>
          </w:tcPr>
          <w:p w14:paraId="45864137" w14:textId="73355235" w:rsidR="0018604C" w:rsidRPr="00D06E2E" w:rsidRDefault="00066F29" w:rsidP="00066F29">
            <w:pPr>
              <w:pStyle w:val="ListParagraph"/>
              <w:numPr>
                <w:ilvl w:val="1"/>
                <w:numId w:val="17"/>
              </w:numPr>
              <w:tabs>
                <w:tab w:val="left" w:pos="3750"/>
              </w:tabs>
              <w:spacing w:after="0" w:line="256" w:lineRule="auto"/>
              <w:ind w:left="447" w:hanging="425"/>
              <w:contextualSpacing/>
              <w:rPr>
                <w:lang w:val="sr-Latn-RS"/>
              </w:rPr>
            </w:pPr>
            <w:r w:rsidRPr="00D06E2E">
              <w:rPr>
                <w:lang w:val="sr-Latn-RS"/>
              </w:rPr>
              <w:t>MoI</w:t>
            </w:r>
            <w:r w:rsidR="0018604C" w:rsidRPr="00D06E2E">
              <w:rPr>
                <w:lang w:val="sr-Latn-RS"/>
              </w:rPr>
              <w:t xml:space="preserve"> </w:t>
            </w:r>
            <w:r w:rsidRPr="00D06E2E">
              <w:rPr>
                <w:lang w:val="sr-Latn-RS"/>
              </w:rPr>
              <w:t>–</w:t>
            </w:r>
            <w:r w:rsidR="0018604C" w:rsidRPr="00D06E2E">
              <w:rPr>
                <w:lang w:val="sr-Latn-RS"/>
              </w:rPr>
              <w:t xml:space="preserve"> </w:t>
            </w:r>
            <w:r w:rsidRPr="00D06E2E">
              <w:rPr>
                <w:lang w:val="sr-Latn-RS"/>
              </w:rPr>
              <w:t>Administrative affairs</w:t>
            </w:r>
          </w:p>
        </w:tc>
        <w:tc>
          <w:tcPr>
            <w:tcW w:w="990" w:type="dxa"/>
            <w:noWrap/>
          </w:tcPr>
          <w:p w14:paraId="4A80B438" w14:textId="77777777" w:rsidR="0018604C" w:rsidRPr="00D06E2E" w:rsidRDefault="0018604C" w:rsidP="00556F2C">
            <w:pPr>
              <w:spacing w:after="0"/>
              <w:jc w:val="center"/>
              <w:rPr>
                <w:rFonts w:cs="Times New Roman"/>
                <w:color w:val="000000" w:themeColor="text1"/>
                <w:lang w:val="sr-Latn-RS"/>
              </w:rPr>
            </w:pPr>
            <w:r w:rsidRPr="00D06E2E">
              <w:rPr>
                <w:color w:val="000000"/>
                <w:lang w:val="sr-Latn-RS"/>
              </w:rPr>
              <w:t>32</w:t>
            </w:r>
          </w:p>
        </w:tc>
        <w:tc>
          <w:tcPr>
            <w:tcW w:w="1440" w:type="dxa"/>
            <w:noWrap/>
          </w:tcPr>
          <w:p w14:paraId="468EAEFF" w14:textId="7A1D0436" w:rsidR="0018604C" w:rsidRPr="00D06E2E" w:rsidRDefault="00216EDE" w:rsidP="00556F2C">
            <w:pPr>
              <w:spacing w:after="0"/>
              <w:jc w:val="center"/>
              <w:rPr>
                <w:rFonts w:cs="Times New Roman"/>
                <w:bCs/>
                <w:lang w:val="sr-Latn-RS"/>
              </w:rPr>
            </w:pPr>
            <w:r w:rsidRPr="00D06E2E">
              <w:rPr>
                <w:rFonts w:cs="Times New Roman"/>
                <w:bCs/>
                <w:lang w:val="sr-Latn-RS"/>
              </w:rPr>
              <w:t>3.</w:t>
            </w:r>
            <w:r w:rsidR="0018604C" w:rsidRPr="00D06E2E">
              <w:rPr>
                <w:rFonts w:cs="Times New Roman"/>
                <w:bCs/>
                <w:lang w:val="sr-Latn-RS"/>
              </w:rPr>
              <w:t>08%</w:t>
            </w:r>
          </w:p>
        </w:tc>
      </w:tr>
      <w:tr w:rsidR="0018604C" w:rsidRPr="00D06E2E" w14:paraId="75C34F84" w14:textId="77777777" w:rsidTr="006576C8">
        <w:trPr>
          <w:trHeight w:hRule="exact" w:val="329"/>
          <w:jc w:val="center"/>
        </w:trPr>
        <w:tc>
          <w:tcPr>
            <w:tcW w:w="6225" w:type="dxa"/>
            <w:noWrap/>
          </w:tcPr>
          <w:p w14:paraId="1EA85215" w14:textId="36C6F04A" w:rsidR="0018604C" w:rsidRPr="00D06E2E" w:rsidRDefault="00066F29" w:rsidP="008F61B3">
            <w:pPr>
              <w:pStyle w:val="ListParagraph"/>
              <w:numPr>
                <w:ilvl w:val="1"/>
                <w:numId w:val="17"/>
              </w:numPr>
              <w:tabs>
                <w:tab w:val="left" w:pos="3750"/>
              </w:tabs>
              <w:spacing w:after="0" w:line="256" w:lineRule="auto"/>
              <w:ind w:left="447" w:hanging="425"/>
              <w:contextualSpacing/>
              <w:rPr>
                <w:b/>
                <w:lang w:val="sr-Latn-RS"/>
              </w:rPr>
            </w:pPr>
            <w:r w:rsidRPr="00D06E2E">
              <w:rPr>
                <w:lang w:val="sr-Latn-RS"/>
              </w:rPr>
              <w:t>Defense</w:t>
            </w:r>
            <w:r w:rsidR="0018604C" w:rsidRPr="00D06E2E">
              <w:rPr>
                <w:lang w:val="sr-Latn-RS"/>
              </w:rPr>
              <w:t xml:space="preserve"> </w:t>
            </w:r>
          </w:p>
        </w:tc>
        <w:tc>
          <w:tcPr>
            <w:tcW w:w="990" w:type="dxa"/>
            <w:noWrap/>
          </w:tcPr>
          <w:p w14:paraId="3A61B131"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26</w:t>
            </w:r>
          </w:p>
        </w:tc>
        <w:tc>
          <w:tcPr>
            <w:tcW w:w="1440" w:type="dxa"/>
            <w:noWrap/>
          </w:tcPr>
          <w:p w14:paraId="50D77C2B" w14:textId="2E52902B" w:rsidR="0018604C" w:rsidRPr="00D06E2E" w:rsidRDefault="00216EDE" w:rsidP="00556F2C">
            <w:pPr>
              <w:spacing w:after="0"/>
              <w:jc w:val="center"/>
              <w:rPr>
                <w:rFonts w:cs="Times New Roman"/>
                <w:bCs/>
                <w:lang w:val="sr-Latn-RS"/>
              </w:rPr>
            </w:pPr>
            <w:r w:rsidRPr="00D06E2E">
              <w:rPr>
                <w:rFonts w:cs="Times New Roman"/>
                <w:bCs/>
                <w:lang w:val="sr-Latn-RS"/>
              </w:rPr>
              <w:t>2.</w:t>
            </w:r>
            <w:r w:rsidR="0018604C" w:rsidRPr="00D06E2E">
              <w:rPr>
                <w:rFonts w:cs="Times New Roman"/>
                <w:bCs/>
                <w:lang w:val="sr-Latn-RS"/>
              </w:rPr>
              <w:t>50%</w:t>
            </w:r>
          </w:p>
        </w:tc>
      </w:tr>
      <w:tr w:rsidR="0018604C" w:rsidRPr="00D06E2E" w14:paraId="582602EB" w14:textId="77777777" w:rsidTr="006576C8">
        <w:trPr>
          <w:trHeight w:hRule="exact" w:val="329"/>
          <w:jc w:val="center"/>
        </w:trPr>
        <w:tc>
          <w:tcPr>
            <w:tcW w:w="6225" w:type="dxa"/>
            <w:noWrap/>
          </w:tcPr>
          <w:p w14:paraId="60CE693F" w14:textId="131CCDA4" w:rsidR="0018604C" w:rsidRPr="00D06E2E" w:rsidRDefault="00216EDE" w:rsidP="00216EDE">
            <w:pPr>
              <w:pStyle w:val="ListParagraph"/>
              <w:numPr>
                <w:ilvl w:val="1"/>
                <w:numId w:val="17"/>
              </w:numPr>
              <w:tabs>
                <w:tab w:val="left" w:pos="3750"/>
              </w:tabs>
              <w:spacing w:after="0" w:line="256" w:lineRule="auto"/>
              <w:ind w:left="447" w:hanging="425"/>
              <w:contextualSpacing/>
              <w:rPr>
                <w:lang w:val="sr-Latn-RS"/>
              </w:rPr>
            </w:pPr>
            <w:r w:rsidRPr="00D06E2E">
              <w:rPr>
                <w:lang w:val="sr-Latn-RS"/>
              </w:rPr>
              <w:t>MoI</w:t>
            </w:r>
            <w:r w:rsidR="0018604C" w:rsidRPr="00D06E2E">
              <w:rPr>
                <w:lang w:val="sr-Latn-RS"/>
              </w:rPr>
              <w:t xml:space="preserve"> – </w:t>
            </w:r>
            <w:r w:rsidRPr="00D06E2E">
              <w:rPr>
                <w:lang w:val="sr-Latn-RS"/>
              </w:rPr>
              <w:t>Labor relations</w:t>
            </w:r>
          </w:p>
        </w:tc>
        <w:tc>
          <w:tcPr>
            <w:tcW w:w="990" w:type="dxa"/>
            <w:noWrap/>
          </w:tcPr>
          <w:p w14:paraId="69A87E1C" w14:textId="77777777" w:rsidR="0018604C" w:rsidRPr="00D06E2E" w:rsidRDefault="0018604C" w:rsidP="00556F2C">
            <w:pPr>
              <w:spacing w:after="0"/>
              <w:jc w:val="center"/>
              <w:rPr>
                <w:color w:val="000000"/>
                <w:lang w:val="sr-Latn-RS"/>
              </w:rPr>
            </w:pPr>
            <w:r w:rsidRPr="00D06E2E">
              <w:rPr>
                <w:color w:val="000000"/>
                <w:lang w:val="sr-Latn-RS"/>
              </w:rPr>
              <w:t>9</w:t>
            </w:r>
          </w:p>
        </w:tc>
        <w:tc>
          <w:tcPr>
            <w:tcW w:w="1440" w:type="dxa"/>
            <w:noWrap/>
          </w:tcPr>
          <w:p w14:paraId="7FFAEB68" w14:textId="4D302AC0" w:rsidR="0018604C" w:rsidRPr="00D06E2E" w:rsidRDefault="0018604C" w:rsidP="00FC476F">
            <w:pPr>
              <w:spacing w:after="0"/>
              <w:jc w:val="center"/>
              <w:rPr>
                <w:rFonts w:cs="Times New Roman"/>
                <w:bCs/>
                <w:lang w:val="sr-Latn-RS"/>
              </w:rPr>
            </w:pPr>
            <w:r w:rsidRPr="00D06E2E">
              <w:rPr>
                <w:rFonts w:cs="Times New Roman"/>
                <w:bCs/>
                <w:lang w:val="sr-Latn-RS"/>
              </w:rPr>
              <w:t>0</w:t>
            </w:r>
            <w:r w:rsidR="00216EDE" w:rsidRPr="00D06E2E">
              <w:rPr>
                <w:rFonts w:cs="Times New Roman"/>
                <w:bCs/>
                <w:lang w:val="sr-Latn-RS"/>
              </w:rPr>
              <w:t>.</w:t>
            </w:r>
            <w:r w:rsidR="00E445DC" w:rsidRPr="00D06E2E">
              <w:rPr>
                <w:rFonts w:cs="Times New Roman"/>
                <w:bCs/>
                <w:lang w:val="sr-Latn-RS"/>
              </w:rPr>
              <w:t>87</w:t>
            </w:r>
            <w:r w:rsidRPr="00D06E2E">
              <w:rPr>
                <w:rFonts w:cs="Times New Roman"/>
                <w:bCs/>
                <w:lang w:val="sr-Latn-RS"/>
              </w:rPr>
              <w:t>%</w:t>
            </w:r>
          </w:p>
        </w:tc>
      </w:tr>
      <w:tr w:rsidR="0018604C" w:rsidRPr="00D06E2E" w14:paraId="6E8B7F44" w14:textId="77777777" w:rsidTr="006576C8">
        <w:trPr>
          <w:trHeight w:hRule="exact" w:val="329"/>
          <w:jc w:val="center"/>
        </w:trPr>
        <w:tc>
          <w:tcPr>
            <w:tcW w:w="6225" w:type="dxa"/>
            <w:noWrap/>
          </w:tcPr>
          <w:p w14:paraId="454AE13D" w14:textId="2F2C595A" w:rsidR="0018604C" w:rsidRPr="00D06E2E" w:rsidRDefault="00216EDE" w:rsidP="008F61B3">
            <w:pPr>
              <w:pStyle w:val="ListParagraph"/>
              <w:numPr>
                <w:ilvl w:val="1"/>
                <w:numId w:val="17"/>
              </w:numPr>
              <w:tabs>
                <w:tab w:val="right" w:pos="5154"/>
              </w:tabs>
              <w:spacing w:after="0" w:line="256" w:lineRule="auto"/>
              <w:ind w:left="447" w:hanging="425"/>
              <w:contextualSpacing/>
              <w:rPr>
                <w:lang w:val="sr-Latn-RS"/>
              </w:rPr>
            </w:pPr>
            <w:r w:rsidRPr="00D06E2E">
              <w:rPr>
                <w:lang w:val="sr-Latn-RS"/>
              </w:rPr>
              <w:t>Refugees and displaced persons</w:t>
            </w:r>
          </w:p>
        </w:tc>
        <w:tc>
          <w:tcPr>
            <w:tcW w:w="990" w:type="dxa"/>
            <w:noWrap/>
          </w:tcPr>
          <w:p w14:paraId="64AFC244" w14:textId="77777777" w:rsidR="0018604C" w:rsidRPr="00D06E2E" w:rsidRDefault="0018604C" w:rsidP="00556F2C">
            <w:pPr>
              <w:spacing w:after="0"/>
              <w:jc w:val="center"/>
              <w:rPr>
                <w:color w:val="000000"/>
                <w:lang w:val="sr-Latn-RS"/>
              </w:rPr>
            </w:pPr>
            <w:r w:rsidRPr="00D06E2E">
              <w:rPr>
                <w:color w:val="000000"/>
                <w:lang w:val="sr-Latn-RS"/>
              </w:rPr>
              <w:t>5</w:t>
            </w:r>
          </w:p>
        </w:tc>
        <w:tc>
          <w:tcPr>
            <w:tcW w:w="1440" w:type="dxa"/>
            <w:noWrap/>
          </w:tcPr>
          <w:p w14:paraId="45BC9421" w14:textId="708D0737" w:rsidR="0018604C" w:rsidRPr="00D06E2E" w:rsidRDefault="00216EDE" w:rsidP="00556F2C">
            <w:pPr>
              <w:spacing w:after="0"/>
              <w:jc w:val="center"/>
              <w:rPr>
                <w:rFonts w:cs="Times New Roman"/>
                <w:bCs/>
                <w:lang w:val="sr-Latn-RS"/>
              </w:rPr>
            </w:pPr>
            <w:r w:rsidRPr="00D06E2E">
              <w:rPr>
                <w:rFonts w:cs="Times New Roman"/>
                <w:bCs/>
                <w:lang w:val="sr-Latn-RS"/>
              </w:rPr>
              <w:t>0.</w:t>
            </w:r>
            <w:r w:rsidR="0018604C" w:rsidRPr="00D06E2E">
              <w:rPr>
                <w:rFonts w:cs="Times New Roman"/>
                <w:bCs/>
                <w:lang w:val="sr-Latn-RS"/>
              </w:rPr>
              <w:t>48%</w:t>
            </w:r>
          </w:p>
        </w:tc>
      </w:tr>
      <w:tr w:rsidR="0018604C" w:rsidRPr="00D06E2E" w14:paraId="01126411" w14:textId="77777777" w:rsidTr="006576C8">
        <w:trPr>
          <w:trHeight w:hRule="exact" w:val="329"/>
          <w:jc w:val="center"/>
        </w:trPr>
        <w:tc>
          <w:tcPr>
            <w:tcW w:w="6225" w:type="dxa"/>
            <w:noWrap/>
          </w:tcPr>
          <w:p w14:paraId="4F4B467D" w14:textId="187D57AE" w:rsidR="0018604C" w:rsidRPr="00D06E2E" w:rsidRDefault="0018604C" w:rsidP="00216EDE">
            <w:pPr>
              <w:tabs>
                <w:tab w:val="right" w:pos="5154"/>
              </w:tabs>
              <w:spacing w:after="0" w:line="256" w:lineRule="auto"/>
              <w:ind w:left="447" w:hanging="567"/>
              <w:contextualSpacing/>
              <w:rPr>
                <w:rFonts w:eastAsiaTheme="minorHAnsi"/>
                <w:lang w:val="sr-Latn-RS"/>
              </w:rPr>
            </w:pPr>
            <w:r w:rsidRPr="00D06E2E">
              <w:rPr>
                <w:lang w:val="sr-Latn-RS"/>
              </w:rPr>
              <w:t xml:space="preserve">   2.10. </w:t>
            </w:r>
            <w:r w:rsidR="00216EDE" w:rsidRPr="00D06E2E">
              <w:rPr>
                <w:rFonts w:eastAsiaTheme="minorHAnsi"/>
                <w:lang w:val="sr-Latn-RS"/>
              </w:rPr>
              <w:t>Foreign affairs and diaspora</w:t>
            </w:r>
          </w:p>
          <w:p w14:paraId="789E4644" w14:textId="646D470A" w:rsidR="00216EDE" w:rsidRPr="00D06E2E" w:rsidRDefault="00216EDE" w:rsidP="00216EDE">
            <w:pPr>
              <w:tabs>
                <w:tab w:val="right" w:pos="5154"/>
              </w:tabs>
              <w:spacing w:after="0" w:line="256" w:lineRule="auto"/>
              <w:ind w:left="447" w:hanging="567"/>
              <w:contextualSpacing/>
              <w:rPr>
                <w:lang w:val="sr-Latn-RS"/>
              </w:rPr>
            </w:pPr>
          </w:p>
        </w:tc>
        <w:tc>
          <w:tcPr>
            <w:tcW w:w="990" w:type="dxa"/>
            <w:noWrap/>
          </w:tcPr>
          <w:p w14:paraId="6AFA9490" w14:textId="77777777" w:rsidR="0018604C" w:rsidRPr="00D06E2E" w:rsidRDefault="0018604C" w:rsidP="00556F2C">
            <w:pPr>
              <w:spacing w:after="0"/>
              <w:jc w:val="center"/>
              <w:rPr>
                <w:color w:val="000000"/>
                <w:lang w:val="sr-Latn-RS"/>
              </w:rPr>
            </w:pPr>
            <w:r w:rsidRPr="00D06E2E">
              <w:rPr>
                <w:color w:val="000000"/>
                <w:lang w:val="sr-Latn-RS"/>
              </w:rPr>
              <w:t>4</w:t>
            </w:r>
          </w:p>
        </w:tc>
        <w:tc>
          <w:tcPr>
            <w:tcW w:w="1440" w:type="dxa"/>
            <w:noWrap/>
          </w:tcPr>
          <w:p w14:paraId="2A224DE0" w14:textId="68A697CB" w:rsidR="0018604C" w:rsidRPr="00D06E2E" w:rsidRDefault="00216EDE" w:rsidP="00556F2C">
            <w:pPr>
              <w:spacing w:after="0"/>
              <w:jc w:val="center"/>
              <w:rPr>
                <w:rFonts w:cs="Times New Roman"/>
                <w:bCs/>
                <w:lang w:val="sr-Latn-RS"/>
              </w:rPr>
            </w:pPr>
            <w:r w:rsidRPr="00D06E2E">
              <w:rPr>
                <w:rFonts w:cs="Times New Roman"/>
                <w:bCs/>
                <w:lang w:val="sr-Latn-RS"/>
              </w:rPr>
              <w:t>0.</w:t>
            </w:r>
            <w:r w:rsidR="00E445DC" w:rsidRPr="00D06E2E">
              <w:rPr>
                <w:rFonts w:cs="Times New Roman"/>
                <w:bCs/>
                <w:lang w:val="sr-Latn-RS"/>
              </w:rPr>
              <w:t>39</w:t>
            </w:r>
            <w:r w:rsidR="0018604C" w:rsidRPr="00D06E2E">
              <w:rPr>
                <w:rFonts w:cs="Times New Roman"/>
                <w:bCs/>
                <w:lang w:val="sr-Latn-RS"/>
              </w:rPr>
              <w:t>%</w:t>
            </w:r>
          </w:p>
        </w:tc>
      </w:tr>
      <w:tr w:rsidR="0018604C" w:rsidRPr="00D06E2E" w14:paraId="25805E14" w14:textId="77777777" w:rsidTr="006576C8">
        <w:trPr>
          <w:trHeight w:hRule="exact" w:val="329"/>
          <w:jc w:val="center"/>
        </w:trPr>
        <w:tc>
          <w:tcPr>
            <w:tcW w:w="6225" w:type="dxa"/>
            <w:noWrap/>
            <w:hideMark/>
          </w:tcPr>
          <w:p w14:paraId="3995A3E9" w14:textId="304DFB02" w:rsidR="0018604C" w:rsidRPr="00D06E2E" w:rsidRDefault="00216EDE" w:rsidP="008F61B3">
            <w:pPr>
              <w:pStyle w:val="ListParagraph"/>
              <w:numPr>
                <w:ilvl w:val="0"/>
                <w:numId w:val="17"/>
              </w:numPr>
              <w:spacing w:after="0" w:line="256" w:lineRule="auto"/>
              <w:ind w:left="303" w:hanging="303"/>
              <w:contextualSpacing/>
              <w:rPr>
                <w:b/>
                <w:lang w:val="sr-Latn-RS"/>
              </w:rPr>
            </w:pPr>
            <w:r w:rsidRPr="00D06E2E">
              <w:rPr>
                <w:b/>
                <w:lang w:val="sr-Latn-RS"/>
              </w:rPr>
              <w:t>Area of social and cultural rights</w:t>
            </w:r>
          </w:p>
        </w:tc>
        <w:tc>
          <w:tcPr>
            <w:tcW w:w="990" w:type="dxa"/>
            <w:noWrap/>
          </w:tcPr>
          <w:p w14:paraId="3CBE0347" w14:textId="77777777" w:rsidR="0018604C" w:rsidRPr="00D06E2E" w:rsidRDefault="0018604C" w:rsidP="00556F2C">
            <w:pPr>
              <w:spacing w:after="0"/>
              <w:jc w:val="center"/>
              <w:rPr>
                <w:rFonts w:cs="Times New Roman"/>
                <w:b/>
                <w:color w:val="000000" w:themeColor="text1"/>
                <w:lang w:val="sr-Latn-RS"/>
              </w:rPr>
            </w:pPr>
            <w:r w:rsidRPr="00D06E2E">
              <w:rPr>
                <w:rFonts w:cs="Times New Roman"/>
                <w:b/>
                <w:color w:val="000000" w:themeColor="text1"/>
                <w:lang w:val="sr-Latn-RS"/>
              </w:rPr>
              <w:t>557</w:t>
            </w:r>
          </w:p>
        </w:tc>
        <w:tc>
          <w:tcPr>
            <w:tcW w:w="1440" w:type="dxa"/>
            <w:noWrap/>
          </w:tcPr>
          <w:p w14:paraId="609093BB" w14:textId="551089F8" w:rsidR="0018604C" w:rsidRPr="00D06E2E" w:rsidRDefault="0018604C" w:rsidP="00FC476F">
            <w:pPr>
              <w:spacing w:after="0"/>
              <w:jc w:val="center"/>
              <w:rPr>
                <w:rFonts w:cs="Times New Roman"/>
                <w:b/>
                <w:bCs/>
                <w:lang w:val="sr-Latn-RS"/>
              </w:rPr>
            </w:pPr>
            <w:r w:rsidRPr="00D06E2E">
              <w:rPr>
                <w:rFonts w:cs="Times New Roman"/>
                <w:b/>
                <w:bCs/>
                <w:lang w:val="sr-Latn-RS"/>
              </w:rPr>
              <w:t>12</w:t>
            </w:r>
            <w:r w:rsidR="00216EDE" w:rsidRPr="00D06E2E">
              <w:rPr>
                <w:rFonts w:cs="Times New Roman"/>
                <w:b/>
                <w:bCs/>
                <w:lang w:val="sr-Latn-RS"/>
              </w:rPr>
              <w:t>.</w:t>
            </w:r>
            <w:r w:rsidRPr="00D06E2E">
              <w:rPr>
                <w:rFonts w:cs="Times New Roman"/>
                <w:b/>
                <w:bCs/>
                <w:lang w:val="sr-Latn-RS"/>
              </w:rPr>
              <w:t>59%</w:t>
            </w:r>
          </w:p>
        </w:tc>
      </w:tr>
      <w:tr w:rsidR="0018604C" w:rsidRPr="00D06E2E" w14:paraId="33AD641B" w14:textId="77777777" w:rsidTr="006576C8">
        <w:trPr>
          <w:trHeight w:hRule="exact" w:val="329"/>
          <w:jc w:val="center"/>
        </w:trPr>
        <w:tc>
          <w:tcPr>
            <w:tcW w:w="6225" w:type="dxa"/>
            <w:noWrap/>
          </w:tcPr>
          <w:p w14:paraId="48A5E362" w14:textId="645F18A2" w:rsidR="0018604C" w:rsidRPr="00D06E2E" w:rsidRDefault="00216EDE" w:rsidP="008F61B3">
            <w:pPr>
              <w:pStyle w:val="ListParagraph"/>
              <w:numPr>
                <w:ilvl w:val="1"/>
                <w:numId w:val="17"/>
              </w:numPr>
              <w:spacing w:after="0" w:line="256" w:lineRule="auto"/>
              <w:ind w:left="447" w:hanging="425"/>
              <w:contextualSpacing/>
              <w:rPr>
                <w:lang w:val="sr-Latn-RS"/>
              </w:rPr>
            </w:pPr>
            <w:r w:rsidRPr="00D06E2E">
              <w:rPr>
                <w:lang w:val="sr-Latn-RS"/>
              </w:rPr>
              <w:t>Labor and labor relations</w:t>
            </w:r>
          </w:p>
        </w:tc>
        <w:tc>
          <w:tcPr>
            <w:tcW w:w="990" w:type="dxa"/>
            <w:noWrap/>
          </w:tcPr>
          <w:p w14:paraId="1F10F055"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168</w:t>
            </w:r>
          </w:p>
        </w:tc>
        <w:tc>
          <w:tcPr>
            <w:tcW w:w="1440" w:type="dxa"/>
            <w:noWrap/>
          </w:tcPr>
          <w:p w14:paraId="67E0BC87" w14:textId="2251484D" w:rsidR="0018604C" w:rsidRPr="00D06E2E" w:rsidRDefault="00216EDE" w:rsidP="00556F2C">
            <w:pPr>
              <w:spacing w:after="0"/>
              <w:jc w:val="center"/>
              <w:rPr>
                <w:rFonts w:cs="Times New Roman"/>
                <w:bCs/>
                <w:lang w:val="sr-Latn-RS"/>
              </w:rPr>
            </w:pPr>
            <w:r w:rsidRPr="00D06E2E">
              <w:rPr>
                <w:rFonts w:cs="Times New Roman"/>
                <w:bCs/>
                <w:lang w:val="sr-Latn-RS"/>
              </w:rPr>
              <w:t>30.</w:t>
            </w:r>
            <w:r w:rsidR="0018604C" w:rsidRPr="00D06E2E">
              <w:rPr>
                <w:rFonts w:cs="Times New Roman"/>
                <w:bCs/>
                <w:lang w:val="sr-Latn-RS"/>
              </w:rPr>
              <w:t>16%</w:t>
            </w:r>
          </w:p>
        </w:tc>
      </w:tr>
      <w:tr w:rsidR="0018604C" w:rsidRPr="00D06E2E" w14:paraId="6D1F8212" w14:textId="77777777" w:rsidTr="006576C8">
        <w:trPr>
          <w:trHeight w:hRule="exact" w:val="329"/>
          <w:jc w:val="center"/>
        </w:trPr>
        <w:tc>
          <w:tcPr>
            <w:tcW w:w="6225" w:type="dxa"/>
            <w:noWrap/>
          </w:tcPr>
          <w:p w14:paraId="1DE62A37" w14:textId="246758D8" w:rsidR="0018604C" w:rsidRPr="00D06E2E" w:rsidRDefault="00216EDE" w:rsidP="008F61B3">
            <w:pPr>
              <w:pStyle w:val="ListParagraph"/>
              <w:numPr>
                <w:ilvl w:val="1"/>
                <w:numId w:val="17"/>
              </w:numPr>
              <w:spacing w:after="0" w:line="256" w:lineRule="auto"/>
              <w:ind w:left="447" w:hanging="425"/>
              <w:contextualSpacing/>
              <w:rPr>
                <w:lang w:val="sr-Latn-RS"/>
              </w:rPr>
            </w:pPr>
            <w:r w:rsidRPr="00D06E2E">
              <w:rPr>
                <w:lang w:val="sr-Latn-RS"/>
              </w:rPr>
              <w:t>Pension insurance</w:t>
            </w:r>
            <w:r w:rsidR="0018604C" w:rsidRPr="00D06E2E">
              <w:rPr>
                <w:lang w:val="sr-Latn-RS"/>
              </w:rPr>
              <w:t xml:space="preserve">  </w:t>
            </w:r>
          </w:p>
        </w:tc>
        <w:tc>
          <w:tcPr>
            <w:tcW w:w="990" w:type="dxa"/>
            <w:noWrap/>
          </w:tcPr>
          <w:p w14:paraId="21EE419F"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144</w:t>
            </w:r>
          </w:p>
        </w:tc>
        <w:tc>
          <w:tcPr>
            <w:tcW w:w="1440" w:type="dxa"/>
            <w:noWrap/>
          </w:tcPr>
          <w:p w14:paraId="4C5828BC" w14:textId="4C1C4068" w:rsidR="0018604C" w:rsidRPr="00D06E2E" w:rsidRDefault="0018604C" w:rsidP="00FC476F">
            <w:pPr>
              <w:spacing w:after="0"/>
              <w:jc w:val="center"/>
              <w:rPr>
                <w:rFonts w:cs="Times New Roman"/>
                <w:bCs/>
                <w:lang w:val="sr-Latn-RS"/>
              </w:rPr>
            </w:pPr>
            <w:r w:rsidRPr="00D06E2E">
              <w:rPr>
                <w:rFonts w:cs="Times New Roman"/>
                <w:bCs/>
                <w:lang w:val="sr-Latn-RS"/>
              </w:rPr>
              <w:t>25</w:t>
            </w:r>
            <w:r w:rsidR="00216EDE" w:rsidRPr="00D06E2E">
              <w:rPr>
                <w:rFonts w:cs="Times New Roman"/>
                <w:bCs/>
                <w:lang w:val="sr-Latn-RS"/>
              </w:rPr>
              <w:t>.</w:t>
            </w:r>
            <w:r w:rsidRPr="00D06E2E">
              <w:rPr>
                <w:rFonts w:cs="Times New Roman"/>
                <w:bCs/>
                <w:lang w:val="sr-Latn-RS"/>
              </w:rPr>
              <w:t>85%</w:t>
            </w:r>
          </w:p>
        </w:tc>
      </w:tr>
      <w:tr w:rsidR="0018604C" w:rsidRPr="00D06E2E" w14:paraId="4A4945A0" w14:textId="77777777" w:rsidTr="006576C8">
        <w:trPr>
          <w:trHeight w:hRule="exact" w:val="329"/>
          <w:jc w:val="center"/>
        </w:trPr>
        <w:tc>
          <w:tcPr>
            <w:tcW w:w="6225" w:type="dxa"/>
            <w:noWrap/>
          </w:tcPr>
          <w:p w14:paraId="6CCDDB35" w14:textId="5E126D23" w:rsidR="0018604C" w:rsidRPr="00D06E2E" w:rsidRDefault="00216EDE" w:rsidP="00216EDE">
            <w:pPr>
              <w:pStyle w:val="ListParagraph"/>
              <w:numPr>
                <w:ilvl w:val="1"/>
                <w:numId w:val="17"/>
              </w:numPr>
              <w:spacing w:after="0" w:line="256" w:lineRule="auto"/>
              <w:ind w:left="447" w:hanging="425"/>
              <w:contextualSpacing/>
              <w:rPr>
                <w:b/>
                <w:lang w:val="sr-Latn-RS"/>
              </w:rPr>
            </w:pPr>
            <w:r w:rsidRPr="00D06E2E">
              <w:rPr>
                <w:lang w:val="sr-Latn-RS"/>
              </w:rPr>
              <w:t>Education and science</w:t>
            </w:r>
            <w:r w:rsidR="0018604C" w:rsidRPr="00D06E2E">
              <w:rPr>
                <w:color w:val="000000" w:themeColor="text1"/>
                <w:lang w:val="sr-Latn-RS"/>
              </w:rPr>
              <w:tab/>
            </w:r>
          </w:p>
        </w:tc>
        <w:tc>
          <w:tcPr>
            <w:tcW w:w="990" w:type="dxa"/>
            <w:noWrap/>
          </w:tcPr>
          <w:p w14:paraId="305F6509"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117</w:t>
            </w:r>
          </w:p>
        </w:tc>
        <w:tc>
          <w:tcPr>
            <w:tcW w:w="1440" w:type="dxa"/>
            <w:noWrap/>
          </w:tcPr>
          <w:p w14:paraId="56B3C995" w14:textId="063D0B17" w:rsidR="0018604C" w:rsidRPr="00D06E2E" w:rsidRDefault="0018604C" w:rsidP="00556F2C">
            <w:pPr>
              <w:spacing w:after="0"/>
              <w:jc w:val="center"/>
              <w:rPr>
                <w:rFonts w:cs="Times New Roman"/>
                <w:bCs/>
                <w:lang w:val="sr-Latn-RS"/>
              </w:rPr>
            </w:pPr>
            <w:r w:rsidRPr="00D06E2E">
              <w:rPr>
                <w:rFonts w:cs="Times New Roman"/>
                <w:bCs/>
                <w:lang w:val="sr-Latn-RS"/>
              </w:rPr>
              <w:t>21</w:t>
            </w:r>
            <w:r w:rsidR="00216EDE" w:rsidRPr="00D06E2E">
              <w:rPr>
                <w:rFonts w:cs="Times New Roman"/>
                <w:bCs/>
                <w:lang w:val="sr-Latn-RS"/>
              </w:rPr>
              <w:t>.</w:t>
            </w:r>
            <w:r w:rsidR="00FC476F" w:rsidRPr="00D06E2E">
              <w:rPr>
                <w:rFonts w:cs="Times New Roman"/>
                <w:bCs/>
                <w:lang w:val="sr-Latn-RS"/>
              </w:rPr>
              <w:t>00</w:t>
            </w:r>
            <w:r w:rsidRPr="00D06E2E">
              <w:rPr>
                <w:rFonts w:cs="Times New Roman"/>
                <w:bCs/>
                <w:lang w:val="sr-Latn-RS"/>
              </w:rPr>
              <w:t>%</w:t>
            </w:r>
          </w:p>
        </w:tc>
      </w:tr>
      <w:tr w:rsidR="0018604C" w:rsidRPr="00D06E2E" w14:paraId="470FEDCA" w14:textId="77777777" w:rsidTr="006576C8">
        <w:trPr>
          <w:trHeight w:hRule="exact" w:val="329"/>
          <w:jc w:val="center"/>
        </w:trPr>
        <w:tc>
          <w:tcPr>
            <w:tcW w:w="6225" w:type="dxa"/>
            <w:noWrap/>
            <w:hideMark/>
          </w:tcPr>
          <w:p w14:paraId="7800E58F" w14:textId="25345744" w:rsidR="0018604C" w:rsidRPr="00D06E2E" w:rsidRDefault="00216EDE" w:rsidP="008F61B3">
            <w:pPr>
              <w:pStyle w:val="ListParagraph"/>
              <w:numPr>
                <w:ilvl w:val="1"/>
                <w:numId w:val="17"/>
              </w:numPr>
              <w:spacing w:after="0" w:line="256" w:lineRule="auto"/>
              <w:ind w:left="447" w:hanging="425"/>
              <w:contextualSpacing/>
              <w:rPr>
                <w:b/>
                <w:lang w:val="sr-Latn-RS"/>
              </w:rPr>
            </w:pPr>
            <w:r w:rsidRPr="00D06E2E">
              <w:rPr>
                <w:lang w:val="sr-Latn-RS"/>
              </w:rPr>
              <w:t>Social welfare</w:t>
            </w:r>
          </w:p>
        </w:tc>
        <w:tc>
          <w:tcPr>
            <w:tcW w:w="990" w:type="dxa"/>
            <w:noWrap/>
          </w:tcPr>
          <w:p w14:paraId="5573A85E"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106</w:t>
            </w:r>
          </w:p>
        </w:tc>
        <w:tc>
          <w:tcPr>
            <w:tcW w:w="1440" w:type="dxa"/>
            <w:noWrap/>
          </w:tcPr>
          <w:p w14:paraId="510EFD15" w14:textId="6F25B942" w:rsidR="0018604C" w:rsidRPr="00D06E2E" w:rsidRDefault="00216EDE" w:rsidP="00556F2C">
            <w:pPr>
              <w:spacing w:after="0"/>
              <w:jc w:val="center"/>
              <w:rPr>
                <w:rFonts w:cs="Times New Roman"/>
                <w:bCs/>
                <w:lang w:val="sr-Latn-RS"/>
              </w:rPr>
            </w:pPr>
            <w:r w:rsidRPr="00D06E2E">
              <w:rPr>
                <w:rFonts w:cs="Times New Roman"/>
                <w:bCs/>
                <w:lang w:val="sr-Latn-RS"/>
              </w:rPr>
              <w:t>19.</w:t>
            </w:r>
            <w:r w:rsidR="0018604C" w:rsidRPr="00D06E2E">
              <w:rPr>
                <w:rFonts w:cs="Times New Roman"/>
                <w:bCs/>
                <w:lang w:val="sr-Latn-RS"/>
              </w:rPr>
              <w:t>03%</w:t>
            </w:r>
          </w:p>
        </w:tc>
      </w:tr>
      <w:tr w:rsidR="0018604C" w:rsidRPr="00D06E2E" w14:paraId="6C751BDD" w14:textId="77777777" w:rsidTr="006576C8">
        <w:trPr>
          <w:trHeight w:hRule="exact" w:val="329"/>
          <w:jc w:val="center"/>
        </w:trPr>
        <w:tc>
          <w:tcPr>
            <w:tcW w:w="6225" w:type="dxa"/>
            <w:noWrap/>
          </w:tcPr>
          <w:p w14:paraId="49222C15" w14:textId="273661BC" w:rsidR="0018604C" w:rsidRPr="00D06E2E" w:rsidRDefault="00216EDE" w:rsidP="008F61B3">
            <w:pPr>
              <w:pStyle w:val="ListParagraph"/>
              <w:numPr>
                <w:ilvl w:val="1"/>
                <w:numId w:val="17"/>
              </w:numPr>
              <w:spacing w:after="0" w:line="256" w:lineRule="auto"/>
              <w:ind w:left="447" w:hanging="425"/>
              <w:contextualSpacing/>
              <w:rPr>
                <w:lang w:val="sr-Latn-RS"/>
              </w:rPr>
            </w:pPr>
            <w:r w:rsidRPr="00D06E2E">
              <w:rPr>
                <w:lang w:val="sr-Latn-RS"/>
              </w:rPr>
              <w:t>Culture</w:t>
            </w:r>
            <w:r w:rsidR="0018604C" w:rsidRPr="00D06E2E">
              <w:rPr>
                <w:lang w:val="sr-Latn-RS"/>
              </w:rPr>
              <w:t xml:space="preserve"> </w:t>
            </w:r>
          </w:p>
        </w:tc>
        <w:tc>
          <w:tcPr>
            <w:tcW w:w="990" w:type="dxa"/>
            <w:noWrap/>
          </w:tcPr>
          <w:p w14:paraId="3F020954"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9</w:t>
            </w:r>
          </w:p>
        </w:tc>
        <w:tc>
          <w:tcPr>
            <w:tcW w:w="1440" w:type="dxa"/>
            <w:noWrap/>
          </w:tcPr>
          <w:p w14:paraId="4C2CC457" w14:textId="5B9F54E9" w:rsidR="0018604C" w:rsidRPr="00D06E2E" w:rsidRDefault="0018604C" w:rsidP="00FC476F">
            <w:pPr>
              <w:spacing w:after="0"/>
              <w:jc w:val="center"/>
              <w:rPr>
                <w:rFonts w:cs="Times New Roman"/>
                <w:bCs/>
                <w:lang w:val="sr-Latn-RS"/>
              </w:rPr>
            </w:pPr>
            <w:r w:rsidRPr="00D06E2E">
              <w:rPr>
                <w:rFonts w:cs="Times New Roman"/>
                <w:bCs/>
                <w:lang w:val="sr-Latn-RS"/>
              </w:rPr>
              <w:t>1</w:t>
            </w:r>
            <w:r w:rsidR="00216EDE" w:rsidRPr="00D06E2E">
              <w:rPr>
                <w:rFonts w:cs="Times New Roman"/>
                <w:bCs/>
                <w:lang w:val="sr-Latn-RS"/>
              </w:rPr>
              <w:t>.</w:t>
            </w:r>
            <w:r w:rsidRPr="00D06E2E">
              <w:rPr>
                <w:rFonts w:cs="Times New Roman"/>
                <w:bCs/>
                <w:lang w:val="sr-Latn-RS"/>
              </w:rPr>
              <w:t>62%</w:t>
            </w:r>
          </w:p>
        </w:tc>
      </w:tr>
      <w:tr w:rsidR="0018604C" w:rsidRPr="00D06E2E" w14:paraId="14F35D6F" w14:textId="77777777" w:rsidTr="006576C8">
        <w:trPr>
          <w:trHeight w:hRule="exact" w:val="329"/>
          <w:jc w:val="center"/>
        </w:trPr>
        <w:tc>
          <w:tcPr>
            <w:tcW w:w="6225" w:type="dxa"/>
            <w:noWrap/>
          </w:tcPr>
          <w:p w14:paraId="63BADA74" w14:textId="2A694A29" w:rsidR="0018604C" w:rsidRPr="00D06E2E" w:rsidRDefault="00216EDE" w:rsidP="008F61B3">
            <w:pPr>
              <w:pStyle w:val="ListParagraph"/>
              <w:numPr>
                <w:ilvl w:val="1"/>
                <w:numId w:val="17"/>
              </w:numPr>
              <w:spacing w:after="0" w:line="256" w:lineRule="auto"/>
              <w:ind w:left="447" w:hanging="425"/>
              <w:contextualSpacing/>
              <w:rPr>
                <w:color w:val="000000" w:themeColor="text1"/>
                <w:lang w:val="sr-Latn-RS"/>
              </w:rPr>
            </w:pPr>
            <w:r w:rsidRPr="00D06E2E">
              <w:rPr>
                <w:lang w:val="sr-Latn-RS"/>
              </w:rPr>
              <w:t>Serbian language and Cyrillic</w:t>
            </w:r>
          </w:p>
        </w:tc>
        <w:tc>
          <w:tcPr>
            <w:tcW w:w="990" w:type="dxa"/>
            <w:noWrap/>
          </w:tcPr>
          <w:p w14:paraId="125B8702"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9</w:t>
            </w:r>
          </w:p>
        </w:tc>
        <w:tc>
          <w:tcPr>
            <w:tcW w:w="1440" w:type="dxa"/>
            <w:noWrap/>
          </w:tcPr>
          <w:p w14:paraId="5C571CA9" w14:textId="07817211" w:rsidR="0018604C" w:rsidRPr="00D06E2E" w:rsidRDefault="00216EDE" w:rsidP="00556F2C">
            <w:pPr>
              <w:spacing w:after="0"/>
              <w:jc w:val="center"/>
              <w:rPr>
                <w:rFonts w:cs="Times New Roman"/>
                <w:bCs/>
                <w:lang w:val="sr-Latn-RS"/>
              </w:rPr>
            </w:pPr>
            <w:r w:rsidRPr="00D06E2E">
              <w:rPr>
                <w:rFonts w:cs="Times New Roman"/>
                <w:bCs/>
                <w:lang w:val="sr-Latn-RS"/>
              </w:rPr>
              <w:t>1.</w:t>
            </w:r>
            <w:r w:rsidR="0018604C" w:rsidRPr="00D06E2E">
              <w:rPr>
                <w:rFonts w:cs="Times New Roman"/>
                <w:bCs/>
                <w:lang w:val="sr-Latn-RS"/>
              </w:rPr>
              <w:t>62%</w:t>
            </w:r>
          </w:p>
        </w:tc>
      </w:tr>
      <w:tr w:rsidR="0018604C" w:rsidRPr="00D06E2E" w14:paraId="7C966958" w14:textId="77777777" w:rsidTr="006576C8">
        <w:trPr>
          <w:trHeight w:hRule="exact" w:val="329"/>
          <w:jc w:val="center"/>
        </w:trPr>
        <w:tc>
          <w:tcPr>
            <w:tcW w:w="6225" w:type="dxa"/>
            <w:noWrap/>
          </w:tcPr>
          <w:p w14:paraId="57541D3A" w14:textId="58F7638A" w:rsidR="0018604C" w:rsidRPr="00D06E2E" w:rsidRDefault="00216EDE" w:rsidP="008F61B3">
            <w:pPr>
              <w:pStyle w:val="ListParagraph"/>
              <w:numPr>
                <w:ilvl w:val="1"/>
                <w:numId w:val="17"/>
              </w:numPr>
              <w:spacing w:after="0" w:line="256" w:lineRule="auto"/>
              <w:ind w:left="447" w:hanging="425"/>
              <w:contextualSpacing/>
              <w:rPr>
                <w:color w:val="000000" w:themeColor="text1"/>
                <w:lang w:val="sr-Latn-RS"/>
              </w:rPr>
            </w:pPr>
            <w:r w:rsidRPr="00D06E2E">
              <w:rPr>
                <w:lang w:val="sr-Latn-RS"/>
              </w:rPr>
              <w:t>Youth and sport</w:t>
            </w:r>
          </w:p>
        </w:tc>
        <w:tc>
          <w:tcPr>
            <w:tcW w:w="990" w:type="dxa"/>
            <w:noWrap/>
          </w:tcPr>
          <w:p w14:paraId="50F212DC"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4</w:t>
            </w:r>
          </w:p>
        </w:tc>
        <w:tc>
          <w:tcPr>
            <w:tcW w:w="1440" w:type="dxa"/>
            <w:noWrap/>
          </w:tcPr>
          <w:p w14:paraId="71CA6520" w14:textId="5F86C6B2" w:rsidR="0018604C" w:rsidRPr="00D06E2E" w:rsidRDefault="00216EDE" w:rsidP="00556F2C">
            <w:pPr>
              <w:spacing w:after="0"/>
              <w:jc w:val="center"/>
              <w:rPr>
                <w:rFonts w:cs="Times New Roman"/>
                <w:bCs/>
                <w:lang w:val="sr-Latn-RS"/>
              </w:rPr>
            </w:pPr>
            <w:r w:rsidRPr="00D06E2E">
              <w:rPr>
                <w:rFonts w:cs="Times New Roman"/>
                <w:bCs/>
                <w:lang w:val="sr-Latn-RS"/>
              </w:rPr>
              <w:t>0.</w:t>
            </w:r>
            <w:r w:rsidR="0018604C" w:rsidRPr="00D06E2E">
              <w:rPr>
                <w:rFonts w:cs="Times New Roman"/>
                <w:bCs/>
                <w:lang w:val="sr-Latn-RS"/>
              </w:rPr>
              <w:t>72%</w:t>
            </w:r>
          </w:p>
        </w:tc>
      </w:tr>
      <w:tr w:rsidR="0018604C" w:rsidRPr="00D06E2E" w14:paraId="7E2181ED" w14:textId="77777777" w:rsidTr="006576C8">
        <w:trPr>
          <w:trHeight w:hRule="exact" w:val="329"/>
          <w:jc w:val="center"/>
        </w:trPr>
        <w:tc>
          <w:tcPr>
            <w:tcW w:w="6225" w:type="dxa"/>
            <w:noWrap/>
            <w:hideMark/>
          </w:tcPr>
          <w:p w14:paraId="31544463" w14:textId="76FE2D29" w:rsidR="0018604C" w:rsidRPr="00D06E2E" w:rsidRDefault="00216EDE" w:rsidP="008F61B3">
            <w:pPr>
              <w:pStyle w:val="ListParagraph"/>
              <w:numPr>
                <w:ilvl w:val="0"/>
                <w:numId w:val="17"/>
              </w:numPr>
              <w:spacing w:after="0" w:line="256" w:lineRule="auto"/>
              <w:ind w:left="284" w:hanging="284"/>
              <w:contextualSpacing/>
              <w:rPr>
                <w:b/>
                <w:lang w:val="sr-Latn-RS"/>
              </w:rPr>
            </w:pPr>
            <w:r w:rsidRPr="00D06E2E">
              <w:rPr>
                <w:b/>
                <w:lang w:val="sr-Latn-RS"/>
              </w:rPr>
              <w:t>Child rights</w:t>
            </w:r>
          </w:p>
        </w:tc>
        <w:tc>
          <w:tcPr>
            <w:tcW w:w="990" w:type="dxa"/>
            <w:noWrap/>
          </w:tcPr>
          <w:p w14:paraId="08D067B4" w14:textId="77777777" w:rsidR="0018604C" w:rsidRPr="00D06E2E" w:rsidRDefault="0018604C" w:rsidP="00556F2C">
            <w:pPr>
              <w:spacing w:after="0"/>
              <w:jc w:val="center"/>
              <w:rPr>
                <w:rFonts w:cs="Times New Roman"/>
                <w:b/>
                <w:color w:val="000000" w:themeColor="text1"/>
                <w:lang w:val="sr-Latn-RS"/>
              </w:rPr>
            </w:pPr>
            <w:r w:rsidRPr="00D06E2E">
              <w:rPr>
                <w:rFonts w:cs="Times New Roman"/>
                <w:b/>
                <w:color w:val="000000" w:themeColor="text1"/>
                <w:lang w:val="sr-Latn-RS"/>
              </w:rPr>
              <w:t>513</w:t>
            </w:r>
          </w:p>
        </w:tc>
        <w:tc>
          <w:tcPr>
            <w:tcW w:w="1440" w:type="dxa"/>
            <w:noWrap/>
          </w:tcPr>
          <w:p w14:paraId="3E2720C9" w14:textId="28E20F36" w:rsidR="0018604C" w:rsidRPr="00D06E2E" w:rsidRDefault="00216EDE" w:rsidP="00556F2C">
            <w:pPr>
              <w:spacing w:after="0"/>
              <w:jc w:val="center"/>
              <w:rPr>
                <w:rFonts w:cs="Times New Roman"/>
                <w:b/>
                <w:bCs/>
                <w:lang w:val="sr-Latn-RS"/>
              </w:rPr>
            </w:pPr>
            <w:r w:rsidRPr="00D06E2E">
              <w:rPr>
                <w:rFonts w:cs="Times New Roman"/>
                <w:b/>
                <w:bCs/>
                <w:lang w:val="sr-Latn-RS"/>
              </w:rPr>
              <w:t>11.</w:t>
            </w:r>
            <w:r w:rsidR="0018604C" w:rsidRPr="00D06E2E">
              <w:rPr>
                <w:rFonts w:cs="Times New Roman"/>
                <w:b/>
                <w:bCs/>
                <w:lang w:val="sr-Latn-RS"/>
              </w:rPr>
              <w:t>59%</w:t>
            </w:r>
          </w:p>
        </w:tc>
      </w:tr>
      <w:tr w:rsidR="0018604C" w:rsidRPr="00D06E2E" w14:paraId="5B812F65" w14:textId="77777777" w:rsidTr="006576C8">
        <w:trPr>
          <w:trHeight w:hRule="exact" w:val="329"/>
          <w:jc w:val="center"/>
        </w:trPr>
        <w:tc>
          <w:tcPr>
            <w:tcW w:w="6225" w:type="dxa"/>
            <w:noWrap/>
            <w:hideMark/>
          </w:tcPr>
          <w:p w14:paraId="6682692A" w14:textId="1F48E187" w:rsidR="0018604C" w:rsidRPr="00D06E2E" w:rsidRDefault="00216EDE" w:rsidP="008F61B3">
            <w:pPr>
              <w:pStyle w:val="ListParagraph"/>
              <w:numPr>
                <w:ilvl w:val="0"/>
                <w:numId w:val="17"/>
              </w:numPr>
              <w:spacing w:after="0" w:line="256" w:lineRule="auto"/>
              <w:ind w:left="284" w:hanging="284"/>
              <w:contextualSpacing/>
              <w:rPr>
                <w:b/>
                <w:lang w:val="sr-Latn-RS"/>
              </w:rPr>
            </w:pPr>
            <w:r w:rsidRPr="00D06E2E">
              <w:rPr>
                <w:b/>
                <w:lang w:val="sr-Latn-RS"/>
              </w:rPr>
              <w:t>Rights of persons deprived of liberty</w:t>
            </w:r>
            <w:r w:rsidR="0018604C" w:rsidRPr="00D06E2E">
              <w:rPr>
                <w:b/>
                <w:lang w:val="sr-Latn-RS"/>
              </w:rPr>
              <w:t xml:space="preserve"> </w:t>
            </w:r>
          </w:p>
        </w:tc>
        <w:tc>
          <w:tcPr>
            <w:tcW w:w="990" w:type="dxa"/>
            <w:shd w:val="clear" w:color="auto" w:fill="FFFFFF"/>
            <w:noWrap/>
          </w:tcPr>
          <w:p w14:paraId="34096B11" w14:textId="77777777" w:rsidR="0018604C" w:rsidRPr="00D06E2E" w:rsidRDefault="0018604C" w:rsidP="00556F2C">
            <w:pPr>
              <w:spacing w:after="0"/>
              <w:jc w:val="center"/>
              <w:rPr>
                <w:rFonts w:cs="Times New Roman"/>
                <w:b/>
                <w:color w:val="000000" w:themeColor="text1"/>
                <w:lang w:val="sr-Latn-RS"/>
              </w:rPr>
            </w:pPr>
            <w:r w:rsidRPr="00D06E2E">
              <w:rPr>
                <w:rFonts w:cs="Times New Roman"/>
                <w:b/>
                <w:color w:val="000000" w:themeColor="text1"/>
                <w:lang w:val="sr-Latn-RS"/>
              </w:rPr>
              <w:t>242</w:t>
            </w:r>
          </w:p>
        </w:tc>
        <w:tc>
          <w:tcPr>
            <w:tcW w:w="1440" w:type="dxa"/>
            <w:noWrap/>
          </w:tcPr>
          <w:p w14:paraId="685D39D9" w14:textId="396D58CB" w:rsidR="0018604C" w:rsidRPr="00D06E2E" w:rsidRDefault="00216EDE" w:rsidP="00556F2C">
            <w:pPr>
              <w:spacing w:after="0"/>
              <w:jc w:val="center"/>
              <w:rPr>
                <w:rFonts w:cs="Times New Roman"/>
                <w:b/>
                <w:bCs/>
                <w:lang w:val="sr-Latn-RS"/>
              </w:rPr>
            </w:pPr>
            <w:r w:rsidRPr="00D06E2E">
              <w:rPr>
                <w:rFonts w:cs="Times New Roman"/>
                <w:b/>
                <w:bCs/>
                <w:lang w:val="sr-Latn-RS"/>
              </w:rPr>
              <w:t>5.</w:t>
            </w:r>
            <w:r w:rsidR="0018604C" w:rsidRPr="00D06E2E">
              <w:rPr>
                <w:rFonts w:cs="Times New Roman"/>
                <w:b/>
                <w:bCs/>
                <w:lang w:val="sr-Latn-RS"/>
              </w:rPr>
              <w:t>47%</w:t>
            </w:r>
          </w:p>
        </w:tc>
      </w:tr>
      <w:tr w:rsidR="0018604C" w:rsidRPr="00D06E2E" w14:paraId="4396D8A6" w14:textId="77777777" w:rsidTr="006576C8">
        <w:trPr>
          <w:trHeight w:hRule="exact" w:val="329"/>
          <w:jc w:val="center"/>
        </w:trPr>
        <w:tc>
          <w:tcPr>
            <w:tcW w:w="6225" w:type="dxa"/>
            <w:noWrap/>
            <w:hideMark/>
          </w:tcPr>
          <w:p w14:paraId="06040F4F" w14:textId="50389E21" w:rsidR="0018604C" w:rsidRPr="00D06E2E" w:rsidRDefault="00216EDE" w:rsidP="008F61B3">
            <w:pPr>
              <w:pStyle w:val="ListParagraph"/>
              <w:numPr>
                <w:ilvl w:val="0"/>
                <w:numId w:val="17"/>
              </w:numPr>
              <w:spacing w:after="0" w:line="256" w:lineRule="auto"/>
              <w:ind w:left="284" w:hanging="284"/>
              <w:contextualSpacing/>
              <w:rPr>
                <w:b/>
                <w:lang w:val="sr-Latn-RS"/>
              </w:rPr>
            </w:pPr>
            <w:r w:rsidRPr="00D06E2E">
              <w:rPr>
                <w:b/>
                <w:lang w:val="sr-Latn-RS"/>
              </w:rPr>
              <w:t>Rights of persons with disabilities and the elderly</w:t>
            </w:r>
            <w:r w:rsidR="0018604C" w:rsidRPr="00D06E2E">
              <w:rPr>
                <w:b/>
                <w:lang w:val="sr-Latn-RS"/>
              </w:rPr>
              <w:t xml:space="preserve"> </w:t>
            </w:r>
          </w:p>
        </w:tc>
        <w:tc>
          <w:tcPr>
            <w:tcW w:w="990" w:type="dxa"/>
            <w:noWrap/>
          </w:tcPr>
          <w:p w14:paraId="64CC0677" w14:textId="77777777" w:rsidR="0018604C" w:rsidRPr="00D06E2E" w:rsidRDefault="0018604C" w:rsidP="00556F2C">
            <w:pPr>
              <w:spacing w:after="0"/>
              <w:jc w:val="center"/>
              <w:rPr>
                <w:rFonts w:cs="Times New Roman"/>
                <w:b/>
                <w:color w:val="000000" w:themeColor="text1"/>
                <w:lang w:val="sr-Latn-RS"/>
              </w:rPr>
            </w:pPr>
            <w:r w:rsidRPr="00D06E2E">
              <w:rPr>
                <w:rFonts w:cs="Times New Roman"/>
                <w:b/>
                <w:color w:val="000000" w:themeColor="text1"/>
                <w:lang w:val="sr-Latn-RS"/>
              </w:rPr>
              <w:t>153</w:t>
            </w:r>
          </w:p>
        </w:tc>
        <w:tc>
          <w:tcPr>
            <w:tcW w:w="1440" w:type="dxa"/>
            <w:noWrap/>
          </w:tcPr>
          <w:p w14:paraId="0220E8FD" w14:textId="030D63C5" w:rsidR="0018604C" w:rsidRPr="00D06E2E" w:rsidRDefault="00216EDE" w:rsidP="00556F2C">
            <w:pPr>
              <w:spacing w:after="0"/>
              <w:jc w:val="center"/>
              <w:rPr>
                <w:rFonts w:cs="Times New Roman"/>
                <w:b/>
                <w:bCs/>
                <w:lang w:val="sr-Latn-RS"/>
              </w:rPr>
            </w:pPr>
            <w:r w:rsidRPr="00D06E2E">
              <w:rPr>
                <w:rFonts w:cs="Times New Roman"/>
                <w:b/>
                <w:bCs/>
                <w:lang w:val="sr-Latn-RS"/>
              </w:rPr>
              <w:t>3.</w:t>
            </w:r>
            <w:r w:rsidR="0018604C" w:rsidRPr="00D06E2E">
              <w:rPr>
                <w:rFonts w:cs="Times New Roman"/>
                <w:b/>
                <w:bCs/>
                <w:lang w:val="sr-Latn-RS"/>
              </w:rPr>
              <w:t>46%</w:t>
            </w:r>
          </w:p>
        </w:tc>
      </w:tr>
      <w:tr w:rsidR="0018604C" w:rsidRPr="00D06E2E" w14:paraId="0252613B" w14:textId="77777777" w:rsidTr="006576C8">
        <w:trPr>
          <w:trHeight w:hRule="exact" w:val="329"/>
          <w:jc w:val="center"/>
        </w:trPr>
        <w:tc>
          <w:tcPr>
            <w:tcW w:w="6225" w:type="dxa"/>
            <w:noWrap/>
            <w:hideMark/>
          </w:tcPr>
          <w:p w14:paraId="0D022EA1" w14:textId="052E1108" w:rsidR="0018604C" w:rsidRPr="00D06E2E" w:rsidRDefault="00216EDE" w:rsidP="008F61B3">
            <w:pPr>
              <w:pStyle w:val="ListParagraph"/>
              <w:numPr>
                <w:ilvl w:val="0"/>
                <w:numId w:val="17"/>
              </w:numPr>
              <w:spacing w:after="0" w:line="256" w:lineRule="auto"/>
              <w:ind w:left="284" w:hanging="284"/>
              <w:contextualSpacing/>
              <w:rPr>
                <w:b/>
                <w:lang w:val="sr-Latn-RS"/>
              </w:rPr>
            </w:pPr>
            <w:r w:rsidRPr="00D06E2E">
              <w:rPr>
                <w:b/>
                <w:lang w:val="sr-Latn-RS"/>
              </w:rPr>
              <w:t>Gender equality and rights of LGBTI persons</w:t>
            </w:r>
          </w:p>
        </w:tc>
        <w:tc>
          <w:tcPr>
            <w:tcW w:w="990" w:type="dxa"/>
            <w:noWrap/>
          </w:tcPr>
          <w:p w14:paraId="27C38432" w14:textId="77777777" w:rsidR="0018604C" w:rsidRPr="00D06E2E" w:rsidRDefault="0018604C" w:rsidP="00556F2C">
            <w:pPr>
              <w:spacing w:after="0"/>
              <w:jc w:val="center"/>
              <w:rPr>
                <w:rFonts w:cs="Times New Roman"/>
                <w:b/>
                <w:color w:val="000000" w:themeColor="text1"/>
                <w:lang w:val="sr-Latn-RS"/>
              </w:rPr>
            </w:pPr>
            <w:r w:rsidRPr="00D06E2E">
              <w:rPr>
                <w:rFonts w:cs="Times New Roman"/>
                <w:b/>
                <w:color w:val="000000" w:themeColor="text1"/>
                <w:lang w:val="sr-Latn-RS"/>
              </w:rPr>
              <w:t>83</w:t>
            </w:r>
          </w:p>
        </w:tc>
        <w:tc>
          <w:tcPr>
            <w:tcW w:w="1440" w:type="dxa"/>
            <w:noWrap/>
          </w:tcPr>
          <w:p w14:paraId="12B3445D" w14:textId="558A09EF" w:rsidR="0018604C" w:rsidRPr="00D06E2E" w:rsidRDefault="00216EDE" w:rsidP="00556F2C">
            <w:pPr>
              <w:spacing w:after="0"/>
              <w:jc w:val="center"/>
              <w:rPr>
                <w:rFonts w:cs="Times New Roman"/>
                <w:b/>
                <w:bCs/>
                <w:lang w:val="sr-Latn-RS"/>
              </w:rPr>
            </w:pPr>
            <w:r w:rsidRPr="00D06E2E">
              <w:rPr>
                <w:rFonts w:cs="Times New Roman"/>
                <w:b/>
                <w:bCs/>
                <w:lang w:val="sr-Latn-RS"/>
              </w:rPr>
              <w:t>1.</w:t>
            </w:r>
            <w:r w:rsidR="0018604C" w:rsidRPr="00D06E2E">
              <w:rPr>
                <w:rFonts w:cs="Times New Roman"/>
                <w:b/>
                <w:bCs/>
                <w:lang w:val="sr-Latn-RS"/>
              </w:rPr>
              <w:t>87%</w:t>
            </w:r>
          </w:p>
        </w:tc>
      </w:tr>
      <w:tr w:rsidR="0018604C" w:rsidRPr="00D06E2E" w14:paraId="6D8BDDC5" w14:textId="77777777" w:rsidTr="006576C8">
        <w:trPr>
          <w:trHeight w:hRule="exact" w:val="329"/>
          <w:jc w:val="center"/>
        </w:trPr>
        <w:tc>
          <w:tcPr>
            <w:tcW w:w="6225" w:type="dxa"/>
            <w:noWrap/>
            <w:hideMark/>
          </w:tcPr>
          <w:p w14:paraId="2D68C5D0" w14:textId="0FA8CEF5" w:rsidR="0018604C" w:rsidRPr="00D06E2E" w:rsidRDefault="00216EDE" w:rsidP="008F61B3">
            <w:pPr>
              <w:pStyle w:val="ListParagraph"/>
              <w:numPr>
                <w:ilvl w:val="0"/>
                <w:numId w:val="17"/>
              </w:numPr>
              <w:spacing w:after="0" w:line="256" w:lineRule="auto"/>
              <w:ind w:left="303" w:hanging="303"/>
              <w:contextualSpacing/>
              <w:rPr>
                <w:b/>
                <w:lang w:val="sr-Latn-RS"/>
              </w:rPr>
            </w:pPr>
            <w:r w:rsidRPr="00D06E2E">
              <w:rPr>
                <w:b/>
                <w:lang w:val="sr-Latn-RS"/>
              </w:rPr>
              <w:lastRenderedPageBreak/>
              <w:t>Rights of national minorities</w:t>
            </w:r>
          </w:p>
        </w:tc>
        <w:tc>
          <w:tcPr>
            <w:tcW w:w="990" w:type="dxa"/>
            <w:noWrap/>
          </w:tcPr>
          <w:p w14:paraId="27798AF1" w14:textId="77777777" w:rsidR="0018604C" w:rsidRPr="00D06E2E" w:rsidRDefault="0018604C" w:rsidP="00556F2C">
            <w:pPr>
              <w:spacing w:after="0"/>
              <w:jc w:val="center"/>
              <w:rPr>
                <w:rFonts w:cs="Times New Roman"/>
                <w:b/>
                <w:color w:val="000000" w:themeColor="text1"/>
                <w:lang w:val="sr-Latn-RS"/>
              </w:rPr>
            </w:pPr>
            <w:r w:rsidRPr="00D06E2E">
              <w:rPr>
                <w:rFonts w:cs="Times New Roman"/>
                <w:b/>
                <w:color w:val="000000" w:themeColor="text1"/>
                <w:lang w:val="sr-Latn-RS"/>
              </w:rPr>
              <w:t>34</w:t>
            </w:r>
          </w:p>
        </w:tc>
        <w:tc>
          <w:tcPr>
            <w:tcW w:w="1440" w:type="dxa"/>
            <w:noWrap/>
          </w:tcPr>
          <w:p w14:paraId="7CD409E0" w14:textId="1CF71613" w:rsidR="0018604C" w:rsidRPr="00D06E2E" w:rsidRDefault="00216EDE" w:rsidP="00556F2C">
            <w:pPr>
              <w:spacing w:after="0"/>
              <w:jc w:val="center"/>
              <w:rPr>
                <w:rFonts w:cs="Times New Roman"/>
                <w:b/>
                <w:bCs/>
                <w:lang w:val="sr-Latn-RS"/>
              </w:rPr>
            </w:pPr>
            <w:r w:rsidRPr="00D06E2E">
              <w:rPr>
                <w:rFonts w:cs="Times New Roman"/>
                <w:b/>
                <w:bCs/>
                <w:lang w:val="sr-Latn-RS"/>
              </w:rPr>
              <w:t>0.</w:t>
            </w:r>
            <w:r w:rsidR="0018604C" w:rsidRPr="00D06E2E">
              <w:rPr>
                <w:rFonts w:cs="Times New Roman"/>
                <w:b/>
                <w:bCs/>
                <w:lang w:val="sr-Latn-RS"/>
              </w:rPr>
              <w:t>77%</w:t>
            </w:r>
          </w:p>
        </w:tc>
      </w:tr>
      <w:tr w:rsidR="0018604C" w:rsidRPr="00D06E2E" w14:paraId="3D378731" w14:textId="77777777" w:rsidTr="006576C8">
        <w:trPr>
          <w:trHeight w:hRule="exact" w:val="329"/>
          <w:jc w:val="center"/>
        </w:trPr>
        <w:tc>
          <w:tcPr>
            <w:tcW w:w="6225" w:type="dxa"/>
            <w:noWrap/>
          </w:tcPr>
          <w:p w14:paraId="29C7B119" w14:textId="30F31386" w:rsidR="0018604C" w:rsidRPr="00D06E2E" w:rsidRDefault="00216EDE" w:rsidP="008F61B3">
            <w:pPr>
              <w:pStyle w:val="ListParagraph"/>
              <w:numPr>
                <w:ilvl w:val="0"/>
                <w:numId w:val="17"/>
              </w:numPr>
              <w:spacing w:after="0" w:line="256" w:lineRule="auto"/>
              <w:ind w:left="303" w:hanging="303"/>
              <w:contextualSpacing/>
              <w:rPr>
                <w:b/>
                <w:lang w:val="sr-Latn-RS"/>
              </w:rPr>
            </w:pPr>
            <w:r w:rsidRPr="00D06E2E">
              <w:rPr>
                <w:b/>
                <w:lang w:val="sr-Latn-RS"/>
              </w:rPr>
              <w:t>Human trafficking</w:t>
            </w:r>
          </w:p>
        </w:tc>
        <w:tc>
          <w:tcPr>
            <w:tcW w:w="990" w:type="dxa"/>
            <w:noWrap/>
          </w:tcPr>
          <w:p w14:paraId="6CE1E086" w14:textId="77777777" w:rsidR="0018604C" w:rsidRPr="00D06E2E" w:rsidRDefault="0018604C" w:rsidP="00556F2C">
            <w:pPr>
              <w:spacing w:after="0"/>
              <w:jc w:val="center"/>
              <w:rPr>
                <w:rFonts w:cs="Times New Roman"/>
                <w:b/>
                <w:color w:val="000000" w:themeColor="text1"/>
                <w:lang w:val="sr-Latn-RS"/>
              </w:rPr>
            </w:pPr>
            <w:r w:rsidRPr="00D06E2E">
              <w:rPr>
                <w:rFonts w:cs="Times New Roman"/>
                <w:b/>
                <w:color w:val="000000" w:themeColor="text1"/>
                <w:lang w:val="sr-Latn-RS"/>
              </w:rPr>
              <w:t>4</w:t>
            </w:r>
          </w:p>
        </w:tc>
        <w:tc>
          <w:tcPr>
            <w:tcW w:w="1440" w:type="dxa"/>
            <w:noWrap/>
          </w:tcPr>
          <w:p w14:paraId="306F69B8" w14:textId="1C938108" w:rsidR="0018604C" w:rsidRPr="00D06E2E" w:rsidRDefault="00216EDE" w:rsidP="00556F2C">
            <w:pPr>
              <w:spacing w:after="0"/>
              <w:jc w:val="center"/>
              <w:rPr>
                <w:rFonts w:cs="Times New Roman"/>
                <w:b/>
                <w:bCs/>
                <w:lang w:val="sr-Latn-RS"/>
              </w:rPr>
            </w:pPr>
            <w:r w:rsidRPr="00D06E2E">
              <w:rPr>
                <w:rFonts w:cs="Times New Roman"/>
                <w:b/>
                <w:bCs/>
                <w:lang w:val="sr-Latn-RS"/>
              </w:rPr>
              <w:t>0.</w:t>
            </w:r>
            <w:r w:rsidR="0018604C" w:rsidRPr="00D06E2E">
              <w:rPr>
                <w:rFonts w:cs="Times New Roman"/>
                <w:b/>
                <w:bCs/>
                <w:lang w:val="sr-Latn-RS"/>
              </w:rPr>
              <w:t>09%</w:t>
            </w:r>
          </w:p>
        </w:tc>
      </w:tr>
      <w:tr w:rsidR="0018604C" w:rsidRPr="00D06E2E" w14:paraId="4BB9DFE9" w14:textId="77777777" w:rsidTr="006576C8">
        <w:trPr>
          <w:trHeight w:hRule="exact" w:val="329"/>
          <w:jc w:val="center"/>
        </w:trPr>
        <w:tc>
          <w:tcPr>
            <w:tcW w:w="6225" w:type="dxa"/>
            <w:noWrap/>
            <w:hideMark/>
          </w:tcPr>
          <w:p w14:paraId="164A4A5B" w14:textId="0BF232C9" w:rsidR="0018604C" w:rsidRPr="00D06E2E" w:rsidRDefault="0018604C" w:rsidP="00216EDE">
            <w:pPr>
              <w:pStyle w:val="ListParagraph"/>
              <w:numPr>
                <w:ilvl w:val="0"/>
                <w:numId w:val="17"/>
              </w:numPr>
              <w:spacing w:after="0" w:line="256" w:lineRule="auto"/>
              <w:ind w:left="303" w:hanging="303"/>
              <w:contextualSpacing/>
              <w:rPr>
                <w:b/>
                <w:lang w:val="sr-Latn-RS"/>
              </w:rPr>
            </w:pPr>
            <w:r w:rsidRPr="00D06E2E">
              <w:rPr>
                <w:b/>
                <w:lang w:val="sr-Latn-RS"/>
              </w:rPr>
              <w:t xml:space="preserve"> </w:t>
            </w:r>
            <w:r w:rsidR="00216EDE" w:rsidRPr="00D06E2E">
              <w:rPr>
                <w:b/>
                <w:lang w:val="sr-Latn-RS"/>
              </w:rPr>
              <w:t>Other</w:t>
            </w:r>
          </w:p>
        </w:tc>
        <w:tc>
          <w:tcPr>
            <w:tcW w:w="990" w:type="dxa"/>
            <w:noWrap/>
          </w:tcPr>
          <w:p w14:paraId="3B133995" w14:textId="77777777" w:rsidR="0018604C" w:rsidRPr="00D06E2E" w:rsidRDefault="0018604C" w:rsidP="00556F2C">
            <w:pPr>
              <w:spacing w:after="0"/>
              <w:jc w:val="center"/>
              <w:rPr>
                <w:rFonts w:cs="Times New Roman"/>
                <w:b/>
                <w:color w:val="000000" w:themeColor="text1"/>
                <w:lang w:val="sr-Latn-RS"/>
              </w:rPr>
            </w:pPr>
            <w:r w:rsidRPr="00D06E2E">
              <w:rPr>
                <w:rFonts w:cs="Times New Roman"/>
                <w:b/>
                <w:color w:val="000000" w:themeColor="text1"/>
                <w:lang w:val="sr-Latn-RS"/>
              </w:rPr>
              <w:t>69</w:t>
            </w:r>
          </w:p>
        </w:tc>
        <w:tc>
          <w:tcPr>
            <w:tcW w:w="1440" w:type="dxa"/>
            <w:noWrap/>
          </w:tcPr>
          <w:p w14:paraId="6B94EFA1" w14:textId="38D0B509" w:rsidR="0018604C" w:rsidRPr="00D06E2E" w:rsidRDefault="0018604C" w:rsidP="00FC476F">
            <w:pPr>
              <w:spacing w:after="0"/>
              <w:jc w:val="center"/>
              <w:rPr>
                <w:rFonts w:cs="Times New Roman"/>
                <w:b/>
                <w:bCs/>
                <w:lang w:val="sr-Latn-RS"/>
              </w:rPr>
            </w:pPr>
            <w:r w:rsidRPr="00D06E2E">
              <w:rPr>
                <w:rFonts w:cs="Times New Roman"/>
                <w:b/>
                <w:bCs/>
                <w:lang w:val="sr-Latn-RS"/>
              </w:rPr>
              <w:t>1</w:t>
            </w:r>
            <w:r w:rsidR="00216EDE" w:rsidRPr="00D06E2E">
              <w:rPr>
                <w:rFonts w:cs="Times New Roman"/>
                <w:b/>
                <w:bCs/>
                <w:lang w:val="sr-Latn-RS"/>
              </w:rPr>
              <w:t>.</w:t>
            </w:r>
            <w:r w:rsidRPr="00D06E2E">
              <w:rPr>
                <w:rFonts w:cs="Times New Roman"/>
                <w:b/>
                <w:bCs/>
                <w:lang w:val="sr-Latn-RS"/>
              </w:rPr>
              <w:t>56%</w:t>
            </w:r>
          </w:p>
        </w:tc>
      </w:tr>
      <w:tr w:rsidR="0018604C" w:rsidRPr="00D06E2E" w14:paraId="583EAFFD" w14:textId="77777777" w:rsidTr="006576C8">
        <w:trPr>
          <w:trHeight w:hRule="exact" w:val="329"/>
          <w:jc w:val="center"/>
        </w:trPr>
        <w:tc>
          <w:tcPr>
            <w:tcW w:w="6225" w:type="dxa"/>
            <w:noWrap/>
          </w:tcPr>
          <w:p w14:paraId="34CFC131" w14:textId="7EA510AC" w:rsidR="0018604C" w:rsidRPr="00D06E2E" w:rsidRDefault="0018604C" w:rsidP="00216EDE">
            <w:pPr>
              <w:pStyle w:val="ListParagraph"/>
              <w:numPr>
                <w:ilvl w:val="1"/>
                <w:numId w:val="17"/>
              </w:numPr>
              <w:spacing w:after="0" w:line="256" w:lineRule="auto"/>
              <w:ind w:left="447" w:hanging="447"/>
              <w:contextualSpacing/>
              <w:rPr>
                <w:lang w:val="sr-Latn-RS"/>
              </w:rPr>
            </w:pPr>
            <w:r w:rsidRPr="00D06E2E">
              <w:rPr>
                <w:lang w:val="sr-Latn-RS"/>
              </w:rPr>
              <w:t xml:space="preserve"> </w:t>
            </w:r>
            <w:r w:rsidR="00216EDE" w:rsidRPr="00D06E2E">
              <w:rPr>
                <w:lang w:val="sr-Latn-RS"/>
              </w:rPr>
              <w:t>Independent public authorities and bodies</w:t>
            </w:r>
          </w:p>
        </w:tc>
        <w:tc>
          <w:tcPr>
            <w:tcW w:w="990" w:type="dxa"/>
            <w:noWrap/>
          </w:tcPr>
          <w:p w14:paraId="21333C96"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59</w:t>
            </w:r>
          </w:p>
        </w:tc>
        <w:tc>
          <w:tcPr>
            <w:tcW w:w="1440" w:type="dxa"/>
            <w:noWrap/>
          </w:tcPr>
          <w:p w14:paraId="45A7FA6B" w14:textId="5CEFF4D4" w:rsidR="0018604C" w:rsidRPr="00D06E2E" w:rsidRDefault="00216EDE" w:rsidP="00556F2C">
            <w:pPr>
              <w:spacing w:after="0"/>
              <w:jc w:val="center"/>
              <w:rPr>
                <w:rFonts w:cs="Times New Roman"/>
                <w:bCs/>
                <w:lang w:val="sr-Latn-RS"/>
              </w:rPr>
            </w:pPr>
            <w:r w:rsidRPr="00D06E2E">
              <w:rPr>
                <w:rFonts w:cs="Times New Roman"/>
                <w:bCs/>
                <w:lang w:val="sr-Latn-RS"/>
              </w:rPr>
              <w:t>85.</w:t>
            </w:r>
            <w:r w:rsidR="00184A5C" w:rsidRPr="00D06E2E">
              <w:rPr>
                <w:rFonts w:cs="Times New Roman"/>
                <w:bCs/>
                <w:lang w:val="sr-Latn-RS"/>
              </w:rPr>
              <w:t>50</w:t>
            </w:r>
            <w:r w:rsidR="005D2EC6" w:rsidRPr="00D06E2E">
              <w:rPr>
                <w:rFonts w:cs="Times New Roman"/>
                <w:bCs/>
                <w:lang w:val="sr-Latn-RS"/>
              </w:rPr>
              <w:t>%</w:t>
            </w:r>
          </w:p>
        </w:tc>
      </w:tr>
      <w:tr w:rsidR="0018604C" w:rsidRPr="00D06E2E" w14:paraId="466BD0C7" w14:textId="77777777" w:rsidTr="006576C8">
        <w:trPr>
          <w:trHeight w:hRule="exact" w:val="329"/>
          <w:jc w:val="center"/>
        </w:trPr>
        <w:tc>
          <w:tcPr>
            <w:tcW w:w="6225" w:type="dxa"/>
            <w:noWrap/>
            <w:hideMark/>
          </w:tcPr>
          <w:p w14:paraId="77F263EF" w14:textId="414A6BA5" w:rsidR="0018604C" w:rsidRPr="00D06E2E" w:rsidRDefault="0018604C" w:rsidP="00216EDE">
            <w:pPr>
              <w:pStyle w:val="ListParagraph"/>
              <w:numPr>
                <w:ilvl w:val="1"/>
                <w:numId w:val="17"/>
              </w:numPr>
              <w:spacing w:after="0" w:line="256" w:lineRule="auto"/>
              <w:ind w:left="447" w:hanging="447"/>
              <w:contextualSpacing/>
              <w:rPr>
                <w:lang w:val="sr-Latn-RS"/>
              </w:rPr>
            </w:pPr>
            <w:r w:rsidRPr="00D06E2E">
              <w:rPr>
                <w:lang w:val="sr-Latn-RS"/>
              </w:rPr>
              <w:t xml:space="preserve"> </w:t>
            </w:r>
            <w:r w:rsidR="00216EDE" w:rsidRPr="00D06E2E">
              <w:rPr>
                <w:lang w:val="sr-Latn-RS"/>
              </w:rPr>
              <w:t>Security services</w:t>
            </w:r>
          </w:p>
        </w:tc>
        <w:tc>
          <w:tcPr>
            <w:tcW w:w="990" w:type="dxa"/>
            <w:noWrap/>
          </w:tcPr>
          <w:p w14:paraId="28F0BEAA"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6</w:t>
            </w:r>
          </w:p>
        </w:tc>
        <w:tc>
          <w:tcPr>
            <w:tcW w:w="1440" w:type="dxa"/>
            <w:noWrap/>
          </w:tcPr>
          <w:p w14:paraId="36CF3688" w14:textId="4DC46E03" w:rsidR="0018604C" w:rsidRPr="00D06E2E" w:rsidRDefault="00216EDE" w:rsidP="00FC476F">
            <w:pPr>
              <w:spacing w:after="0"/>
              <w:jc w:val="center"/>
              <w:rPr>
                <w:rFonts w:cs="Times New Roman"/>
                <w:bCs/>
                <w:lang w:val="sr-Latn-RS"/>
              </w:rPr>
            </w:pPr>
            <w:r w:rsidRPr="00D06E2E">
              <w:rPr>
                <w:rFonts w:cs="Times New Roman"/>
                <w:bCs/>
                <w:lang w:val="sr-Latn-RS"/>
              </w:rPr>
              <w:t>8.</w:t>
            </w:r>
            <w:r w:rsidR="005D2EC6" w:rsidRPr="00D06E2E">
              <w:rPr>
                <w:rFonts w:cs="Times New Roman"/>
                <w:bCs/>
                <w:lang w:val="sr-Latn-RS"/>
              </w:rPr>
              <w:t>70</w:t>
            </w:r>
            <w:r w:rsidR="0018604C" w:rsidRPr="00D06E2E">
              <w:rPr>
                <w:rFonts w:cs="Times New Roman"/>
                <w:bCs/>
                <w:lang w:val="sr-Latn-RS"/>
              </w:rPr>
              <w:t>%</w:t>
            </w:r>
          </w:p>
        </w:tc>
      </w:tr>
      <w:tr w:rsidR="0018604C" w:rsidRPr="00D06E2E" w14:paraId="4529F36F" w14:textId="77777777" w:rsidTr="006576C8">
        <w:trPr>
          <w:trHeight w:hRule="exact" w:val="329"/>
          <w:jc w:val="center"/>
        </w:trPr>
        <w:tc>
          <w:tcPr>
            <w:tcW w:w="6225" w:type="dxa"/>
            <w:noWrap/>
          </w:tcPr>
          <w:p w14:paraId="3135462C" w14:textId="54EFB5C8" w:rsidR="0018604C" w:rsidRPr="00D06E2E" w:rsidRDefault="0018604C" w:rsidP="00216EDE">
            <w:pPr>
              <w:pStyle w:val="ListParagraph"/>
              <w:numPr>
                <w:ilvl w:val="1"/>
                <w:numId w:val="17"/>
              </w:numPr>
              <w:spacing w:after="0" w:line="256" w:lineRule="auto"/>
              <w:ind w:left="447" w:hanging="447"/>
              <w:contextualSpacing/>
              <w:rPr>
                <w:lang w:val="sr-Latn-RS"/>
              </w:rPr>
            </w:pPr>
            <w:r w:rsidRPr="00D06E2E">
              <w:rPr>
                <w:lang w:val="sr-Latn-RS"/>
              </w:rPr>
              <w:t xml:space="preserve"> </w:t>
            </w:r>
            <w:r w:rsidR="00216EDE" w:rsidRPr="00D06E2E">
              <w:rPr>
                <w:lang w:val="sr-Latn-RS"/>
              </w:rPr>
              <w:t>Protection of whistleblowers</w:t>
            </w:r>
          </w:p>
        </w:tc>
        <w:tc>
          <w:tcPr>
            <w:tcW w:w="990" w:type="dxa"/>
            <w:noWrap/>
          </w:tcPr>
          <w:p w14:paraId="63D1E4B1" w14:textId="77777777" w:rsidR="0018604C" w:rsidRPr="00D06E2E" w:rsidRDefault="0018604C" w:rsidP="00556F2C">
            <w:pPr>
              <w:spacing w:after="0"/>
              <w:jc w:val="center"/>
              <w:rPr>
                <w:rFonts w:cs="Times New Roman"/>
                <w:color w:val="000000" w:themeColor="text1"/>
                <w:lang w:val="sr-Latn-RS"/>
              </w:rPr>
            </w:pPr>
            <w:r w:rsidRPr="00D06E2E">
              <w:rPr>
                <w:rFonts w:cs="Times New Roman"/>
                <w:color w:val="000000" w:themeColor="text1"/>
                <w:lang w:val="sr-Latn-RS"/>
              </w:rPr>
              <w:t>4</w:t>
            </w:r>
          </w:p>
        </w:tc>
        <w:tc>
          <w:tcPr>
            <w:tcW w:w="1440" w:type="dxa"/>
            <w:noWrap/>
          </w:tcPr>
          <w:p w14:paraId="063F4AEC" w14:textId="17BA1A4F" w:rsidR="0018604C" w:rsidRPr="00D06E2E" w:rsidRDefault="00216EDE" w:rsidP="00FC476F">
            <w:pPr>
              <w:spacing w:after="0"/>
              <w:jc w:val="center"/>
              <w:rPr>
                <w:rFonts w:cs="Times New Roman"/>
                <w:bCs/>
                <w:lang w:val="sr-Latn-RS"/>
              </w:rPr>
            </w:pPr>
            <w:r w:rsidRPr="00D06E2E">
              <w:rPr>
                <w:rFonts w:cs="Times New Roman"/>
                <w:bCs/>
                <w:lang w:val="sr-Latn-RS"/>
              </w:rPr>
              <w:t>5.</w:t>
            </w:r>
            <w:r w:rsidR="005D2EC6" w:rsidRPr="00D06E2E">
              <w:rPr>
                <w:rFonts w:cs="Times New Roman"/>
                <w:bCs/>
                <w:lang w:val="sr-Latn-RS"/>
              </w:rPr>
              <w:t>80</w:t>
            </w:r>
            <w:r w:rsidR="0018604C" w:rsidRPr="00D06E2E">
              <w:rPr>
                <w:rFonts w:cs="Times New Roman"/>
                <w:bCs/>
                <w:lang w:val="sr-Latn-RS"/>
              </w:rPr>
              <w:t>%</w:t>
            </w:r>
          </w:p>
        </w:tc>
      </w:tr>
      <w:tr w:rsidR="0018604C" w:rsidRPr="00D06E2E" w14:paraId="1E111DE5" w14:textId="77777777" w:rsidTr="006576C8">
        <w:trPr>
          <w:trHeight w:hRule="exact" w:val="329"/>
          <w:jc w:val="center"/>
        </w:trPr>
        <w:tc>
          <w:tcPr>
            <w:tcW w:w="6225" w:type="dxa"/>
            <w:noWrap/>
            <w:hideMark/>
          </w:tcPr>
          <w:p w14:paraId="756CCFE6" w14:textId="2EB75311" w:rsidR="0018604C" w:rsidRPr="00D06E2E" w:rsidRDefault="00216EDE" w:rsidP="00556F2C">
            <w:pPr>
              <w:spacing w:after="0"/>
              <w:rPr>
                <w:rFonts w:cs="Times New Roman"/>
                <w:b/>
                <w:lang w:val="sr-Latn-RS"/>
              </w:rPr>
            </w:pPr>
            <w:r w:rsidRPr="00D06E2E">
              <w:rPr>
                <w:rFonts w:cs="Times New Roman"/>
                <w:b/>
                <w:lang w:val="sr-Latn-RS"/>
              </w:rPr>
              <w:t>Total</w:t>
            </w:r>
          </w:p>
        </w:tc>
        <w:tc>
          <w:tcPr>
            <w:tcW w:w="990" w:type="dxa"/>
            <w:noWrap/>
          </w:tcPr>
          <w:p w14:paraId="6A709DF1" w14:textId="0A2A4C5D" w:rsidR="0018604C" w:rsidRPr="00D06E2E" w:rsidRDefault="00216EDE" w:rsidP="00556F2C">
            <w:pPr>
              <w:spacing w:after="0"/>
              <w:jc w:val="center"/>
              <w:rPr>
                <w:rFonts w:cs="Times New Roman"/>
                <w:b/>
                <w:lang w:val="sr-Latn-RS"/>
              </w:rPr>
            </w:pPr>
            <w:r w:rsidRPr="00D06E2E">
              <w:rPr>
                <w:rFonts w:cs="Times New Roman"/>
                <w:b/>
                <w:lang w:val="sr-Latn-RS"/>
              </w:rPr>
              <w:t>4,</w:t>
            </w:r>
            <w:r w:rsidR="0018604C" w:rsidRPr="00D06E2E">
              <w:rPr>
                <w:rFonts w:cs="Times New Roman"/>
                <w:b/>
                <w:lang w:val="sr-Latn-RS"/>
              </w:rPr>
              <w:t>425</w:t>
            </w:r>
          </w:p>
        </w:tc>
        <w:tc>
          <w:tcPr>
            <w:tcW w:w="1440" w:type="dxa"/>
            <w:noWrap/>
          </w:tcPr>
          <w:p w14:paraId="7D681C42" w14:textId="77777777" w:rsidR="0018604C" w:rsidRPr="00D06E2E" w:rsidRDefault="0018604C" w:rsidP="00556F2C">
            <w:pPr>
              <w:spacing w:after="0"/>
              <w:jc w:val="center"/>
              <w:rPr>
                <w:rFonts w:cs="Times New Roman"/>
                <w:b/>
                <w:bCs/>
                <w:lang w:val="sr-Latn-RS"/>
              </w:rPr>
            </w:pPr>
            <w:r w:rsidRPr="00D06E2E">
              <w:rPr>
                <w:rFonts w:cs="Times New Roman"/>
                <w:b/>
                <w:bCs/>
                <w:lang w:val="sr-Latn-RS"/>
              </w:rPr>
              <w:t>100%</w:t>
            </w:r>
          </w:p>
        </w:tc>
      </w:tr>
    </w:tbl>
    <w:p w14:paraId="11B48EDF" w14:textId="77777777" w:rsidR="0018604C" w:rsidRPr="00D06E2E" w:rsidRDefault="0018604C" w:rsidP="0018604C">
      <w:pPr>
        <w:keepNext/>
        <w:jc w:val="center"/>
        <w:rPr>
          <w:rFonts w:cs="Times New Roman"/>
          <w:i/>
          <w:sz w:val="20"/>
          <w:szCs w:val="18"/>
          <w:lang w:val="sr-Latn-RS"/>
        </w:rPr>
      </w:pPr>
    </w:p>
    <w:p w14:paraId="56D9A8B9" w14:textId="0AB90717" w:rsidR="0018604C" w:rsidRPr="00D06E2E" w:rsidRDefault="00216EDE" w:rsidP="0018604C">
      <w:pPr>
        <w:keepNext/>
        <w:jc w:val="center"/>
        <w:rPr>
          <w:rFonts w:cs="Arial"/>
          <w:b/>
          <w:iCs/>
          <w:lang w:val="sr-Latn-RS"/>
        </w:rPr>
      </w:pPr>
      <w:r w:rsidRPr="00D06E2E">
        <w:rPr>
          <w:rFonts w:cs="Times New Roman"/>
          <w:b/>
          <w:iCs/>
          <w:szCs w:val="18"/>
          <w:lang w:val="sr-Latn-RS"/>
        </w:rPr>
        <w:t>Table</w:t>
      </w:r>
      <w:r w:rsidR="0018604C" w:rsidRPr="00D06E2E">
        <w:rPr>
          <w:rFonts w:cs="Times New Roman"/>
          <w:b/>
          <w:iCs/>
          <w:szCs w:val="18"/>
          <w:lang w:val="sr-Latn-RS"/>
        </w:rPr>
        <w:t xml:space="preserve"> 6 - </w:t>
      </w:r>
      <w:r w:rsidRPr="00D06E2E">
        <w:rPr>
          <w:rFonts w:cs="Times New Roman"/>
          <w:b/>
          <w:bCs/>
          <w:iCs/>
          <w:szCs w:val="18"/>
          <w:lang w:val="sr-Latn-RS"/>
        </w:rPr>
        <w:t>The outcome of the handing of closed cases</w:t>
      </w:r>
      <w:r w:rsidRPr="00D06E2E">
        <w:rPr>
          <w:rStyle w:val="FootnoteReference"/>
          <w:b/>
          <w:iCs/>
          <w:lang w:val="sr-Latn-RS"/>
        </w:rPr>
        <w:t xml:space="preserve"> </w:t>
      </w:r>
      <w:r w:rsidR="0018604C" w:rsidRPr="00D06E2E">
        <w:rPr>
          <w:rStyle w:val="FootnoteReference"/>
          <w:b/>
          <w:iCs/>
          <w:lang w:val="sr-Latn-RS"/>
        </w:rPr>
        <w:footnoteReference w:id="44"/>
      </w:r>
      <w:r w:rsidR="0018604C" w:rsidRPr="00D06E2E">
        <w:rPr>
          <w:rFonts w:cs="Arial"/>
          <w:b/>
          <w:iCs/>
          <w:lang w:val="sr-Latn-RS"/>
        </w:rPr>
        <w:t xml:space="preserve"> </w:t>
      </w:r>
      <w:r w:rsidRPr="00D06E2E">
        <w:rPr>
          <w:rFonts w:cs="Arial"/>
          <w:b/>
          <w:iCs/>
          <w:lang w:val="sr-Latn-RS"/>
        </w:rPr>
        <w:t>from</w:t>
      </w:r>
      <w:r w:rsidR="0018604C" w:rsidRPr="00D06E2E">
        <w:rPr>
          <w:rFonts w:cs="Arial"/>
          <w:b/>
          <w:iCs/>
          <w:lang w:val="sr-Latn-RS"/>
        </w:rPr>
        <w:t xml:space="preserve"> 2023</w:t>
      </w:r>
    </w:p>
    <w:tbl>
      <w:tblPr>
        <w:tblW w:w="8688"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0A0" w:firstRow="1" w:lastRow="0" w:firstColumn="1" w:lastColumn="0" w:noHBand="0" w:noVBand="0"/>
      </w:tblPr>
      <w:tblGrid>
        <w:gridCol w:w="5670"/>
        <w:gridCol w:w="1954"/>
        <w:gridCol w:w="1064"/>
      </w:tblGrid>
      <w:tr w:rsidR="0018604C" w:rsidRPr="00D06E2E" w14:paraId="152ADED2" w14:textId="77777777" w:rsidTr="006576C8">
        <w:trPr>
          <w:trHeight w:hRule="exact" w:val="329"/>
          <w:jc w:val="center"/>
        </w:trPr>
        <w:tc>
          <w:tcPr>
            <w:tcW w:w="5670" w:type="dxa"/>
            <w:vAlign w:val="center"/>
            <w:hideMark/>
          </w:tcPr>
          <w:p w14:paraId="772AA562" w14:textId="29DA3330" w:rsidR="0018604C" w:rsidRPr="00D06E2E" w:rsidRDefault="00216EDE" w:rsidP="00556F2C">
            <w:pPr>
              <w:spacing w:after="0"/>
              <w:rPr>
                <w:rFonts w:cs="Arial"/>
                <w:b/>
                <w:lang w:val="sr-Latn-RS"/>
              </w:rPr>
            </w:pPr>
            <w:r w:rsidRPr="00D06E2E">
              <w:rPr>
                <w:rFonts w:cs="Arial"/>
                <w:b/>
                <w:lang w:val="sr-Latn-RS"/>
              </w:rPr>
              <w:t>Outcome</w:t>
            </w:r>
          </w:p>
        </w:tc>
        <w:tc>
          <w:tcPr>
            <w:tcW w:w="1954" w:type="dxa"/>
            <w:vAlign w:val="center"/>
            <w:hideMark/>
          </w:tcPr>
          <w:p w14:paraId="3A179B2F" w14:textId="4637727B" w:rsidR="0018604C" w:rsidRPr="00D06E2E" w:rsidRDefault="00216EDE" w:rsidP="00556F2C">
            <w:pPr>
              <w:spacing w:after="0"/>
              <w:jc w:val="center"/>
              <w:rPr>
                <w:rFonts w:cs="Times New Roman"/>
                <w:b/>
                <w:lang w:val="sr-Latn-RS"/>
              </w:rPr>
            </w:pPr>
            <w:r w:rsidRPr="00D06E2E">
              <w:rPr>
                <w:rFonts w:cs="Arial"/>
                <w:b/>
                <w:lang w:val="sr-Latn-RS"/>
              </w:rPr>
              <w:t>Number</w:t>
            </w:r>
          </w:p>
        </w:tc>
        <w:tc>
          <w:tcPr>
            <w:tcW w:w="1064" w:type="dxa"/>
            <w:vAlign w:val="bottom"/>
            <w:hideMark/>
          </w:tcPr>
          <w:p w14:paraId="36A93A35" w14:textId="77777777" w:rsidR="0018604C" w:rsidRPr="00D06E2E" w:rsidRDefault="0018604C" w:rsidP="00556F2C">
            <w:pPr>
              <w:spacing w:after="0"/>
              <w:jc w:val="center"/>
              <w:rPr>
                <w:rFonts w:cs="Times New Roman"/>
                <w:b/>
                <w:lang w:val="sr-Latn-RS"/>
              </w:rPr>
            </w:pPr>
            <w:r w:rsidRPr="00D06E2E">
              <w:rPr>
                <w:rFonts w:cs="Arial"/>
                <w:b/>
                <w:bCs/>
                <w:lang w:val="sr-Latn-RS"/>
              </w:rPr>
              <w:t>%</w:t>
            </w:r>
          </w:p>
        </w:tc>
      </w:tr>
      <w:tr w:rsidR="0018604C" w:rsidRPr="00D06E2E" w14:paraId="2EBAD0DB" w14:textId="77777777" w:rsidTr="006576C8">
        <w:trPr>
          <w:trHeight w:hRule="exact" w:val="329"/>
          <w:jc w:val="center"/>
        </w:trPr>
        <w:tc>
          <w:tcPr>
            <w:tcW w:w="5670" w:type="dxa"/>
            <w:vAlign w:val="center"/>
            <w:hideMark/>
          </w:tcPr>
          <w:p w14:paraId="28B2D06B" w14:textId="134F391F" w:rsidR="0018604C" w:rsidRPr="00D06E2E" w:rsidRDefault="0018604C" w:rsidP="00216EDE">
            <w:pPr>
              <w:spacing w:after="0"/>
              <w:rPr>
                <w:rFonts w:cs="Arial"/>
                <w:b/>
                <w:lang w:val="sr-Latn-RS"/>
              </w:rPr>
            </w:pPr>
            <w:r w:rsidRPr="00D06E2E">
              <w:rPr>
                <w:rFonts w:cs="Times New Roman"/>
                <w:b/>
                <w:szCs w:val="20"/>
                <w:lang w:val="sr-Latn-RS"/>
              </w:rPr>
              <w:t xml:space="preserve">1.  </w:t>
            </w:r>
            <w:r w:rsidR="00216EDE" w:rsidRPr="00D06E2E">
              <w:rPr>
                <w:rFonts w:cs="Times New Roman"/>
                <w:b/>
                <w:szCs w:val="20"/>
                <w:lang w:val="sr-Latn-RS"/>
              </w:rPr>
              <w:t>Inadmissible complaints</w:t>
            </w:r>
          </w:p>
        </w:tc>
        <w:tc>
          <w:tcPr>
            <w:tcW w:w="1954" w:type="dxa"/>
            <w:vAlign w:val="center"/>
          </w:tcPr>
          <w:p w14:paraId="6EF26033" w14:textId="152B35A5" w:rsidR="0018604C" w:rsidRPr="00D06E2E" w:rsidRDefault="00A77864" w:rsidP="00556F2C">
            <w:pPr>
              <w:spacing w:after="0"/>
              <w:jc w:val="center"/>
              <w:rPr>
                <w:rFonts w:cs="Times New Roman"/>
                <w:b/>
                <w:lang w:val="sr-Latn-RS"/>
              </w:rPr>
            </w:pPr>
            <w:r w:rsidRPr="00D06E2E">
              <w:rPr>
                <w:rFonts w:cs="Times New Roman"/>
                <w:b/>
                <w:lang w:val="sr-Latn-RS"/>
              </w:rPr>
              <w:t>2,</w:t>
            </w:r>
            <w:r w:rsidR="0018604C" w:rsidRPr="00D06E2E">
              <w:rPr>
                <w:rFonts w:cs="Times New Roman"/>
                <w:b/>
                <w:lang w:val="sr-Latn-RS"/>
              </w:rPr>
              <w:t>577</w:t>
            </w:r>
          </w:p>
        </w:tc>
        <w:tc>
          <w:tcPr>
            <w:tcW w:w="1064" w:type="dxa"/>
            <w:vAlign w:val="bottom"/>
          </w:tcPr>
          <w:p w14:paraId="636181BB" w14:textId="73E2F52E" w:rsidR="0018604C" w:rsidRPr="00D06E2E" w:rsidRDefault="00A77864" w:rsidP="00556F2C">
            <w:pPr>
              <w:spacing w:after="0"/>
              <w:jc w:val="center"/>
              <w:rPr>
                <w:rFonts w:cs="Times New Roman"/>
                <w:b/>
                <w:lang w:val="sr-Latn-RS"/>
              </w:rPr>
            </w:pPr>
            <w:r w:rsidRPr="00D06E2E">
              <w:rPr>
                <w:rFonts w:cs="Times New Roman"/>
                <w:b/>
                <w:lang w:val="sr-Latn-RS"/>
              </w:rPr>
              <w:t>65.</w:t>
            </w:r>
            <w:r w:rsidR="0018604C" w:rsidRPr="00D06E2E">
              <w:rPr>
                <w:rFonts w:cs="Times New Roman"/>
                <w:b/>
                <w:lang w:val="sr-Latn-RS"/>
              </w:rPr>
              <w:t>49%</w:t>
            </w:r>
          </w:p>
        </w:tc>
      </w:tr>
      <w:tr w:rsidR="0018604C" w:rsidRPr="00D06E2E" w14:paraId="64DD8D3C" w14:textId="77777777" w:rsidTr="006576C8">
        <w:trPr>
          <w:trHeight w:hRule="exact" w:val="329"/>
          <w:jc w:val="center"/>
        </w:trPr>
        <w:tc>
          <w:tcPr>
            <w:tcW w:w="5670" w:type="dxa"/>
            <w:vAlign w:val="center"/>
          </w:tcPr>
          <w:p w14:paraId="4FEB26F1" w14:textId="3252138A" w:rsidR="0018604C" w:rsidRPr="00D06E2E" w:rsidRDefault="0018604C" w:rsidP="00216EDE">
            <w:pPr>
              <w:spacing w:after="0"/>
              <w:rPr>
                <w:lang w:val="sr-Latn-RS"/>
              </w:rPr>
            </w:pPr>
            <w:r w:rsidRPr="00D06E2E">
              <w:rPr>
                <w:lang w:val="sr-Latn-RS"/>
              </w:rPr>
              <w:t xml:space="preserve">1.1. </w:t>
            </w:r>
            <w:r w:rsidR="00216EDE" w:rsidRPr="00D06E2E">
              <w:rPr>
                <w:lang w:val="sr-Latn-RS"/>
              </w:rPr>
              <w:t>Unused legal remedies</w:t>
            </w:r>
          </w:p>
        </w:tc>
        <w:tc>
          <w:tcPr>
            <w:tcW w:w="1954" w:type="dxa"/>
            <w:vAlign w:val="center"/>
          </w:tcPr>
          <w:p w14:paraId="0B41CD09" w14:textId="41DF0DFD" w:rsidR="0018604C" w:rsidRPr="00D06E2E" w:rsidRDefault="00A77864" w:rsidP="00556F2C">
            <w:pPr>
              <w:spacing w:after="0"/>
              <w:jc w:val="center"/>
              <w:rPr>
                <w:rFonts w:cs="Times New Roman"/>
                <w:lang w:val="sr-Latn-RS"/>
              </w:rPr>
            </w:pPr>
            <w:r w:rsidRPr="00D06E2E">
              <w:rPr>
                <w:rFonts w:cs="Times New Roman"/>
                <w:lang w:val="sr-Latn-RS"/>
              </w:rPr>
              <w:t>1,</w:t>
            </w:r>
            <w:r w:rsidR="0018604C" w:rsidRPr="00D06E2E">
              <w:rPr>
                <w:rFonts w:cs="Times New Roman"/>
                <w:lang w:val="sr-Latn-RS"/>
              </w:rPr>
              <w:t>013</w:t>
            </w:r>
          </w:p>
        </w:tc>
        <w:tc>
          <w:tcPr>
            <w:tcW w:w="1064" w:type="dxa"/>
            <w:vAlign w:val="bottom"/>
          </w:tcPr>
          <w:p w14:paraId="766391CE" w14:textId="018CC77E" w:rsidR="0018604C" w:rsidRPr="00D06E2E" w:rsidRDefault="00A77864" w:rsidP="00556F2C">
            <w:pPr>
              <w:spacing w:after="0"/>
              <w:jc w:val="center"/>
              <w:rPr>
                <w:rFonts w:cs="Times New Roman"/>
                <w:lang w:val="sr-Latn-RS"/>
              </w:rPr>
            </w:pPr>
            <w:r w:rsidRPr="00D06E2E">
              <w:rPr>
                <w:rFonts w:cs="Times New Roman"/>
                <w:lang w:val="sr-Latn-RS"/>
              </w:rPr>
              <w:t>39.</w:t>
            </w:r>
            <w:r w:rsidR="00184A5C" w:rsidRPr="00D06E2E">
              <w:rPr>
                <w:rFonts w:cs="Times New Roman"/>
                <w:lang w:val="sr-Latn-RS"/>
              </w:rPr>
              <w:t>30</w:t>
            </w:r>
            <w:r w:rsidR="0018604C" w:rsidRPr="00D06E2E">
              <w:rPr>
                <w:rFonts w:cs="Times New Roman"/>
                <w:lang w:val="sr-Latn-RS"/>
              </w:rPr>
              <w:t>%</w:t>
            </w:r>
          </w:p>
        </w:tc>
      </w:tr>
      <w:tr w:rsidR="0018604C" w:rsidRPr="00D06E2E" w14:paraId="00256EF9" w14:textId="77777777" w:rsidTr="006576C8">
        <w:trPr>
          <w:trHeight w:hRule="exact" w:val="329"/>
          <w:jc w:val="center"/>
        </w:trPr>
        <w:tc>
          <w:tcPr>
            <w:tcW w:w="5670" w:type="dxa"/>
            <w:vAlign w:val="center"/>
            <w:hideMark/>
          </w:tcPr>
          <w:p w14:paraId="22802B50" w14:textId="26B89756" w:rsidR="0018604C" w:rsidRPr="00D06E2E" w:rsidRDefault="0018604C" w:rsidP="00216EDE">
            <w:pPr>
              <w:spacing w:after="0"/>
              <w:rPr>
                <w:rFonts w:cs="Arial"/>
                <w:lang w:val="sr-Latn-RS"/>
              </w:rPr>
            </w:pPr>
            <w:r w:rsidRPr="00D06E2E">
              <w:rPr>
                <w:lang w:val="sr-Latn-RS"/>
              </w:rPr>
              <w:t xml:space="preserve">1.2. </w:t>
            </w:r>
            <w:r w:rsidR="00216EDE" w:rsidRPr="00D06E2E">
              <w:rPr>
                <w:lang w:val="sr-Latn-RS"/>
              </w:rPr>
              <w:t>Incompetence</w:t>
            </w:r>
          </w:p>
        </w:tc>
        <w:tc>
          <w:tcPr>
            <w:tcW w:w="1954" w:type="dxa"/>
            <w:vAlign w:val="center"/>
          </w:tcPr>
          <w:p w14:paraId="2A0A60D9" w14:textId="77777777" w:rsidR="0018604C" w:rsidRPr="00D06E2E" w:rsidRDefault="0018604C" w:rsidP="00556F2C">
            <w:pPr>
              <w:spacing w:after="0"/>
              <w:jc w:val="center"/>
              <w:rPr>
                <w:rFonts w:cs="Times New Roman"/>
                <w:lang w:val="sr-Latn-RS"/>
              </w:rPr>
            </w:pPr>
            <w:r w:rsidRPr="00D06E2E">
              <w:rPr>
                <w:rFonts w:cs="Times New Roman"/>
                <w:lang w:val="sr-Latn-RS"/>
              </w:rPr>
              <w:t>786</w:t>
            </w:r>
          </w:p>
        </w:tc>
        <w:tc>
          <w:tcPr>
            <w:tcW w:w="1064" w:type="dxa"/>
            <w:vAlign w:val="bottom"/>
          </w:tcPr>
          <w:p w14:paraId="6B3234EE" w14:textId="5F2D29C1" w:rsidR="0018604C" w:rsidRPr="00D06E2E" w:rsidRDefault="00A77864" w:rsidP="00556F2C">
            <w:pPr>
              <w:spacing w:after="0"/>
              <w:jc w:val="center"/>
              <w:rPr>
                <w:rFonts w:cs="Times New Roman"/>
                <w:lang w:val="sr-Latn-RS"/>
              </w:rPr>
            </w:pPr>
            <w:r w:rsidRPr="00D06E2E">
              <w:rPr>
                <w:rFonts w:cs="Times New Roman"/>
                <w:lang w:val="sr-Latn-RS"/>
              </w:rPr>
              <w:t>30.</w:t>
            </w:r>
            <w:r w:rsidR="0018604C" w:rsidRPr="00D06E2E">
              <w:rPr>
                <w:rFonts w:cs="Times New Roman"/>
                <w:lang w:val="sr-Latn-RS"/>
              </w:rPr>
              <w:t>50%</w:t>
            </w:r>
          </w:p>
        </w:tc>
      </w:tr>
      <w:tr w:rsidR="0018604C" w:rsidRPr="00D06E2E" w14:paraId="04083793" w14:textId="77777777" w:rsidTr="006576C8">
        <w:trPr>
          <w:trHeight w:hRule="exact" w:val="329"/>
          <w:jc w:val="center"/>
        </w:trPr>
        <w:tc>
          <w:tcPr>
            <w:tcW w:w="5670" w:type="dxa"/>
            <w:vAlign w:val="center"/>
            <w:hideMark/>
          </w:tcPr>
          <w:p w14:paraId="371EF823" w14:textId="20A8EE92" w:rsidR="0018604C" w:rsidRPr="00D06E2E" w:rsidRDefault="0018604C" w:rsidP="00A77864">
            <w:pPr>
              <w:spacing w:after="0"/>
              <w:rPr>
                <w:rFonts w:cs="Arial"/>
                <w:lang w:val="sr-Latn-RS"/>
              </w:rPr>
            </w:pPr>
            <w:r w:rsidRPr="00D06E2E">
              <w:rPr>
                <w:lang w:val="sr-Latn-RS"/>
              </w:rPr>
              <w:t xml:space="preserve">1.3. </w:t>
            </w:r>
            <w:r w:rsidR="00A77864" w:rsidRPr="00D06E2E">
              <w:rPr>
                <w:lang w:val="sr-Latn-RS"/>
              </w:rPr>
              <w:t>Irregular complaint</w:t>
            </w:r>
          </w:p>
        </w:tc>
        <w:tc>
          <w:tcPr>
            <w:tcW w:w="1954" w:type="dxa"/>
            <w:vAlign w:val="center"/>
          </w:tcPr>
          <w:p w14:paraId="3A221A9A" w14:textId="77777777" w:rsidR="0018604C" w:rsidRPr="00D06E2E" w:rsidRDefault="0018604C" w:rsidP="00556F2C">
            <w:pPr>
              <w:spacing w:after="0"/>
              <w:jc w:val="center"/>
              <w:rPr>
                <w:rFonts w:cs="Times New Roman"/>
                <w:lang w:val="sr-Latn-RS"/>
              </w:rPr>
            </w:pPr>
            <w:r w:rsidRPr="00D06E2E">
              <w:rPr>
                <w:rFonts w:cs="Times New Roman"/>
                <w:lang w:val="sr-Latn-RS"/>
              </w:rPr>
              <w:t>589</w:t>
            </w:r>
          </w:p>
        </w:tc>
        <w:tc>
          <w:tcPr>
            <w:tcW w:w="1064" w:type="dxa"/>
            <w:vAlign w:val="bottom"/>
          </w:tcPr>
          <w:p w14:paraId="49635D89" w14:textId="6B0CABC5" w:rsidR="0018604C" w:rsidRPr="00D06E2E" w:rsidRDefault="00A77864" w:rsidP="00556F2C">
            <w:pPr>
              <w:spacing w:after="0"/>
              <w:jc w:val="center"/>
              <w:rPr>
                <w:rFonts w:cs="Times New Roman"/>
                <w:lang w:val="sr-Latn-RS"/>
              </w:rPr>
            </w:pPr>
            <w:r w:rsidRPr="00D06E2E">
              <w:rPr>
                <w:rFonts w:cs="Times New Roman"/>
                <w:lang w:val="sr-Latn-RS"/>
              </w:rPr>
              <w:t>22.</w:t>
            </w:r>
            <w:r w:rsidR="0018604C" w:rsidRPr="00D06E2E">
              <w:rPr>
                <w:rFonts w:cs="Times New Roman"/>
                <w:lang w:val="sr-Latn-RS"/>
              </w:rPr>
              <w:t>86%</w:t>
            </w:r>
          </w:p>
        </w:tc>
      </w:tr>
      <w:tr w:rsidR="0018604C" w:rsidRPr="00D06E2E" w14:paraId="705566E4" w14:textId="77777777" w:rsidTr="006576C8">
        <w:trPr>
          <w:trHeight w:hRule="exact" w:val="329"/>
          <w:jc w:val="center"/>
        </w:trPr>
        <w:tc>
          <w:tcPr>
            <w:tcW w:w="5670" w:type="dxa"/>
            <w:vAlign w:val="center"/>
            <w:hideMark/>
          </w:tcPr>
          <w:p w14:paraId="4A48BDF8" w14:textId="5F87BA00" w:rsidR="0018604C" w:rsidRPr="00D06E2E" w:rsidRDefault="0018604C" w:rsidP="00A77864">
            <w:pPr>
              <w:spacing w:after="0"/>
              <w:rPr>
                <w:rFonts w:cs="Arial"/>
                <w:lang w:val="sr-Latn-RS"/>
              </w:rPr>
            </w:pPr>
            <w:r w:rsidRPr="00D06E2E">
              <w:rPr>
                <w:lang w:val="sr-Latn-RS"/>
              </w:rPr>
              <w:t xml:space="preserve">1.4. </w:t>
            </w:r>
            <w:r w:rsidR="00A77864" w:rsidRPr="00D06E2E">
              <w:rPr>
                <w:lang w:val="sr-Latn-RS"/>
              </w:rPr>
              <w:t>Anonymous complaint</w:t>
            </w:r>
          </w:p>
        </w:tc>
        <w:tc>
          <w:tcPr>
            <w:tcW w:w="1954" w:type="dxa"/>
            <w:vAlign w:val="center"/>
          </w:tcPr>
          <w:p w14:paraId="63ACBC71" w14:textId="77777777" w:rsidR="0018604C" w:rsidRPr="00D06E2E" w:rsidRDefault="0018604C" w:rsidP="00556F2C">
            <w:pPr>
              <w:spacing w:after="0"/>
              <w:jc w:val="center"/>
              <w:rPr>
                <w:rFonts w:cs="Times New Roman"/>
                <w:lang w:val="sr-Latn-RS"/>
              </w:rPr>
            </w:pPr>
            <w:r w:rsidRPr="00D06E2E">
              <w:rPr>
                <w:rFonts w:cs="Times New Roman"/>
                <w:lang w:val="sr-Latn-RS"/>
              </w:rPr>
              <w:t>66</w:t>
            </w:r>
          </w:p>
        </w:tc>
        <w:tc>
          <w:tcPr>
            <w:tcW w:w="1064" w:type="dxa"/>
            <w:vAlign w:val="bottom"/>
          </w:tcPr>
          <w:p w14:paraId="74C623B9" w14:textId="514186E4" w:rsidR="0018604C" w:rsidRPr="00D06E2E" w:rsidRDefault="00A77864" w:rsidP="00556F2C">
            <w:pPr>
              <w:spacing w:after="0"/>
              <w:jc w:val="center"/>
              <w:rPr>
                <w:rFonts w:cs="Times New Roman"/>
                <w:lang w:val="sr-Latn-RS"/>
              </w:rPr>
            </w:pPr>
            <w:r w:rsidRPr="00D06E2E">
              <w:rPr>
                <w:rFonts w:cs="Times New Roman"/>
                <w:lang w:val="sr-Latn-RS"/>
              </w:rPr>
              <w:t>2.</w:t>
            </w:r>
            <w:r w:rsidR="0018604C" w:rsidRPr="00D06E2E">
              <w:rPr>
                <w:rFonts w:cs="Times New Roman"/>
                <w:lang w:val="sr-Latn-RS"/>
              </w:rPr>
              <w:t>56%</w:t>
            </w:r>
          </w:p>
        </w:tc>
      </w:tr>
      <w:tr w:rsidR="0018604C" w:rsidRPr="00D06E2E" w14:paraId="746AE572" w14:textId="77777777" w:rsidTr="006576C8">
        <w:trPr>
          <w:trHeight w:hRule="exact" w:val="329"/>
          <w:jc w:val="center"/>
        </w:trPr>
        <w:tc>
          <w:tcPr>
            <w:tcW w:w="5670" w:type="dxa"/>
            <w:vAlign w:val="center"/>
          </w:tcPr>
          <w:p w14:paraId="17592E3E" w14:textId="028D7060" w:rsidR="0018604C" w:rsidRPr="00D06E2E" w:rsidRDefault="0018604C" w:rsidP="00A77864">
            <w:pPr>
              <w:spacing w:after="0"/>
              <w:rPr>
                <w:lang w:val="sr-Latn-RS"/>
              </w:rPr>
            </w:pPr>
            <w:r w:rsidRPr="00D06E2E">
              <w:rPr>
                <w:lang w:val="sr-Latn-RS"/>
              </w:rPr>
              <w:t xml:space="preserve">1.5. </w:t>
            </w:r>
            <w:r w:rsidR="00A77864" w:rsidRPr="00D06E2E">
              <w:rPr>
                <w:lang w:val="sr-Latn-RS"/>
              </w:rPr>
              <w:t>Untimeliness</w:t>
            </w:r>
          </w:p>
        </w:tc>
        <w:tc>
          <w:tcPr>
            <w:tcW w:w="1954" w:type="dxa"/>
            <w:vAlign w:val="center"/>
          </w:tcPr>
          <w:p w14:paraId="534FCC46" w14:textId="77777777" w:rsidR="0018604C" w:rsidRPr="00D06E2E" w:rsidRDefault="0018604C" w:rsidP="00556F2C">
            <w:pPr>
              <w:spacing w:after="0"/>
              <w:jc w:val="center"/>
              <w:rPr>
                <w:rFonts w:cs="Times New Roman"/>
                <w:lang w:val="sr-Latn-RS"/>
              </w:rPr>
            </w:pPr>
            <w:r w:rsidRPr="00D06E2E">
              <w:rPr>
                <w:rFonts w:cs="Times New Roman"/>
                <w:lang w:val="sr-Latn-RS"/>
              </w:rPr>
              <w:t>61</w:t>
            </w:r>
          </w:p>
        </w:tc>
        <w:tc>
          <w:tcPr>
            <w:tcW w:w="1064" w:type="dxa"/>
            <w:vAlign w:val="bottom"/>
          </w:tcPr>
          <w:p w14:paraId="375C8BC5" w14:textId="40541674" w:rsidR="0018604C" w:rsidRPr="00D06E2E" w:rsidRDefault="00A77864" w:rsidP="00556F2C">
            <w:pPr>
              <w:spacing w:after="0"/>
              <w:jc w:val="center"/>
              <w:rPr>
                <w:rFonts w:cs="Times New Roman"/>
                <w:lang w:val="sr-Latn-RS"/>
              </w:rPr>
            </w:pPr>
            <w:r w:rsidRPr="00D06E2E">
              <w:rPr>
                <w:rFonts w:cs="Times New Roman"/>
                <w:lang w:val="sr-Latn-RS"/>
              </w:rPr>
              <w:t>2.</w:t>
            </w:r>
            <w:r w:rsidR="0018604C" w:rsidRPr="00D06E2E">
              <w:rPr>
                <w:rFonts w:cs="Times New Roman"/>
                <w:lang w:val="sr-Latn-RS"/>
              </w:rPr>
              <w:t>37%</w:t>
            </w:r>
          </w:p>
        </w:tc>
      </w:tr>
      <w:tr w:rsidR="0018604C" w:rsidRPr="00D06E2E" w14:paraId="5B1ECE4A" w14:textId="77777777" w:rsidTr="006576C8">
        <w:trPr>
          <w:trHeight w:hRule="exact" w:val="329"/>
          <w:jc w:val="center"/>
        </w:trPr>
        <w:tc>
          <w:tcPr>
            <w:tcW w:w="5670" w:type="dxa"/>
            <w:vAlign w:val="center"/>
          </w:tcPr>
          <w:p w14:paraId="43F1414C" w14:textId="435DEED4" w:rsidR="0018604C" w:rsidRPr="00D06E2E" w:rsidRDefault="0018604C" w:rsidP="00A77864">
            <w:pPr>
              <w:spacing w:after="0"/>
              <w:rPr>
                <w:lang w:val="sr-Latn-RS"/>
              </w:rPr>
            </w:pPr>
            <w:r w:rsidRPr="00D06E2E">
              <w:rPr>
                <w:lang w:val="sr-Latn-RS"/>
              </w:rPr>
              <w:t xml:space="preserve">1.6. </w:t>
            </w:r>
            <w:r w:rsidR="00A77864" w:rsidRPr="00D06E2E">
              <w:rPr>
                <w:lang w:val="sr-Latn-RS"/>
              </w:rPr>
              <w:t>Unauthorized applicant</w:t>
            </w:r>
          </w:p>
        </w:tc>
        <w:tc>
          <w:tcPr>
            <w:tcW w:w="1954" w:type="dxa"/>
            <w:vAlign w:val="center"/>
          </w:tcPr>
          <w:p w14:paraId="1962D641" w14:textId="77777777" w:rsidR="0018604C" w:rsidRPr="00D06E2E" w:rsidRDefault="0018604C" w:rsidP="00556F2C">
            <w:pPr>
              <w:spacing w:after="0"/>
              <w:jc w:val="center"/>
              <w:rPr>
                <w:rFonts w:cs="Times New Roman"/>
                <w:lang w:val="sr-Latn-RS"/>
              </w:rPr>
            </w:pPr>
            <w:r w:rsidRPr="00D06E2E">
              <w:rPr>
                <w:rFonts w:cs="Times New Roman"/>
                <w:lang w:val="sr-Latn-RS"/>
              </w:rPr>
              <w:t>44</w:t>
            </w:r>
          </w:p>
        </w:tc>
        <w:tc>
          <w:tcPr>
            <w:tcW w:w="1064" w:type="dxa"/>
            <w:vAlign w:val="bottom"/>
          </w:tcPr>
          <w:p w14:paraId="7FC246B0" w14:textId="130F2DB2" w:rsidR="0018604C" w:rsidRPr="00D06E2E" w:rsidRDefault="00A77864" w:rsidP="00556F2C">
            <w:pPr>
              <w:spacing w:after="0"/>
              <w:jc w:val="center"/>
              <w:rPr>
                <w:rFonts w:cs="Times New Roman"/>
                <w:lang w:val="sr-Latn-RS"/>
              </w:rPr>
            </w:pPr>
            <w:r w:rsidRPr="00D06E2E">
              <w:rPr>
                <w:rFonts w:cs="Times New Roman"/>
                <w:lang w:val="sr-Latn-RS"/>
              </w:rPr>
              <w:t>1.</w:t>
            </w:r>
            <w:r w:rsidR="0018604C" w:rsidRPr="00D06E2E">
              <w:rPr>
                <w:rFonts w:cs="Times New Roman"/>
                <w:lang w:val="sr-Latn-RS"/>
              </w:rPr>
              <w:t>71%</w:t>
            </w:r>
          </w:p>
        </w:tc>
      </w:tr>
      <w:tr w:rsidR="0018604C" w:rsidRPr="00D06E2E" w14:paraId="3079151B" w14:textId="77777777" w:rsidTr="006576C8">
        <w:trPr>
          <w:trHeight w:hRule="exact" w:val="329"/>
          <w:jc w:val="center"/>
        </w:trPr>
        <w:tc>
          <w:tcPr>
            <w:tcW w:w="5670" w:type="dxa"/>
            <w:vAlign w:val="center"/>
          </w:tcPr>
          <w:p w14:paraId="47DCCC91" w14:textId="1ED7FF77" w:rsidR="0018604C" w:rsidRPr="00D06E2E" w:rsidRDefault="0018604C" w:rsidP="00A77864">
            <w:pPr>
              <w:spacing w:after="0"/>
              <w:rPr>
                <w:lang w:val="sr-Latn-RS"/>
              </w:rPr>
            </w:pPr>
            <w:r w:rsidRPr="00D06E2E">
              <w:rPr>
                <w:lang w:val="sr-Latn-RS"/>
              </w:rPr>
              <w:t xml:space="preserve">1.7. </w:t>
            </w:r>
            <w:r w:rsidR="00A77864" w:rsidRPr="00D06E2E">
              <w:rPr>
                <w:lang w:val="sr-Latn-RS"/>
              </w:rPr>
              <w:t>Foundation already subject to decision</w:t>
            </w:r>
          </w:p>
        </w:tc>
        <w:tc>
          <w:tcPr>
            <w:tcW w:w="1954" w:type="dxa"/>
            <w:vAlign w:val="center"/>
          </w:tcPr>
          <w:p w14:paraId="7CA0AECA" w14:textId="77777777" w:rsidR="0018604C" w:rsidRPr="00D06E2E" w:rsidRDefault="0018604C" w:rsidP="00556F2C">
            <w:pPr>
              <w:spacing w:after="0"/>
              <w:jc w:val="center"/>
              <w:rPr>
                <w:rFonts w:cs="Times New Roman"/>
                <w:lang w:val="sr-Latn-RS"/>
              </w:rPr>
            </w:pPr>
            <w:r w:rsidRPr="00D06E2E">
              <w:rPr>
                <w:rFonts w:cs="Times New Roman"/>
                <w:lang w:val="sr-Latn-RS"/>
              </w:rPr>
              <w:t>18</w:t>
            </w:r>
          </w:p>
        </w:tc>
        <w:tc>
          <w:tcPr>
            <w:tcW w:w="1064" w:type="dxa"/>
            <w:vAlign w:val="bottom"/>
          </w:tcPr>
          <w:p w14:paraId="3B5E6C9A" w14:textId="33FA8F10" w:rsidR="0018604C" w:rsidRPr="00D06E2E" w:rsidRDefault="00A77864" w:rsidP="00556F2C">
            <w:pPr>
              <w:spacing w:after="0" w:line="360" w:lineRule="auto"/>
              <w:jc w:val="center"/>
              <w:rPr>
                <w:rFonts w:cs="Times New Roman"/>
                <w:lang w:val="sr-Latn-RS"/>
              </w:rPr>
            </w:pPr>
            <w:r w:rsidRPr="00D06E2E">
              <w:rPr>
                <w:rFonts w:cs="Times New Roman"/>
                <w:lang w:val="sr-Latn-RS"/>
              </w:rPr>
              <w:t>0.</w:t>
            </w:r>
            <w:r w:rsidR="0018604C" w:rsidRPr="00D06E2E">
              <w:rPr>
                <w:rFonts w:cs="Times New Roman"/>
                <w:lang w:val="sr-Latn-RS"/>
              </w:rPr>
              <w:t>70%</w:t>
            </w:r>
          </w:p>
        </w:tc>
      </w:tr>
      <w:tr w:rsidR="0018604C" w:rsidRPr="00D06E2E" w14:paraId="434718F4" w14:textId="77777777" w:rsidTr="006576C8">
        <w:trPr>
          <w:trHeight w:hRule="exact" w:val="329"/>
          <w:jc w:val="center"/>
        </w:trPr>
        <w:tc>
          <w:tcPr>
            <w:tcW w:w="5670" w:type="dxa"/>
            <w:vAlign w:val="center"/>
            <w:hideMark/>
          </w:tcPr>
          <w:p w14:paraId="302B7963" w14:textId="0DBEA934" w:rsidR="0018604C" w:rsidRPr="00D06E2E" w:rsidRDefault="0018604C" w:rsidP="00A77864">
            <w:pPr>
              <w:spacing w:after="0"/>
              <w:rPr>
                <w:rFonts w:cs="Arial"/>
                <w:b/>
                <w:lang w:val="sr-Latn-RS"/>
              </w:rPr>
            </w:pPr>
            <w:r w:rsidRPr="00D06E2E">
              <w:rPr>
                <w:rFonts w:cs="Arial"/>
                <w:b/>
                <w:lang w:val="sr-Latn-RS"/>
              </w:rPr>
              <w:t xml:space="preserve">2.  </w:t>
            </w:r>
            <w:r w:rsidR="00A77864" w:rsidRPr="00D06E2E">
              <w:rPr>
                <w:rFonts w:cs="Arial"/>
                <w:b/>
                <w:lang w:val="sr-Latn-RS"/>
              </w:rPr>
              <w:t>Unfounded complaints</w:t>
            </w:r>
          </w:p>
        </w:tc>
        <w:tc>
          <w:tcPr>
            <w:tcW w:w="1954" w:type="dxa"/>
            <w:vAlign w:val="center"/>
          </w:tcPr>
          <w:p w14:paraId="0EDC96DF" w14:textId="77777777" w:rsidR="0018604C" w:rsidRPr="00D06E2E" w:rsidRDefault="0018604C" w:rsidP="00556F2C">
            <w:pPr>
              <w:spacing w:after="0"/>
              <w:jc w:val="center"/>
              <w:rPr>
                <w:rFonts w:cs="Times New Roman"/>
                <w:b/>
                <w:lang w:val="sr-Latn-RS"/>
              </w:rPr>
            </w:pPr>
            <w:r w:rsidRPr="00D06E2E">
              <w:rPr>
                <w:rFonts w:cs="Times New Roman"/>
                <w:b/>
                <w:lang w:val="sr-Latn-RS"/>
              </w:rPr>
              <w:t>473</w:t>
            </w:r>
          </w:p>
        </w:tc>
        <w:tc>
          <w:tcPr>
            <w:tcW w:w="1064" w:type="dxa"/>
            <w:vAlign w:val="bottom"/>
          </w:tcPr>
          <w:p w14:paraId="3F949C90" w14:textId="2377739D" w:rsidR="0018604C" w:rsidRPr="00D06E2E" w:rsidRDefault="00FC476F" w:rsidP="00556F2C">
            <w:pPr>
              <w:spacing w:after="0"/>
              <w:jc w:val="center"/>
              <w:rPr>
                <w:rFonts w:cs="Times New Roman"/>
                <w:b/>
                <w:lang w:val="sr-Latn-RS"/>
              </w:rPr>
            </w:pPr>
            <w:r w:rsidRPr="00D06E2E">
              <w:rPr>
                <w:rFonts w:cs="Times New Roman"/>
                <w:b/>
                <w:lang w:val="sr-Latn-RS"/>
              </w:rPr>
              <w:t>12</w:t>
            </w:r>
            <w:r w:rsidR="00A77864" w:rsidRPr="00D06E2E">
              <w:rPr>
                <w:rFonts w:cs="Times New Roman"/>
                <w:b/>
                <w:lang w:val="sr-Latn-RS"/>
              </w:rPr>
              <w:t>.</w:t>
            </w:r>
            <w:r w:rsidR="0018604C" w:rsidRPr="00D06E2E">
              <w:rPr>
                <w:rFonts w:cs="Times New Roman"/>
                <w:b/>
                <w:lang w:val="sr-Latn-RS"/>
              </w:rPr>
              <w:t>02%</w:t>
            </w:r>
          </w:p>
        </w:tc>
      </w:tr>
      <w:tr w:rsidR="0018604C" w:rsidRPr="00D06E2E" w14:paraId="3F38E3A2" w14:textId="77777777" w:rsidTr="006576C8">
        <w:trPr>
          <w:trHeight w:hRule="exact" w:val="590"/>
          <w:jc w:val="center"/>
        </w:trPr>
        <w:tc>
          <w:tcPr>
            <w:tcW w:w="5670" w:type="dxa"/>
            <w:vAlign w:val="center"/>
            <w:hideMark/>
          </w:tcPr>
          <w:p w14:paraId="19951DE9" w14:textId="513EF528" w:rsidR="0018604C" w:rsidRPr="00D06E2E" w:rsidRDefault="0018604C" w:rsidP="000B6498">
            <w:pPr>
              <w:spacing w:after="0"/>
              <w:jc w:val="left"/>
              <w:rPr>
                <w:rFonts w:cs="Arial"/>
                <w:b/>
                <w:lang w:val="sr-Latn-RS"/>
              </w:rPr>
            </w:pPr>
            <w:r w:rsidRPr="00D06E2E">
              <w:rPr>
                <w:rFonts w:cs="Arial"/>
                <w:b/>
                <w:lang w:val="sr-Latn-RS"/>
              </w:rPr>
              <w:t xml:space="preserve">3.  </w:t>
            </w:r>
            <w:r w:rsidR="00A77864" w:rsidRPr="00D06E2E">
              <w:rPr>
                <w:rFonts w:cs="Arial"/>
                <w:b/>
                <w:bCs/>
                <w:lang w:val="sr-Latn-RS"/>
              </w:rPr>
              <w:t xml:space="preserve">Cases contained in the recommendations from the expedited oversight </w:t>
            </w:r>
            <w:r w:rsidR="000B6498" w:rsidRPr="00D06E2E">
              <w:rPr>
                <w:rFonts w:cs="Arial"/>
                <w:b/>
                <w:bCs/>
                <w:lang w:val="sr-Latn-RS"/>
              </w:rPr>
              <w:t>investigation</w:t>
            </w:r>
          </w:p>
        </w:tc>
        <w:tc>
          <w:tcPr>
            <w:tcW w:w="1954" w:type="dxa"/>
            <w:vAlign w:val="center"/>
          </w:tcPr>
          <w:p w14:paraId="08A9423F" w14:textId="77777777" w:rsidR="0018604C" w:rsidRPr="00D06E2E" w:rsidRDefault="0018604C" w:rsidP="00556F2C">
            <w:pPr>
              <w:spacing w:after="0"/>
              <w:jc w:val="center"/>
              <w:rPr>
                <w:rFonts w:cs="Times New Roman"/>
                <w:b/>
                <w:lang w:val="sr-Latn-RS"/>
              </w:rPr>
            </w:pPr>
            <w:r w:rsidRPr="00D06E2E">
              <w:rPr>
                <w:rFonts w:cs="Times New Roman"/>
                <w:b/>
                <w:lang w:val="sr-Latn-RS"/>
              </w:rPr>
              <w:t>389</w:t>
            </w:r>
          </w:p>
        </w:tc>
        <w:tc>
          <w:tcPr>
            <w:tcW w:w="1064" w:type="dxa"/>
            <w:vAlign w:val="bottom"/>
          </w:tcPr>
          <w:p w14:paraId="605F331E" w14:textId="418AC12D" w:rsidR="0018604C" w:rsidRPr="00D06E2E" w:rsidRDefault="00A77864" w:rsidP="00556F2C">
            <w:pPr>
              <w:spacing w:after="0"/>
              <w:jc w:val="center"/>
              <w:rPr>
                <w:rFonts w:cs="Times New Roman"/>
                <w:b/>
                <w:lang w:val="sr-Latn-RS"/>
              </w:rPr>
            </w:pPr>
            <w:r w:rsidRPr="00D06E2E">
              <w:rPr>
                <w:rFonts w:cs="Times New Roman"/>
                <w:b/>
                <w:lang w:val="sr-Latn-RS"/>
              </w:rPr>
              <w:t>9.</w:t>
            </w:r>
            <w:r w:rsidR="00184A5C" w:rsidRPr="00D06E2E">
              <w:rPr>
                <w:rFonts w:cs="Times New Roman"/>
                <w:b/>
                <w:lang w:val="sr-Latn-RS"/>
              </w:rPr>
              <w:t>89</w:t>
            </w:r>
            <w:r w:rsidR="0018604C" w:rsidRPr="00D06E2E">
              <w:rPr>
                <w:rFonts w:cs="Times New Roman"/>
                <w:b/>
                <w:lang w:val="sr-Latn-RS"/>
              </w:rPr>
              <w:t>%</w:t>
            </w:r>
          </w:p>
        </w:tc>
      </w:tr>
      <w:tr w:rsidR="0018604C" w:rsidRPr="00D06E2E" w14:paraId="0693C231" w14:textId="77777777" w:rsidTr="006576C8">
        <w:trPr>
          <w:trHeight w:hRule="exact" w:val="329"/>
          <w:jc w:val="center"/>
        </w:trPr>
        <w:tc>
          <w:tcPr>
            <w:tcW w:w="5670" w:type="dxa"/>
            <w:vAlign w:val="center"/>
            <w:hideMark/>
          </w:tcPr>
          <w:p w14:paraId="0481A09C" w14:textId="63E49A33" w:rsidR="0018604C" w:rsidRPr="00D06E2E" w:rsidRDefault="0018604C" w:rsidP="00556F2C">
            <w:pPr>
              <w:spacing w:after="0"/>
              <w:rPr>
                <w:rFonts w:cs="Arial"/>
                <w:b/>
                <w:lang w:val="sr-Latn-RS"/>
              </w:rPr>
            </w:pPr>
            <w:r w:rsidRPr="00D06E2E">
              <w:rPr>
                <w:rFonts w:cs="Arial"/>
                <w:b/>
                <w:lang w:val="sr-Latn-RS"/>
              </w:rPr>
              <w:t xml:space="preserve">4.  </w:t>
            </w:r>
            <w:r w:rsidR="00A77864" w:rsidRPr="00D06E2E">
              <w:rPr>
                <w:rFonts w:cs="Arial"/>
                <w:b/>
                <w:bCs/>
                <w:lang w:val="sr-Latn-RS"/>
              </w:rPr>
              <w:t>Informed and advised complainant</w:t>
            </w:r>
          </w:p>
        </w:tc>
        <w:tc>
          <w:tcPr>
            <w:tcW w:w="1954" w:type="dxa"/>
            <w:vAlign w:val="center"/>
          </w:tcPr>
          <w:p w14:paraId="7BFB4394" w14:textId="77777777" w:rsidR="0018604C" w:rsidRPr="00D06E2E" w:rsidRDefault="0018604C" w:rsidP="00556F2C">
            <w:pPr>
              <w:spacing w:after="0"/>
              <w:jc w:val="center"/>
              <w:rPr>
                <w:rFonts w:cs="Times New Roman"/>
                <w:b/>
                <w:lang w:val="sr-Latn-RS"/>
              </w:rPr>
            </w:pPr>
            <w:r w:rsidRPr="00D06E2E">
              <w:rPr>
                <w:rFonts w:cs="Times New Roman"/>
                <w:b/>
                <w:lang w:val="sr-Latn-RS"/>
              </w:rPr>
              <w:t>301</w:t>
            </w:r>
          </w:p>
        </w:tc>
        <w:tc>
          <w:tcPr>
            <w:tcW w:w="1064" w:type="dxa"/>
            <w:vAlign w:val="bottom"/>
          </w:tcPr>
          <w:p w14:paraId="715C8CD5" w14:textId="62E49AE0" w:rsidR="0018604C" w:rsidRPr="00D06E2E" w:rsidRDefault="00A77864" w:rsidP="00556F2C">
            <w:pPr>
              <w:spacing w:after="0"/>
              <w:jc w:val="center"/>
              <w:rPr>
                <w:rFonts w:cs="Times New Roman"/>
                <w:b/>
                <w:lang w:val="sr-Latn-RS"/>
              </w:rPr>
            </w:pPr>
            <w:r w:rsidRPr="00D06E2E">
              <w:rPr>
                <w:rFonts w:cs="Times New Roman"/>
                <w:b/>
                <w:lang w:val="sr-Latn-RS"/>
              </w:rPr>
              <w:t>7.</w:t>
            </w:r>
            <w:r w:rsidR="0018604C" w:rsidRPr="00D06E2E">
              <w:rPr>
                <w:rFonts w:cs="Times New Roman"/>
                <w:b/>
                <w:lang w:val="sr-Latn-RS"/>
              </w:rPr>
              <w:t>65%</w:t>
            </w:r>
          </w:p>
        </w:tc>
      </w:tr>
      <w:tr w:rsidR="0018604C" w:rsidRPr="00D06E2E" w14:paraId="4F7CAFB8" w14:textId="77777777" w:rsidTr="006576C8">
        <w:trPr>
          <w:trHeight w:hRule="exact" w:val="590"/>
          <w:jc w:val="center"/>
        </w:trPr>
        <w:tc>
          <w:tcPr>
            <w:tcW w:w="5670" w:type="dxa"/>
            <w:vAlign w:val="center"/>
            <w:hideMark/>
          </w:tcPr>
          <w:p w14:paraId="6D8D7A2F" w14:textId="01CC0008" w:rsidR="0018604C" w:rsidRPr="00D06E2E" w:rsidRDefault="0018604C" w:rsidP="000B6498">
            <w:pPr>
              <w:spacing w:after="0"/>
              <w:jc w:val="left"/>
              <w:rPr>
                <w:rFonts w:cs="Arial"/>
                <w:b/>
                <w:lang w:val="sr-Latn-RS"/>
              </w:rPr>
            </w:pPr>
            <w:r w:rsidRPr="00D06E2E">
              <w:rPr>
                <w:rFonts w:cs="Arial"/>
                <w:b/>
                <w:lang w:val="sr-Latn-RS"/>
              </w:rPr>
              <w:t xml:space="preserve">5.  </w:t>
            </w:r>
            <w:r w:rsidR="00A77864" w:rsidRPr="00D06E2E">
              <w:rPr>
                <w:rFonts w:cs="Arial"/>
                <w:b/>
                <w:bCs/>
                <w:lang w:val="sr-Latn-RS"/>
              </w:rPr>
              <w:t xml:space="preserve">Cases contained in the recommendations from the oversight </w:t>
            </w:r>
            <w:r w:rsidR="000B6498" w:rsidRPr="00D06E2E">
              <w:rPr>
                <w:rFonts w:cs="Arial"/>
                <w:b/>
                <w:bCs/>
                <w:lang w:val="sr-Latn-RS"/>
              </w:rPr>
              <w:t>investigation</w:t>
            </w:r>
          </w:p>
        </w:tc>
        <w:tc>
          <w:tcPr>
            <w:tcW w:w="1954" w:type="dxa"/>
            <w:vAlign w:val="center"/>
          </w:tcPr>
          <w:p w14:paraId="6795599A" w14:textId="77777777" w:rsidR="0018604C" w:rsidRPr="00D06E2E" w:rsidRDefault="0018604C" w:rsidP="00556F2C">
            <w:pPr>
              <w:spacing w:after="0"/>
              <w:jc w:val="center"/>
              <w:rPr>
                <w:rFonts w:cs="Times New Roman"/>
                <w:b/>
                <w:lang w:val="sr-Latn-RS"/>
              </w:rPr>
            </w:pPr>
            <w:r w:rsidRPr="00D06E2E">
              <w:rPr>
                <w:rFonts w:cs="Times New Roman"/>
                <w:b/>
                <w:lang w:val="sr-Latn-RS"/>
              </w:rPr>
              <w:t>100</w:t>
            </w:r>
          </w:p>
        </w:tc>
        <w:tc>
          <w:tcPr>
            <w:tcW w:w="1064" w:type="dxa"/>
            <w:vAlign w:val="bottom"/>
          </w:tcPr>
          <w:p w14:paraId="679B64F3" w14:textId="35621F28" w:rsidR="0018604C" w:rsidRPr="00D06E2E" w:rsidRDefault="00A77864" w:rsidP="00556F2C">
            <w:pPr>
              <w:spacing w:after="0"/>
              <w:jc w:val="center"/>
              <w:rPr>
                <w:rFonts w:cs="Times New Roman"/>
                <w:b/>
                <w:lang w:val="sr-Latn-RS"/>
              </w:rPr>
            </w:pPr>
            <w:r w:rsidRPr="00D06E2E">
              <w:rPr>
                <w:rFonts w:cs="Times New Roman"/>
                <w:b/>
                <w:lang w:val="sr-Latn-RS"/>
              </w:rPr>
              <w:t>2.</w:t>
            </w:r>
            <w:r w:rsidR="0018604C" w:rsidRPr="00D06E2E">
              <w:rPr>
                <w:rFonts w:cs="Times New Roman"/>
                <w:b/>
                <w:lang w:val="sr-Latn-RS"/>
              </w:rPr>
              <w:t>54%</w:t>
            </w:r>
          </w:p>
        </w:tc>
      </w:tr>
      <w:tr w:rsidR="0018604C" w:rsidRPr="00D06E2E" w14:paraId="30E99280" w14:textId="77777777" w:rsidTr="006576C8">
        <w:trPr>
          <w:trHeight w:hRule="exact" w:val="329"/>
          <w:jc w:val="center"/>
        </w:trPr>
        <w:tc>
          <w:tcPr>
            <w:tcW w:w="5670" w:type="dxa"/>
            <w:vAlign w:val="center"/>
            <w:hideMark/>
          </w:tcPr>
          <w:p w14:paraId="7D6DFFD4" w14:textId="01831B44" w:rsidR="0018604C" w:rsidRPr="00D06E2E" w:rsidRDefault="0018604C" w:rsidP="00556F2C">
            <w:pPr>
              <w:spacing w:after="0"/>
              <w:jc w:val="left"/>
              <w:rPr>
                <w:rFonts w:cs="Arial"/>
                <w:b/>
                <w:lang w:val="sr-Latn-RS"/>
              </w:rPr>
            </w:pPr>
            <w:r w:rsidRPr="00D06E2E">
              <w:rPr>
                <w:rFonts w:cs="Arial"/>
                <w:b/>
                <w:lang w:val="sr-Latn-RS"/>
              </w:rPr>
              <w:t xml:space="preserve">6.  </w:t>
            </w:r>
            <w:r w:rsidR="00A77864" w:rsidRPr="00D06E2E">
              <w:rPr>
                <w:rFonts w:cs="Arial"/>
                <w:b/>
                <w:bCs/>
                <w:lang w:val="sr-Latn-RS"/>
              </w:rPr>
              <w:t>Withdrawal of the complaint due to the standoff of the complainant</w:t>
            </w:r>
            <w:r w:rsidR="00A77864" w:rsidRPr="00D06E2E">
              <w:rPr>
                <w:rFonts w:cs="Arial"/>
                <w:b/>
                <w:lang w:val="sr-Latn-RS"/>
              </w:rPr>
              <w:t xml:space="preserve"> </w:t>
            </w:r>
            <w:r w:rsidRPr="00D06E2E">
              <w:rPr>
                <w:rFonts w:cs="Arial"/>
                <w:b/>
                <w:lang w:val="sr-Latn-RS"/>
              </w:rPr>
              <w:t>притужиоца</w:t>
            </w:r>
          </w:p>
        </w:tc>
        <w:tc>
          <w:tcPr>
            <w:tcW w:w="1954" w:type="dxa"/>
            <w:vAlign w:val="center"/>
          </w:tcPr>
          <w:p w14:paraId="7FFC6DFC" w14:textId="77777777" w:rsidR="0018604C" w:rsidRPr="00D06E2E" w:rsidRDefault="0018604C" w:rsidP="00556F2C">
            <w:pPr>
              <w:spacing w:after="0"/>
              <w:jc w:val="center"/>
              <w:rPr>
                <w:rFonts w:cs="Times New Roman"/>
                <w:b/>
                <w:lang w:val="sr-Latn-RS"/>
              </w:rPr>
            </w:pPr>
            <w:r w:rsidRPr="00D06E2E">
              <w:rPr>
                <w:rFonts w:cs="Times New Roman"/>
                <w:b/>
                <w:lang w:val="sr-Latn-RS"/>
              </w:rPr>
              <w:t>43</w:t>
            </w:r>
          </w:p>
        </w:tc>
        <w:tc>
          <w:tcPr>
            <w:tcW w:w="1064" w:type="dxa"/>
            <w:vAlign w:val="bottom"/>
          </w:tcPr>
          <w:p w14:paraId="12145410" w14:textId="015411AA" w:rsidR="0018604C" w:rsidRPr="00D06E2E" w:rsidRDefault="00A77864" w:rsidP="00556F2C">
            <w:pPr>
              <w:spacing w:after="0"/>
              <w:jc w:val="center"/>
              <w:rPr>
                <w:rFonts w:cs="Times New Roman"/>
                <w:b/>
                <w:lang w:val="sr-Latn-RS"/>
              </w:rPr>
            </w:pPr>
            <w:r w:rsidRPr="00D06E2E">
              <w:rPr>
                <w:rFonts w:cs="Times New Roman"/>
                <w:b/>
                <w:lang w:val="sr-Latn-RS"/>
              </w:rPr>
              <w:t>1.</w:t>
            </w:r>
            <w:r w:rsidR="0018604C" w:rsidRPr="00D06E2E">
              <w:rPr>
                <w:rFonts w:cs="Times New Roman"/>
                <w:b/>
                <w:lang w:val="sr-Latn-RS"/>
              </w:rPr>
              <w:t>09%</w:t>
            </w:r>
          </w:p>
        </w:tc>
      </w:tr>
      <w:tr w:rsidR="0018604C" w:rsidRPr="00D06E2E" w14:paraId="111D58FB" w14:textId="77777777" w:rsidTr="006576C8">
        <w:trPr>
          <w:trHeight w:hRule="exact" w:val="329"/>
          <w:jc w:val="center"/>
        </w:trPr>
        <w:tc>
          <w:tcPr>
            <w:tcW w:w="5670" w:type="dxa"/>
            <w:vAlign w:val="center"/>
            <w:hideMark/>
          </w:tcPr>
          <w:p w14:paraId="0BA6042E" w14:textId="1CFA3CC3" w:rsidR="0018604C" w:rsidRPr="00D06E2E" w:rsidRDefault="0018604C" w:rsidP="00A77864">
            <w:pPr>
              <w:spacing w:after="0"/>
              <w:rPr>
                <w:rFonts w:cs="Arial"/>
                <w:b/>
                <w:lang w:val="sr-Latn-RS"/>
              </w:rPr>
            </w:pPr>
            <w:r w:rsidRPr="00D06E2E">
              <w:rPr>
                <w:rFonts w:cs="Arial"/>
                <w:b/>
                <w:lang w:val="sr-Latn-RS"/>
              </w:rPr>
              <w:t xml:space="preserve">7.  </w:t>
            </w:r>
            <w:r w:rsidR="00A77864" w:rsidRPr="00D06E2E">
              <w:rPr>
                <w:rFonts w:cs="Arial"/>
                <w:b/>
                <w:lang w:val="sr-Latn-RS"/>
              </w:rPr>
              <w:t>Opinion</w:t>
            </w:r>
            <w:r w:rsidRPr="00D06E2E">
              <w:rPr>
                <w:rFonts w:cs="Arial"/>
                <w:b/>
                <w:lang w:val="sr-Latn-RS"/>
              </w:rPr>
              <w:t xml:space="preserve"> </w:t>
            </w:r>
          </w:p>
        </w:tc>
        <w:tc>
          <w:tcPr>
            <w:tcW w:w="1954" w:type="dxa"/>
            <w:vAlign w:val="center"/>
          </w:tcPr>
          <w:p w14:paraId="7AFB1DB7" w14:textId="77777777" w:rsidR="0018604C" w:rsidRPr="00D06E2E" w:rsidRDefault="0018604C" w:rsidP="00556F2C">
            <w:pPr>
              <w:spacing w:after="0"/>
              <w:jc w:val="center"/>
              <w:rPr>
                <w:rFonts w:cs="Times New Roman"/>
                <w:b/>
                <w:lang w:val="sr-Latn-RS"/>
              </w:rPr>
            </w:pPr>
            <w:r w:rsidRPr="00D06E2E">
              <w:rPr>
                <w:rFonts w:cs="Times New Roman"/>
                <w:b/>
                <w:lang w:val="sr-Latn-RS"/>
              </w:rPr>
              <w:t>39</w:t>
            </w:r>
          </w:p>
        </w:tc>
        <w:tc>
          <w:tcPr>
            <w:tcW w:w="1064" w:type="dxa"/>
            <w:vAlign w:val="bottom"/>
          </w:tcPr>
          <w:p w14:paraId="0EB000DA" w14:textId="73E69A04" w:rsidR="0018604C" w:rsidRPr="00D06E2E" w:rsidRDefault="00A77864" w:rsidP="00556F2C">
            <w:pPr>
              <w:spacing w:after="0"/>
              <w:jc w:val="center"/>
              <w:rPr>
                <w:rFonts w:cs="Times New Roman"/>
                <w:b/>
                <w:lang w:val="sr-Latn-RS"/>
              </w:rPr>
            </w:pPr>
            <w:r w:rsidRPr="00D06E2E">
              <w:rPr>
                <w:rFonts w:cs="Times New Roman"/>
                <w:b/>
                <w:lang w:val="sr-Latn-RS"/>
              </w:rPr>
              <w:t>0.</w:t>
            </w:r>
            <w:r w:rsidR="0018604C" w:rsidRPr="00D06E2E">
              <w:rPr>
                <w:rFonts w:cs="Times New Roman"/>
                <w:b/>
                <w:lang w:val="sr-Latn-RS"/>
              </w:rPr>
              <w:t>99%</w:t>
            </w:r>
          </w:p>
        </w:tc>
      </w:tr>
      <w:tr w:rsidR="0018604C" w:rsidRPr="00D06E2E" w14:paraId="3E25DD14" w14:textId="77777777" w:rsidTr="006576C8">
        <w:trPr>
          <w:trHeight w:hRule="exact" w:val="329"/>
          <w:jc w:val="center"/>
        </w:trPr>
        <w:tc>
          <w:tcPr>
            <w:tcW w:w="5670" w:type="dxa"/>
            <w:vAlign w:val="center"/>
          </w:tcPr>
          <w:p w14:paraId="2DEB47FD" w14:textId="61088A74" w:rsidR="0018604C" w:rsidRPr="00D06E2E" w:rsidRDefault="0018604C" w:rsidP="00556F2C">
            <w:pPr>
              <w:spacing w:after="0"/>
              <w:rPr>
                <w:rFonts w:cs="Arial"/>
                <w:b/>
                <w:lang w:val="sr-Latn-RS"/>
              </w:rPr>
            </w:pPr>
            <w:r w:rsidRPr="00D06E2E">
              <w:rPr>
                <w:rFonts w:cs="Arial"/>
                <w:b/>
                <w:lang w:val="sr-Latn-RS"/>
              </w:rPr>
              <w:t xml:space="preserve">8.  </w:t>
            </w:r>
            <w:r w:rsidR="00A77864" w:rsidRPr="00D06E2E">
              <w:rPr>
                <w:rFonts w:cs="Arial"/>
                <w:b/>
                <w:bCs/>
                <w:lang w:val="sr-Latn-RS"/>
              </w:rPr>
              <w:t>The death of the complainant</w:t>
            </w:r>
          </w:p>
        </w:tc>
        <w:tc>
          <w:tcPr>
            <w:tcW w:w="1954" w:type="dxa"/>
            <w:vAlign w:val="center"/>
          </w:tcPr>
          <w:p w14:paraId="36356E3B" w14:textId="77777777" w:rsidR="0018604C" w:rsidRPr="00D06E2E" w:rsidRDefault="0018604C" w:rsidP="00556F2C">
            <w:pPr>
              <w:spacing w:after="0"/>
              <w:jc w:val="center"/>
              <w:rPr>
                <w:rFonts w:cs="Times New Roman"/>
                <w:b/>
                <w:lang w:val="sr-Latn-RS"/>
              </w:rPr>
            </w:pPr>
            <w:r w:rsidRPr="00D06E2E">
              <w:rPr>
                <w:rFonts w:cs="Times New Roman"/>
                <w:b/>
                <w:lang w:val="sr-Latn-RS"/>
              </w:rPr>
              <w:t>7</w:t>
            </w:r>
          </w:p>
        </w:tc>
        <w:tc>
          <w:tcPr>
            <w:tcW w:w="1064" w:type="dxa"/>
            <w:vAlign w:val="bottom"/>
          </w:tcPr>
          <w:p w14:paraId="3AD2A58D" w14:textId="36CCC8B7" w:rsidR="0018604C" w:rsidRPr="00D06E2E" w:rsidRDefault="00A77864" w:rsidP="00556F2C">
            <w:pPr>
              <w:spacing w:after="0"/>
              <w:jc w:val="center"/>
              <w:rPr>
                <w:rFonts w:cs="Times New Roman"/>
                <w:b/>
                <w:lang w:val="sr-Latn-RS"/>
              </w:rPr>
            </w:pPr>
            <w:r w:rsidRPr="00D06E2E">
              <w:rPr>
                <w:rFonts w:cs="Times New Roman"/>
                <w:b/>
                <w:lang w:val="sr-Latn-RS"/>
              </w:rPr>
              <w:t>0.</w:t>
            </w:r>
            <w:r w:rsidR="0018604C" w:rsidRPr="00D06E2E">
              <w:rPr>
                <w:rFonts w:cs="Times New Roman"/>
                <w:b/>
                <w:lang w:val="sr-Latn-RS"/>
              </w:rPr>
              <w:t>18%</w:t>
            </w:r>
          </w:p>
        </w:tc>
      </w:tr>
      <w:tr w:rsidR="0018604C" w:rsidRPr="00D06E2E" w14:paraId="7B9C35F5" w14:textId="77777777" w:rsidTr="006576C8">
        <w:trPr>
          <w:trHeight w:hRule="exact" w:val="329"/>
          <w:jc w:val="center"/>
        </w:trPr>
        <w:tc>
          <w:tcPr>
            <w:tcW w:w="5670" w:type="dxa"/>
            <w:vAlign w:val="center"/>
            <w:hideMark/>
          </w:tcPr>
          <w:p w14:paraId="4D9F0D59" w14:textId="41A2F91E" w:rsidR="0018604C" w:rsidRPr="00D06E2E" w:rsidRDefault="0018604C" w:rsidP="00A77864">
            <w:pPr>
              <w:spacing w:after="0"/>
              <w:rPr>
                <w:rFonts w:cs="Arial"/>
                <w:b/>
                <w:lang w:val="sr-Latn-RS"/>
              </w:rPr>
            </w:pPr>
            <w:r w:rsidRPr="00D06E2E">
              <w:rPr>
                <w:rFonts w:cs="Arial"/>
                <w:b/>
                <w:lang w:val="sr-Latn-RS"/>
              </w:rPr>
              <w:t xml:space="preserve">9.  </w:t>
            </w:r>
            <w:r w:rsidR="00A77864" w:rsidRPr="00D06E2E">
              <w:rPr>
                <w:rFonts w:cs="Arial"/>
                <w:b/>
                <w:lang w:val="sr-Latn-RS"/>
              </w:rPr>
              <w:t>Legislative initiative</w:t>
            </w:r>
            <w:r w:rsidRPr="00D06E2E">
              <w:rPr>
                <w:rFonts w:cs="Arial"/>
                <w:b/>
                <w:lang w:val="sr-Latn-RS"/>
              </w:rPr>
              <w:t xml:space="preserve"> </w:t>
            </w:r>
          </w:p>
        </w:tc>
        <w:tc>
          <w:tcPr>
            <w:tcW w:w="1954" w:type="dxa"/>
            <w:vAlign w:val="center"/>
          </w:tcPr>
          <w:p w14:paraId="69CFFB4D" w14:textId="77777777" w:rsidR="0018604C" w:rsidRPr="00D06E2E" w:rsidRDefault="0018604C" w:rsidP="00556F2C">
            <w:pPr>
              <w:spacing w:after="0"/>
              <w:jc w:val="center"/>
              <w:rPr>
                <w:rFonts w:cs="Times New Roman"/>
                <w:b/>
                <w:lang w:val="sr-Latn-RS"/>
              </w:rPr>
            </w:pPr>
            <w:r w:rsidRPr="00D06E2E">
              <w:rPr>
                <w:rFonts w:cs="Times New Roman"/>
                <w:b/>
                <w:lang w:val="sr-Latn-RS"/>
              </w:rPr>
              <w:t>6</w:t>
            </w:r>
          </w:p>
        </w:tc>
        <w:tc>
          <w:tcPr>
            <w:tcW w:w="1064" w:type="dxa"/>
            <w:vAlign w:val="bottom"/>
          </w:tcPr>
          <w:p w14:paraId="6AE8AF5B" w14:textId="6782F9BD" w:rsidR="0018604C" w:rsidRPr="00D06E2E" w:rsidRDefault="00A77864" w:rsidP="00556F2C">
            <w:pPr>
              <w:spacing w:after="0"/>
              <w:jc w:val="center"/>
              <w:rPr>
                <w:rFonts w:cs="Times New Roman"/>
                <w:b/>
                <w:lang w:val="sr-Latn-RS"/>
              </w:rPr>
            </w:pPr>
            <w:r w:rsidRPr="00D06E2E">
              <w:rPr>
                <w:rFonts w:cs="Times New Roman"/>
                <w:b/>
                <w:lang w:val="sr-Latn-RS"/>
              </w:rPr>
              <w:t>0.</w:t>
            </w:r>
            <w:r w:rsidR="0018604C" w:rsidRPr="00D06E2E">
              <w:rPr>
                <w:rFonts w:cs="Times New Roman"/>
                <w:b/>
                <w:lang w:val="sr-Latn-RS"/>
              </w:rPr>
              <w:t>15%</w:t>
            </w:r>
          </w:p>
        </w:tc>
      </w:tr>
      <w:tr w:rsidR="0018604C" w:rsidRPr="00D06E2E" w14:paraId="6DA0ED03" w14:textId="77777777" w:rsidTr="006576C8">
        <w:trPr>
          <w:trHeight w:hRule="exact" w:val="329"/>
          <w:jc w:val="center"/>
        </w:trPr>
        <w:tc>
          <w:tcPr>
            <w:tcW w:w="5670" w:type="dxa"/>
            <w:vAlign w:val="center"/>
            <w:hideMark/>
          </w:tcPr>
          <w:p w14:paraId="32CEFA9B" w14:textId="1B53ADFC" w:rsidR="0018604C" w:rsidRPr="00D06E2E" w:rsidRDefault="00A77864" w:rsidP="00556F2C">
            <w:pPr>
              <w:spacing w:after="0"/>
              <w:rPr>
                <w:rFonts w:cs="Arial"/>
                <w:lang w:val="sr-Latn-RS"/>
              </w:rPr>
            </w:pPr>
            <w:r w:rsidRPr="00D06E2E">
              <w:rPr>
                <w:rFonts w:cs="Arial"/>
                <w:b/>
                <w:bCs/>
                <w:lang w:val="sr-Latn-RS"/>
              </w:rPr>
              <w:t>Total</w:t>
            </w:r>
          </w:p>
        </w:tc>
        <w:tc>
          <w:tcPr>
            <w:tcW w:w="1954" w:type="dxa"/>
            <w:vAlign w:val="center"/>
          </w:tcPr>
          <w:p w14:paraId="4970D6DD" w14:textId="23F03426" w:rsidR="0018604C" w:rsidRPr="00D06E2E" w:rsidRDefault="00A77864" w:rsidP="00556F2C">
            <w:pPr>
              <w:spacing w:after="0"/>
              <w:jc w:val="center"/>
              <w:rPr>
                <w:rFonts w:cs="Arial"/>
                <w:b/>
                <w:lang w:val="sr-Latn-RS"/>
              </w:rPr>
            </w:pPr>
            <w:r w:rsidRPr="00D06E2E">
              <w:rPr>
                <w:rFonts w:cs="Arial"/>
                <w:b/>
                <w:lang w:val="sr-Latn-RS"/>
              </w:rPr>
              <w:t>3,</w:t>
            </w:r>
            <w:r w:rsidR="0018604C" w:rsidRPr="00D06E2E">
              <w:rPr>
                <w:rFonts w:cs="Arial"/>
                <w:b/>
                <w:lang w:val="sr-Latn-RS"/>
              </w:rPr>
              <w:t>935</w:t>
            </w:r>
          </w:p>
        </w:tc>
        <w:tc>
          <w:tcPr>
            <w:tcW w:w="1064" w:type="dxa"/>
            <w:vAlign w:val="center"/>
          </w:tcPr>
          <w:p w14:paraId="08EFABDD" w14:textId="77777777" w:rsidR="0018604C" w:rsidRPr="00D06E2E" w:rsidRDefault="0018604C" w:rsidP="00556F2C">
            <w:pPr>
              <w:spacing w:after="0"/>
              <w:jc w:val="center"/>
              <w:rPr>
                <w:rFonts w:cs="Arial"/>
                <w:b/>
                <w:bCs/>
                <w:lang w:val="sr-Latn-RS"/>
              </w:rPr>
            </w:pPr>
            <w:r w:rsidRPr="00D06E2E">
              <w:rPr>
                <w:rFonts w:cs="Arial"/>
                <w:b/>
                <w:bCs/>
                <w:lang w:val="sr-Latn-RS"/>
              </w:rPr>
              <w:t>100%</w:t>
            </w:r>
          </w:p>
        </w:tc>
      </w:tr>
    </w:tbl>
    <w:p w14:paraId="51B180FA" w14:textId="77777777" w:rsidR="0018604C" w:rsidRPr="00D06E2E" w:rsidRDefault="0018604C" w:rsidP="0018604C">
      <w:pPr>
        <w:spacing w:after="0"/>
        <w:rPr>
          <w:rFonts w:cs="Arial"/>
          <w:lang w:val="sr-Latn-RS"/>
        </w:rPr>
      </w:pPr>
    </w:p>
    <w:p w14:paraId="21ADDE73" w14:textId="1F5781B4" w:rsidR="0018604C" w:rsidRPr="00D06E2E" w:rsidRDefault="00A77864" w:rsidP="0018604C">
      <w:pPr>
        <w:rPr>
          <w:rFonts w:cs="Arial"/>
          <w:lang w:val="sr-Latn-RS"/>
        </w:rPr>
      </w:pPr>
      <w:r w:rsidRPr="00D06E2E">
        <w:rPr>
          <w:rFonts w:cs="Arial"/>
          <w:lang w:val="sr-Latn-RS"/>
        </w:rPr>
        <w:t>The majority of received complaints is inadmissible by the Protector of Citizens because legally prescribed conditions for handling them were not fulfilled. The complaints are inadmissible due to incompetence, untimeliness, prematurity, anonymity and formal deficiency.</w:t>
      </w:r>
      <w:r w:rsidR="0018604C" w:rsidRPr="00D06E2E">
        <w:rPr>
          <w:rFonts w:cs="Arial"/>
          <w:lang w:val="sr-Latn-RS"/>
        </w:rPr>
        <w:t xml:space="preserve"> </w:t>
      </w:r>
    </w:p>
    <w:p w14:paraId="263B9D46" w14:textId="66D6D8A0" w:rsidR="0018604C" w:rsidRPr="00D06E2E" w:rsidRDefault="00A77864" w:rsidP="0018604C">
      <w:pPr>
        <w:spacing w:after="0"/>
        <w:rPr>
          <w:rFonts w:cs="Times New Roman"/>
          <w:lang w:val="sr-Latn-RS"/>
        </w:rPr>
      </w:pPr>
      <w:r w:rsidRPr="00D06E2E">
        <w:rPr>
          <w:rFonts w:cs="Arial"/>
          <w:lang w:val="sr-Latn-RS"/>
        </w:rPr>
        <w:t xml:space="preserve">A very important segment of acting of the Protector of Citizens upon complaints is the provision of advisory-legal assistance which is provided by the Protector of Citizens even when the complaint is inadmissible because of incompetence or prematurity. Such advisory assistance is provided to citizens in </w:t>
      </w:r>
      <w:r w:rsidR="0018604C" w:rsidRPr="00D06E2E">
        <w:rPr>
          <w:rFonts w:cs="Times New Roman"/>
          <w:lang w:val="sr-Latn-RS"/>
        </w:rPr>
        <w:t>69</w:t>
      </w:r>
      <w:r w:rsidRPr="00D06E2E">
        <w:rPr>
          <w:rFonts w:cs="Times New Roman"/>
          <w:lang w:val="sr-Latn-RS"/>
        </w:rPr>
        <w:t>.</w:t>
      </w:r>
      <w:r w:rsidR="00184A5C" w:rsidRPr="00D06E2E">
        <w:rPr>
          <w:rFonts w:cs="Times New Roman"/>
          <w:lang w:val="sr-Latn-RS"/>
        </w:rPr>
        <w:t>80</w:t>
      </w:r>
      <w:r w:rsidR="001E5554" w:rsidRPr="00D06E2E">
        <w:rPr>
          <w:rFonts w:cs="Times New Roman"/>
          <w:lang w:val="sr-Latn-RS"/>
        </w:rPr>
        <w:t xml:space="preserve"> </w:t>
      </w:r>
      <w:r w:rsidRPr="00D06E2E">
        <w:rPr>
          <w:rFonts w:cs="Times New Roman"/>
          <w:lang w:val="sr-Latn-RS"/>
        </w:rPr>
        <w:t>percent</w:t>
      </w:r>
      <w:r w:rsidR="0018604C" w:rsidRPr="00D06E2E">
        <w:rPr>
          <w:rFonts w:cs="Times New Roman"/>
          <w:lang w:val="sr-Latn-RS"/>
        </w:rPr>
        <w:t xml:space="preserve"> </w:t>
      </w:r>
      <w:r w:rsidR="0018604C" w:rsidRPr="00D06E2E">
        <w:rPr>
          <w:rFonts w:cs="Arial"/>
          <w:lang w:val="sr-Latn-RS"/>
        </w:rPr>
        <w:t>одбачених предмета (1</w:t>
      </w:r>
      <w:r w:rsidRPr="00D06E2E">
        <w:rPr>
          <w:rFonts w:cs="Arial"/>
          <w:lang w:val="sr-Latn-RS"/>
        </w:rPr>
        <w:t>,</w:t>
      </w:r>
      <w:r w:rsidR="0018604C" w:rsidRPr="00D06E2E">
        <w:rPr>
          <w:rFonts w:cs="Arial"/>
          <w:lang w:val="sr-Latn-RS"/>
        </w:rPr>
        <w:t xml:space="preserve">799). </w:t>
      </w:r>
      <w:r w:rsidRPr="00D06E2E">
        <w:rPr>
          <w:rFonts w:cs="Times New Roman"/>
          <w:lang w:val="sr-Latn-RS"/>
        </w:rPr>
        <w:t>In such cases the Protector of Citizens refers the complainant to the competent body or advises them on available legal remedies.</w:t>
      </w:r>
      <w:r w:rsidR="0018604C" w:rsidRPr="00D06E2E">
        <w:rPr>
          <w:rFonts w:cs="Times New Roman"/>
          <w:lang w:val="sr-Latn-RS"/>
        </w:rPr>
        <w:t xml:space="preserve"> </w:t>
      </w:r>
    </w:p>
    <w:p w14:paraId="17EE2EF5" w14:textId="609FF5E6" w:rsidR="00836C2D" w:rsidRPr="00D06E2E" w:rsidRDefault="00836C2D" w:rsidP="00F83478">
      <w:pPr>
        <w:spacing w:after="0"/>
        <w:rPr>
          <w:rFonts w:cs="Times New Roman"/>
          <w:lang w:val="sr-Latn-RS"/>
        </w:rPr>
      </w:pPr>
    </w:p>
    <w:p w14:paraId="73A952D7" w14:textId="2A0E5817" w:rsidR="0018604C" w:rsidRPr="00D06E2E" w:rsidRDefault="0018604C" w:rsidP="00F83478">
      <w:pPr>
        <w:spacing w:after="0"/>
        <w:rPr>
          <w:rFonts w:cs="Times New Roman"/>
          <w:lang w:val="sr-Latn-RS"/>
        </w:rPr>
      </w:pPr>
    </w:p>
    <w:p w14:paraId="03563AD5" w14:textId="77777777" w:rsidR="0018604C" w:rsidRPr="00D06E2E" w:rsidRDefault="0018604C" w:rsidP="00F83478">
      <w:pPr>
        <w:spacing w:after="0"/>
        <w:rPr>
          <w:rFonts w:cs="Times New Roman"/>
          <w:lang w:val="sr-Latn-RS"/>
        </w:rPr>
      </w:pPr>
    </w:p>
    <w:p w14:paraId="47426235" w14:textId="77777777" w:rsidR="00D0747C" w:rsidRPr="00D06E2E" w:rsidRDefault="00304CEE" w:rsidP="00304CEE">
      <w:pPr>
        <w:spacing w:after="0"/>
        <w:jc w:val="center"/>
        <w:rPr>
          <w:rFonts w:cs="Times New Roman"/>
          <w:sz w:val="24"/>
          <w:szCs w:val="24"/>
          <w:lang w:val="sr-Latn-RS"/>
        </w:rPr>
      </w:pPr>
      <w:r w:rsidRPr="00D06E2E">
        <w:rPr>
          <w:rFonts w:cs="Times New Roman"/>
          <w:sz w:val="24"/>
          <w:szCs w:val="24"/>
          <w:lang w:val="sr-Latn-RS"/>
        </w:rPr>
        <w:lastRenderedPageBreak/>
        <w:t xml:space="preserve">THE CLASSIFICATION OF COMPLAINTS BASED </w:t>
      </w:r>
    </w:p>
    <w:p w14:paraId="2D94C3EA" w14:textId="7D7687BD" w:rsidR="00304CEE" w:rsidRPr="00D06E2E" w:rsidRDefault="00304CEE" w:rsidP="00304CEE">
      <w:pPr>
        <w:spacing w:after="0"/>
        <w:jc w:val="center"/>
        <w:rPr>
          <w:rFonts w:cs="Times New Roman"/>
          <w:sz w:val="24"/>
          <w:szCs w:val="24"/>
          <w:lang w:val="sr-Latn-RS"/>
        </w:rPr>
      </w:pPr>
      <w:r w:rsidRPr="00D06E2E">
        <w:rPr>
          <w:rFonts w:cs="Times New Roman"/>
          <w:sz w:val="24"/>
          <w:szCs w:val="24"/>
          <w:lang w:val="sr-Latn-RS"/>
        </w:rPr>
        <w:t>ON VIOLATED RIGHTS</w:t>
      </w:r>
      <w:r w:rsidR="00124C9D" w:rsidRPr="00D06E2E">
        <w:rPr>
          <w:rFonts w:cs="Times New Roman"/>
          <w:sz w:val="24"/>
          <w:szCs w:val="24"/>
          <w:lang w:val="sr-Latn-RS"/>
        </w:rPr>
        <w:t xml:space="preserve"> </w:t>
      </w:r>
    </w:p>
    <w:p w14:paraId="3BF09D61" w14:textId="35DFEA76" w:rsidR="00836C2D" w:rsidRPr="00D06E2E" w:rsidRDefault="00836C2D" w:rsidP="00AF6735">
      <w:pPr>
        <w:jc w:val="center"/>
        <w:rPr>
          <w:rFonts w:cs="Times New Roman"/>
          <w:sz w:val="24"/>
          <w:szCs w:val="24"/>
          <w:lang w:val="sr-Latn-RS"/>
        </w:rPr>
      </w:pPr>
    </w:p>
    <w:p w14:paraId="4BCFD153" w14:textId="42F3DBF3" w:rsidR="00406F3E" w:rsidRPr="00D06E2E" w:rsidRDefault="00A77864" w:rsidP="00406F3E">
      <w:pPr>
        <w:spacing w:after="0"/>
        <w:rPr>
          <w:rFonts w:cs="Times New Roman"/>
          <w:lang w:val="sr-Latn-RS"/>
        </w:rPr>
      </w:pPr>
      <w:r w:rsidRPr="00D06E2E">
        <w:rPr>
          <w:rFonts w:cs="Times New Roman"/>
          <w:lang w:val="sr-Latn-RS"/>
        </w:rPr>
        <w:t>By handling</w:t>
      </w:r>
      <w:r w:rsidR="00AF6735" w:rsidRPr="00D06E2E">
        <w:rPr>
          <w:rFonts w:cs="Times New Roman"/>
          <w:lang w:val="sr-Latn-RS"/>
        </w:rPr>
        <w:t xml:space="preserve"> 4</w:t>
      </w:r>
      <w:r w:rsidRPr="00D06E2E">
        <w:rPr>
          <w:rFonts w:cs="Times New Roman"/>
          <w:lang w:val="sr-Latn-RS"/>
        </w:rPr>
        <w:t>,</w:t>
      </w:r>
      <w:r w:rsidR="00AF6735" w:rsidRPr="00D06E2E">
        <w:rPr>
          <w:rFonts w:cs="Times New Roman"/>
          <w:lang w:val="sr-Latn-RS"/>
        </w:rPr>
        <w:t xml:space="preserve">425 </w:t>
      </w:r>
      <w:r w:rsidRPr="00D06E2E">
        <w:rPr>
          <w:rFonts w:cs="Times New Roman"/>
          <w:lang w:val="sr-Latn-RS"/>
        </w:rPr>
        <w:t xml:space="preserve">cases during </w:t>
      </w:r>
      <w:r w:rsidR="00AF6735" w:rsidRPr="00D06E2E">
        <w:rPr>
          <w:rFonts w:cs="Times New Roman"/>
          <w:lang w:val="sr-Latn-RS"/>
        </w:rPr>
        <w:t>2023</w:t>
      </w:r>
      <w:r w:rsidRPr="00D06E2E">
        <w:rPr>
          <w:rFonts w:cs="Times New Roman"/>
          <w:lang w:val="sr-Latn-RS"/>
        </w:rPr>
        <w:t xml:space="preserve"> it was confirmed that there were in total </w:t>
      </w:r>
      <w:r w:rsidR="00AF6735" w:rsidRPr="00D06E2E">
        <w:rPr>
          <w:rFonts w:cs="Times New Roman"/>
          <w:lang w:val="sr-Latn-RS"/>
        </w:rPr>
        <w:t>5</w:t>
      </w:r>
      <w:r w:rsidRPr="00D06E2E">
        <w:rPr>
          <w:rFonts w:cs="Times New Roman"/>
          <w:lang w:val="sr-Latn-RS"/>
        </w:rPr>
        <w:t>,</w:t>
      </w:r>
      <w:r w:rsidR="00AF6735" w:rsidRPr="00D06E2E">
        <w:rPr>
          <w:rFonts w:cs="Times New Roman"/>
          <w:lang w:val="sr-Latn-RS"/>
        </w:rPr>
        <w:t xml:space="preserve">181 </w:t>
      </w:r>
      <w:r w:rsidRPr="00D06E2E">
        <w:rPr>
          <w:rFonts w:cs="Times New Roman"/>
          <w:lang w:val="sr-Latn-RS"/>
        </w:rPr>
        <w:t xml:space="preserve">violations of rights, of which more than a half were violations of good administration principles and economic and property rights of citizens. </w:t>
      </w:r>
      <w:r w:rsidR="00406F3E" w:rsidRPr="00D06E2E">
        <w:rPr>
          <w:rFonts w:cs="Times New Roman"/>
          <w:lang w:val="sr-Latn-RS"/>
        </w:rPr>
        <w:t>It confirms the fact that good administration principles are violated within all administrative authorities before which citizens, including the vulnerable groups, exercise their rights, which makes the problem of the violation of this right even more sensitive and difficult as well as that economic and property rights of citizens were especially endangered in the reporting period.</w:t>
      </w:r>
    </w:p>
    <w:p w14:paraId="67D96939" w14:textId="77777777" w:rsidR="00406F3E" w:rsidRPr="00D06E2E" w:rsidRDefault="00406F3E" w:rsidP="00AF6735">
      <w:pPr>
        <w:pStyle w:val="Caption"/>
        <w:spacing w:before="0"/>
        <w:jc w:val="center"/>
        <w:rPr>
          <w:lang w:val="sr-Latn-RS"/>
        </w:rPr>
      </w:pPr>
    </w:p>
    <w:p w14:paraId="79EE67DF" w14:textId="0C5C949D" w:rsidR="00AF6735" w:rsidRPr="00D06E2E" w:rsidRDefault="00406F3E" w:rsidP="00406F3E">
      <w:pPr>
        <w:pStyle w:val="Caption"/>
        <w:spacing w:before="0"/>
        <w:jc w:val="center"/>
        <w:rPr>
          <w:lang w:val="sr-Latn-RS"/>
        </w:rPr>
      </w:pPr>
      <w:r w:rsidRPr="00D06E2E">
        <w:rPr>
          <w:lang w:val="sr-Latn-RS"/>
        </w:rPr>
        <w:t>Chart</w:t>
      </w:r>
      <w:r w:rsidR="00AF6735" w:rsidRPr="00D06E2E">
        <w:rPr>
          <w:lang w:val="sr-Latn-RS"/>
        </w:rPr>
        <w:t xml:space="preserve"> </w:t>
      </w:r>
      <w:r w:rsidR="00AF6735" w:rsidRPr="00D06E2E">
        <w:rPr>
          <w:lang w:val="sr-Latn-RS"/>
        </w:rPr>
        <w:fldChar w:fldCharType="begin"/>
      </w:r>
      <w:r w:rsidR="00AF6735" w:rsidRPr="00D06E2E">
        <w:rPr>
          <w:lang w:val="sr-Latn-RS"/>
        </w:rPr>
        <w:instrText xml:space="preserve"> SEQ Графикон_ \* ARABIC </w:instrText>
      </w:r>
      <w:r w:rsidR="00AF6735" w:rsidRPr="00D06E2E">
        <w:rPr>
          <w:lang w:val="sr-Latn-RS"/>
        </w:rPr>
        <w:fldChar w:fldCharType="separate"/>
      </w:r>
      <w:r w:rsidR="006B35A7" w:rsidRPr="00D06E2E">
        <w:rPr>
          <w:noProof/>
          <w:lang w:val="sr-Latn-RS"/>
        </w:rPr>
        <w:t>1</w:t>
      </w:r>
      <w:r w:rsidR="00AF6735" w:rsidRPr="00D06E2E">
        <w:rPr>
          <w:noProof/>
          <w:lang w:val="sr-Latn-RS"/>
        </w:rPr>
        <w:fldChar w:fldCharType="end"/>
      </w:r>
      <w:r w:rsidR="00AF6735" w:rsidRPr="00D06E2E">
        <w:rPr>
          <w:lang w:val="sr-Latn-RS"/>
        </w:rPr>
        <w:t xml:space="preserve"> – </w:t>
      </w:r>
      <w:r w:rsidRPr="00D06E2E">
        <w:rPr>
          <w:lang w:val="sr-Latn-RS"/>
        </w:rPr>
        <w:t>Number and classification of complaints by violated rights</w:t>
      </w:r>
    </w:p>
    <w:p w14:paraId="31809834" w14:textId="3817FB8B" w:rsidR="00836C2D" w:rsidRPr="00D06E2E" w:rsidRDefault="00AF6735" w:rsidP="00EB5503">
      <w:pPr>
        <w:spacing w:after="0"/>
        <w:jc w:val="center"/>
        <w:rPr>
          <w:sz w:val="24"/>
          <w:szCs w:val="24"/>
          <w:highlight w:val="yellow"/>
          <w:lang w:val="sr-Latn-RS"/>
        </w:rPr>
      </w:pPr>
      <w:r w:rsidRPr="00D06E2E">
        <w:rPr>
          <w:noProof/>
          <w:lang w:val="sr-Latn-RS"/>
        </w:rPr>
        <w:drawing>
          <wp:inline distT="0" distB="0" distL="0" distR="0" wp14:anchorId="6F7D4B9B" wp14:editId="6601F10E">
            <wp:extent cx="5991860" cy="6179128"/>
            <wp:effectExtent l="0" t="0" r="889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1BF26B" w14:textId="4C363DDA" w:rsidR="00836C2D" w:rsidRPr="00D06E2E" w:rsidRDefault="00836C2D" w:rsidP="00F83478">
      <w:pPr>
        <w:spacing w:after="0"/>
        <w:rPr>
          <w:rFonts w:cs="Times New Roman"/>
          <w:lang w:val="sr-Latn-RS"/>
        </w:rPr>
      </w:pPr>
    </w:p>
    <w:p w14:paraId="57EFAEA2" w14:textId="4EEA9759" w:rsidR="00836C2D" w:rsidRPr="00D06E2E" w:rsidRDefault="00836C2D" w:rsidP="00F83478">
      <w:pPr>
        <w:spacing w:after="0"/>
        <w:rPr>
          <w:rFonts w:cs="Times New Roman"/>
          <w:lang w:val="sr-Latn-RS"/>
        </w:rPr>
      </w:pPr>
    </w:p>
    <w:p w14:paraId="7E3382A6" w14:textId="3B497C71" w:rsidR="00836C2D" w:rsidRPr="00D06E2E" w:rsidRDefault="00D0747C" w:rsidP="003E6759">
      <w:pPr>
        <w:pStyle w:val="Heading2"/>
        <w:spacing w:before="0" w:after="0"/>
        <w:rPr>
          <w:lang w:val="sr-Latn-RS"/>
        </w:rPr>
      </w:pPr>
      <w:bookmarkStart w:id="46" w:name="_Toc66712477"/>
      <w:bookmarkStart w:id="47" w:name="_Toc161659196"/>
      <w:r w:rsidRPr="00D06E2E">
        <w:rPr>
          <w:lang w:val="sr-Latn-RS"/>
        </w:rPr>
        <w:t>RECOMMENDATIONS</w:t>
      </w:r>
      <w:r w:rsidR="003A1BA9" w:rsidRPr="00D06E2E">
        <w:rPr>
          <w:lang w:val="sr-Latn-RS"/>
        </w:rPr>
        <w:t xml:space="preserve">, </w:t>
      </w:r>
      <w:r w:rsidRPr="00D06E2E">
        <w:rPr>
          <w:lang w:val="sr-Latn-RS"/>
        </w:rPr>
        <w:t>OPINIONS AND LEGISLATIVE INITIATIVES OF THE PROTECTOR OF CITIZENS</w:t>
      </w:r>
      <w:r w:rsidR="003A1BA9" w:rsidRPr="00D06E2E">
        <w:rPr>
          <w:lang w:val="sr-Latn-RS"/>
        </w:rPr>
        <w:t xml:space="preserve"> </w:t>
      </w:r>
      <w:bookmarkEnd w:id="46"/>
      <w:bookmarkEnd w:id="47"/>
      <w:r w:rsidR="00836C2D" w:rsidRPr="00D06E2E">
        <w:rPr>
          <w:lang w:val="sr-Latn-RS"/>
        </w:rPr>
        <w:br/>
      </w:r>
    </w:p>
    <w:p w14:paraId="092D8CD5" w14:textId="55477965" w:rsidR="00836C2D" w:rsidRPr="00D06E2E" w:rsidRDefault="00D0747C" w:rsidP="00EB486A">
      <w:pPr>
        <w:jc w:val="center"/>
        <w:rPr>
          <w:rStyle w:val="Strong"/>
          <w:b w:val="0"/>
          <w:sz w:val="24"/>
          <w:szCs w:val="24"/>
          <w:lang w:val="sr-Latn-RS"/>
        </w:rPr>
      </w:pPr>
      <w:r w:rsidRPr="00D06E2E">
        <w:rPr>
          <w:rStyle w:val="Strong"/>
          <w:b w:val="0"/>
          <w:sz w:val="24"/>
          <w:szCs w:val="24"/>
          <w:lang w:val="sr-Latn-RS"/>
        </w:rPr>
        <w:t>RECOMMENDATIONS</w:t>
      </w:r>
    </w:p>
    <w:p w14:paraId="6918DAEE" w14:textId="367019C9" w:rsidR="00EB486A" w:rsidRPr="00D06E2E" w:rsidRDefault="00406F3E" w:rsidP="00EB486A">
      <w:pPr>
        <w:spacing w:after="0"/>
        <w:rPr>
          <w:rFonts w:cs="Times New Roman"/>
          <w:lang w:val="sr-Latn-RS"/>
        </w:rPr>
      </w:pPr>
      <w:r w:rsidRPr="00D06E2E">
        <w:rPr>
          <w:rFonts w:cs="Times New Roman"/>
          <w:lang w:val="sr-Latn-RS"/>
        </w:rPr>
        <w:t xml:space="preserve">During 2023, the Protector of Citizens </w:t>
      </w:r>
      <w:r w:rsidRPr="00D06E2E">
        <w:rPr>
          <w:lang w:val="sr-Latn-RS"/>
        </w:rPr>
        <w:t xml:space="preserve">issued </w:t>
      </w:r>
      <w:r w:rsidRPr="00D06E2E">
        <w:rPr>
          <w:rFonts w:cs="Times New Roman"/>
          <w:lang w:val="sr-Latn-RS"/>
        </w:rPr>
        <w:t>in total</w:t>
      </w:r>
      <w:r w:rsidR="00EB486A" w:rsidRPr="00D06E2E">
        <w:rPr>
          <w:rFonts w:cs="Times New Roman"/>
          <w:lang w:val="sr-Latn-RS"/>
        </w:rPr>
        <w:t xml:space="preserve"> 831</w:t>
      </w:r>
      <w:r w:rsidR="00EB486A" w:rsidRPr="00D06E2E">
        <w:rPr>
          <w:rFonts w:cs="Times New Roman"/>
          <w:b/>
          <w:lang w:val="sr-Latn-RS"/>
        </w:rPr>
        <w:t xml:space="preserve"> </w:t>
      </w:r>
      <w:r w:rsidRPr="00D06E2E">
        <w:rPr>
          <w:rFonts w:cs="Times New Roman"/>
          <w:lang w:val="sr-Latn-RS"/>
        </w:rPr>
        <w:t xml:space="preserve">recommendations to administrative authorities, </w:t>
      </w:r>
      <w:r w:rsidR="00EB486A" w:rsidRPr="00D06E2E">
        <w:rPr>
          <w:rFonts w:cs="Times New Roman"/>
          <w:lang w:val="sr-Latn-RS"/>
        </w:rPr>
        <w:t>372</w:t>
      </w:r>
      <w:r w:rsidR="00EB486A" w:rsidRPr="00D06E2E">
        <w:rPr>
          <w:rFonts w:cs="Times New Roman"/>
          <w:b/>
          <w:lang w:val="sr-Latn-RS"/>
        </w:rPr>
        <w:t xml:space="preserve"> </w:t>
      </w:r>
      <w:r w:rsidRPr="00D06E2E">
        <w:rPr>
          <w:rFonts w:cs="Times New Roman"/>
          <w:lang w:val="sr-Latn-RS"/>
        </w:rPr>
        <w:t xml:space="preserve">of which were in the oversight </w:t>
      </w:r>
      <w:r w:rsidR="000B6498" w:rsidRPr="00D06E2E">
        <w:rPr>
          <w:rFonts w:cs="Times New Roman"/>
          <w:lang w:val="sr-Latn-RS"/>
        </w:rPr>
        <w:t>investigation</w:t>
      </w:r>
      <w:r w:rsidRPr="00D06E2E">
        <w:rPr>
          <w:rFonts w:cs="Times New Roman"/>
          <w:lang w:val="sr-Latn-RS"/>
        </w:rPr>
        <w:t xml:space="preserve"> and </w:t>
      </w:r>
      <w:r w:rsidR="00EB486A" w:rsidRPr="00D06E2E">
        <w:rPr>
          <w:rFonts w:cs="Times New Roman"/>
          <w:lang w:val="sr-Latn-RS"/>
        </w:rPr>
        <w:t>459</w:t>
      </w:r>
      <w:r w:rsidR="00EB486A" w:rsidRPr="00D06E2E">
        <w:rPr>
          <w:rFonts w:cs="Times New Roman"/>
          <w:b/>
          <w:lang w:val="sr-Latn-RS"/>
        </w:rPr>
        <w:t xml:space="preserve"> </w:t>
      </w:r>
      <w:r w:rsidRPr="00D06E2E">
        <w:rPr>
          <w:rFonts w:cs="Times New Roman"/>
          <w:lang w:val="sr-Latn-RS"/>
        </w:rPr>
        <w:t xml:space="preserve">in the expedited oversight </w:t>
      </w:r>
      <w:r w:rsidR="000B6498" w:rsidRPr="00D06E2E">
        <w:rPr>
          <w:rFonts w:cs="Times New Roman"/>
          <w:lang w:val="sr-Latn-RS"/>
        </w:rPr>
        <w:t>investigation</w:t>
      </w:r>
      <w:r w:rsidR="00EB486A" w:rsidRPr="00D06E2E">
        <w:rPr>
          <w:rFonts w:cs="Times New Roman"/>
          <w:lang w:val="sr-Latn-RS"/>
        </w:rPr>
        <w:t xml:space="preserve">. </w:t>
      </w:r>
      <w:r w:rsidR="000B6498" w:rsidRPr="00D06E2E">
        <w:rPr>
          <w:rFonts w:cs="Times New Roman"/>
          <w:lang w:val="sr-Latn-RS"/>
        </w:rPr>
        <w:t>In</w:t>
      </w:r>
      <w:r w:rsidRPr="00D06E2E">
        <w:rPr>
          <w:rFonts w:cs="Times New Roman"/>
          <w:lang w:val="sr-Latn-RS"/>
        </w:rPr>
        <w:t xml:space="preserve"> the </w:t>
      </w:r>
      <w:r w:rsidR="000B6498" w:rsidRPr="00D06E2E">
        <w:rPr>
          <w:rFonts w:cs="Times New Roman"/>
          <w:lang w:val="sr-Latn-RS"/>
        </w:rPr>
        <w:t>capacity</w:t>
      </w:r>
      <w:r w:rsidRPr="00D06E2E">
        <w:rPr>
          <w:rFonts w:cs="Times New Roman"/>
          <w:lang w:val="sr-Latn-RS"/>
        </w:rPr>
        <w:t xml:space="preserve"> of the National Preventive Mechanism, the Protector of Citizens issued</w:t>
      </w:r>
      <w:r w:rsidR="00EB486A" w:rsidRPr="00D06E2E">
        <w:rPr>
          <w:rFonts w:cs="Times New Roman"/>
          <w:lang w:val="sr-Latn-RS"/>
        </w:rPr>
        <w:t xml:space="preserve"> </w:t>
      </w:r>
      <w:r w:rsidR="00C540E9" w:rsidRPr="00D06E2E">
        <w:rPr>
          <w:rFonts w:cs="Times New Roman"/>
          <w:lang w:val="sr-Latn-RS"/>
        </w:rPr>
        <w:t>234</w:t>
      </w:r>
      <w:r w:rsidR="00EB486A" w:rsidRPr="00D06E2E">
        <w:rPr>
          <w:rFonts w:cs="Times New Roman"/>
          <w:lang w:val="sr-Latn-RS"/>
        </w:rPr>
        <w:t xml:space="preserve"> </w:t>
      </w:r>
      <w:r w:rsidRPr="00D06E2E">
        <w:rPr>
          <w:rFonts w:cs="Times New Roman"/>
          <w:lang w:val="sr-Latn-RS"/>
        </w:rPr>
        <w:t>recommendations</w:t>
      </w:r>
      <w:r w:rsidR="00EB486A" w:rsidRPr="00D06E2E">
        <w:rPr>
          <w:rFonts w:cs="Times New Roman"/>
          <w:lang w:val="sr-Latn-RS"/>
        </w:rPr>
        <w:t xml:space="preserve">. </w:t>
      </w:r>
    </w:p>
    <w:p w14:paraId="7993C7D4" w14:textId="77777777" w:rsidR="00EB486A" w:rsidRPr="00D06E2E" w:rsidRDefault="00EB486A" w:rsidP="00EB486A">
      <w:pPr>
        <w:spacing w:after="0"/>
        <w:rPr>
          <w:rFonts w:cs="Times New Roman"/>
          <w:lang w:val="sr-Latn-RS"/>
        </w:rPr>
      </w:pPr>
    </w:p>
    <w:p w14:paraId="35661B62" w14:textId="1F34BFAF" w:rsidR="00EB486A" w:rsidRPr="00D06E2E" w:rsidRDefault="000B6498" w:rsidP="00EB486A">
      <w:pPr>
        <w:jc w:val="center"/>
        <w:rPr>
          <w:rFonts w:cs="Times New Roman"/>
          <w:b/>
          <w:lang w:val="sr-Latn-RS"/>
        </w:rPr>
      </w:pPr>
      <w:r w:rsidRPr="00D06E2E">
        <w:rPr>
          <w:rFonts w:cs="Times New Roman"/>
          <w:b/>
          <w:lang w:val="sr-Latn-RS"/>
        </w:rPr>
        <w:t>Table</w:t>
      </w:r>
      <w:r w:rsidR="00EB486A" w:rsidRPr="00D06E2E">
        <w:rPr>
          <w:rFonts w:cs="Times New Roman"/>
          <w:b/>
          <w:lang w:val="sr-Latn-RS"/>
        </w:rPr>
        <w:t xml:space="preserve"> 8 – </w:t>
      </w:r>
      <w:r w:rsidR="00B736F0" w:rsidRPr="00D06E2E">
        <w:rPr>
          <w:rFonts w:cs="Times New Roman"/>
          <w:b/>
          <w:lang w:val="sr-Latn-RS"/>
        </w:rPr>
        <w:t>The o</w:t>
      </w:r>
      <w:r w:rsidRPr="00D06E2E">
        <w:rPr>
          <w:rFonts w:cs="Times New Roman"/>
          <w:b/>
          <w:lang w:val="sr-Latn-RS"/>
        </w:rPr>
        <w:t>verview of the number of issued recommendations in 2023</w:t>
      </w:r>
      <w:r w:rsidR="00EB486A" w:rsidRPr="00D06E2E">
        <w:rPr>
          <w:rFonts w:cs="Times New Roman"/>
          <w:b/>
          <w:lang w:val="sr-Latn-RS"/>
        </w:rPr>
        <w:t xml:space="preserve"> </w:t>
      </w:r>
    </w:p>
    <w:tbl>
      <w:tblPr>
        <w:tblW w:w="6658" w:type="dxa"/>
        <w:jc w:val="center"/>
        <w:tblBorders>
          <w:top w:val="single" w:sz="12" w:space="0" w:color="0070C0"/>
          <w:bottom w:val="single" w:sz="12" w:space="0" w:color="0070C0"/>
          <w:insideH w:val="single" w:sz="8" w:space="0" w:color="0070C0"/>
          <w:insideV w:val="single" w:sz="8" w:space="0" w:color="0070C0"/>
        </w:tblBorders>
        <w:tblCellMar>
          <w:left w:w="0" w:type="dxa"/>
          <w:right w:w="0" w:type="dxa"/>
        </w:tblCellMar>
        <w:tblLook w:val="00A0" w:firstRow="1" w:lastRow="0" w:firstColumn="1" w:lastColumn="0" w:noHBand="0" w:noVBand="0"/>
      </w:tblPr>
      <w:tblGrid>
        <w:gridCol w:w="4753"/>
        <w:gridCol w:w="1905"/>
      </w:tblGrid>
      <w:tr w:rsidR="00EB486A" w:rsidRPr="00D06E2E" w14:paraId="0769FAE9" w14:textId="77777777" w:rsidTr="006576C8">
        <w:trPr>
          <w:trHeight w:hRule="exact" w:val="329"/>
          <w:jc w:val="center"/>
        </w:trPr>
        <w:tc>
          <w:tcPr>
            <w:tcW w:w="4753" w:type="dxa"/>
            <w:tcBorders>
              <w:top w:val="single" w:sz="2"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tcPr>
          <w:p w14:paraId="293552BF" w14:textId="77777777" w:rsidR="00EB486A" w:rsidRPr="00D06E2E" w:rsidRDefault="00EB486A" w:rsidP="00556F2C">
            <w:pPr>
              <w:spacing w:after="0"/>
              <w:rPr>
                <w:rFonts w:cs="Times New Roman"/>
                <w:b/>
                <w:bCs/>
                <w:lang w:val="sr-Latn-RS"/>
              </w:rPr>
            </w:pPr>
          </w:p>
        </w:tc>
        <w:tc>
          <w:tcPr>
            <w:tcW w:w="1905" w:type="dxa"/>
            <w:tcBorders>
              <w:top w:val="single" w:sz="2" w:space="0" w:color="0070C0"/>
              <w:left w:val="single" w:sz="8" w:space="0" w:color="0070C0"/>
              <w:bottom w:val="single" w:sz="2" w:space="0" w:color="0070C0"/>
              <w:right w:val="single" w:sz="8" w:space="0" w:color="0070C0"/>
            </w:tcBorders>
          </w:tcPr>
          <w:p w14:paraId="7DB4428C" w14:textId="60420792" w:rsidR="00EB486A" w:rsidRPr="00D06E2E" w:rsidRDefault="000B6498" w:rsidP="00556F2C">
            <w:pPr>
              <w:spacing w:after="0"/>
              <w:jc w:val="center"/>
              <w:rPr>
                <w:rFonts w:cs="Times New Roman"/>
                <w:b/>
                <w:bCs/>
                <w:lang w:val="sr-Latn-RS"/>
              </w:rPr>
            </w:pPr>
            <w:r w:rsidRPr="00D06E2E">
              <w:rPr>
                <w:rFonts w:cs="Times New Roman"/>
                <w:b/>
                <w:bCs/>
                <w:lang w:val="sr-Latn-RS"/>
              </w:rPr>
              <w:t>2023</w:t>
            </w:r>
          </w:p>
        </w:tc>
      </w:tr>
      <w:tr w:rsidR="00EB486A" w:rsidRPr="00D06E2E" w14:paraId="01BCBFC0" w14:textId="77777777" w:rsidTr="000B6498">
        <w:trPr>
          <w:trHeight w:hRule="exact" w:val="599"/>
          <w:jc w:val="center"/>
        </w:trPr>
        <w:tc>
          <w:tcPr>
            <w:tcW w:w="4753" w:type="dxa"/>
            <w:tcBorders>
              <w:top w:val="single" w:sz="2" w:space="0" w:color="0070C0"/>
              <w:left w:val="single" w:sz="2" w:space="0" w:color="0070C0"/>
              <w:bottom w:val="single" w:sz="8" w:space="0" w:color="0070C0"/>
              <w:right w:val="single" w:sz="8" w:space="0" w:color="0070C0"/>
            </w:tcBorders>
            <w:tcMar>
              <w:top w:w="0" w:type="dxa"/>
              <w:left w:w="108" w:type="dxa"/>
              <w:bottom w:w="0" w:type="dxa"/>
              <w:right w:w="108" w:type="dxa"/>
            </w:tcMar>
            <w:vAlign w:val="center"/>
          </w:tcPr>
          <w:p w14:paraId="07CB6E7A" w14:textId="7C57BE4D" w:rsidR="00EB486A" w:rsidRPr="00D06E2E" w:rsidRDefault="000B6498" w:rsidP="000B6498">
            <w:pPr>
              <w:spacing w:after="0"/>
              <w:rPr>
                <w:rFonts w:cs="Times New Roman"/>
                <w:lang w:val="sr-Latn-RS"/>
              </w:rPr>
            </w:pPr>
            <w:r w:rsidRPr="00D06E2E">
              <w:rPr>
                <w:rFonts w:cs="Times New Roman"/>
                <w:lang w:val="sr-Latn-RS"/>
              </w:rPr>
              <w:t>Recommendations issued in the oversight investigation</w:t>
            </w:r>
          </w:p>
        </w:tc>
        <w:tc>
          <w:tcPr>
            <w:tcW w:w="1905" w:type="dxa"/>
            <w:tcBorders>
              <w:top w:val="single" w:sz="2" w:space="0" w:color="0070C0"/>
              <w:left w:val="single" w:sz="8" w:space="0" w:color="0070C0"/>
              <w:bottom w:val="single" w:sz="8" w:space="0" w:color="0070C0"/>
              <w:right w:val="single" w:sz="8" w:space="0" w:color="0070C0"/>
            </w:tcBorders>
          </w:tcPr>
          <w:p w14:paraId="2259E9C8" w14:textId="77777777" w:rsidR="00EB486A" w:rsidRPr="00D06E2E" w:rsidRDefault="00EB486A" w:rsidP="00556F2C">
            <w:pPr>
              <w:spacing w:after="0"/>
              <w:jc w:val="center"/>
              <w:rPr>
                <w:rFonts w:cs="Times New Roman"/>
                <w:bCs/>
                <w:lang w:val="sr-Latn-RS"/>
              </w:rPr>
            </w:pPr>
            <w:r w:rsidRPr="00D06E2E">
              <w:rPr>
                <w:rFonts w:cs="Times New Roman"/>
                <w:bCs/>
                <w:lang w:val="sr-Latn-RS"/>
              </w:rPr>
              <w:t>372</w:t>
            </w:r>
          </w:p>
          <w:p w14:paraId="6E6A5E9E" w14:textId="62180BD1" w:rsidR="00EB486A" w:rsidRPr="00D06E2E" w:rsidRDefault="00EB486A" w:rsidP="00556F2C">
            <w:pPr>
              <w:spacing w:after="0"/>
              <w:jc w:val="center"/>
              <w:rPr>
                <w:rFonts w:cs="Times New Roman"/>
                <w:bCs/>
                <w:lang w:val="sr-Latn-RS"/>
              </w:rPr>
            </w:pPr>
          </w:p>
        </w:tc>
      </w:tr>
      <w:tr w:rsidR="00EB486A" w:rsidRPr="00D06E2E" w14:paraId="626C2D57" w14:textId="77777777" w:rsidTr="000B6498">
        <w:trPr>
          <w:trHeight w:hRule="exact" w:val="641"/>
          <w:jc w:val="center"/>
        </w:trPr>
        <w:tc>
          <w:tcPr>
            <w:tcW w:w="4753" w:type="dxa"/>
            <w:tcBorders>
              <w:top w:val="single" w:sz="8"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tcPr>
          <w:p w14:paraId="4114CF0A" w14:textId="7F1B08BA" w:rsidR="00EB486A" w:rsidRPr="00D06E2E" w:rsidRDefault="000B6498" w:rsidP="000B6498">
            <w:pPr>
              <w:spacing w:after="0"/>
              <w:rPr>
                <w:rFonts w:cs="Times New Roman"/>
                <w:lang w:val="sr-Latn-RS"/>
              </w:rPr>
            </w:pPr>
            <w:r w:rsidRPr="00D06E2E">
              <w:rPr>
                <w:rFonts w:cs="Times New Roman"/>
                <w:lang w:val="sr-Latn-RS"/>
              </w:rPr>
              <w:t>Recommendations issued in the expedited oversight investigation</w:t>
            </w:r>
          </w:p>
        </w:tc>
        <w:tc>
          <w:tcPr>
            <w:tcW w:w="1905" w:type="dxa"/>
            <w:tcBorders>
              <w:top w:val="single" w:sz="8" w:space="0" w:color="0070C0"/>
              <w:left w:val="single" w:sz="8" w:space="0" w:color="0070C0"/>
              <w:bottom w:val="single" w:sz="2" w:space="0" w:color="0070C0"/>
              <w:right w:val="single" w:sz="8" w:space="0" w:color="0070C0"/>
            </w:tcBorders>
          </w:tcPr>
          <w:p w14:paraId="56578581" w14:textId="77777777" w:rsidR="00EB486A" w:rsidRPr="00D06E2E" w:rsidRDefault="00EB486A" w:rsidP="00556F2C">
            <w:pPr>
              <w:spacing w:after="0"/>
              <w:jc w:val="center"/>
              <w:rPr>
                <w:rFonts w:cs="Times New Roman"/>
                <w:bCs/>
                <w:lang w:val="sr-Latn-RS"/>
              </w:rPr>
            </w:pPr>
            <w:r w:rsidRPr="00D06E2E">
              <w:rPr>
                <w:rFonts w:cs="Times New Roman"/>
                <w:bCs/>
                <w:lang w:val="sr-Latn-RS"/>
              </w:rPr>
              <w:t>459</w:t>
            </w:r>
          </w:p>
          <w:p w14:paraId="76A992A8" w14:textId="77A547A9" w:rsidR="00EB486A" w:rsidRPr="00D06E2E" w:rsidRDefault="00EB486A" w:rsidP="00556F2C">
            <w:pPr>
              <w:spacing w:after="0"/>
              <w:jc w:val="center"/>
              <w:rPr>
                <w:rFonts w:cs="Times New Roman"/>
                <w:bCs/>
                <w:lang w:val="sr-Latn-RS"/>
              </w:rPr>
            </w:pPr>
          </w:p>
        </w:tc>
      </w:tr>
      <w:tr w:rsidR="00EB486A" w:rsidRPr="00D06E2E" w14:paraId="42C98DEB" w14:textId="77777777" w:rsidTr="006576C8">
        <w:trPr>
          <w:trHeight w:hRule="exact" w:val="601"/>
          <w:jc w:val="center"/>
        </w:trPr>
        <w:tc>
          <w:tcPr>
            <w:tcW w:w="4753" w:type="dxa"/>
            <w:tcBorders>
              <w:top w:val="single" w:sz="2" w:space="0" w:color="0070C0"/>
              <w:left w:val="single" w:sz="2" w:space="0" w:color="0070C0"/>
              <w:bottom w:val="single" w:sz="8" w:space="0" w:color="0070C0"/>
              <w:right w:val="single" w:sz="8" w:space="0" w:color="0070C0"/>
            </w:tcBorders>
            <w:tcMar>
              <w:top w:w="0" w:type="dxa"/>
              <w:left w:w="108" w:type="dxa"/>
              <w:bottom w:w="0" w:type="dxa"/>
              <w:right w:w="108" w:type="dxa"/>
            </w:tcMar>
            <w:vAlign w:val="center"/>
          </w:tcPr>
          <w:p w14:paraId="6B145B9D" w14:textId="7BEDBDCD" w:rsidR="00EB486A" w:rsidRPr="00D06E2E" w:rsidRDefault="000B6498" w:rsidP="00556F2C">
            <w:pPr>
              <w:spacing w:after="0"/>
              <w:rPr>
                <w:rFonts w:cs="Times New Roman"/>
                <w:lang w:val="sr-Latn-RS"/>
              </w:rPr>
            </w:pPr>
            <w:r w:rsidRPr="00D06E2E">
              <w:rPr>
                <w:rFonts w:cs="Times New Roman"/>
                <w:lang w:val="sr-Latn-RS"/>
              </w:rPr>
              <w:t>Recommendations issued in preventive capacity (NPM)</w:t>
            </w:r>
          </w:p>
        </w:tc>
        <w:tc>
          <w:tcPr>
            <w:tcW w:w="1905" w:type="dxa"/>
            <w:tcBorders>
              <w:top w:val="single" w:sz="2" w:space="0" w:color="0070C0"/>
              <w:left w:val="single" w:sz="8" w:space="0" w:color="0070C0"/>
              <w:bottom w:val="single" w:sz="8" w:space="0" w:color="0070C0"/>
              <w:right w:val="single" w:sz="8" w:space="0" w:color="0070C0"/>
            </w:tcBorders>
          </w:tcPr>
          <w:p w14:paraId="070B7D4A" w14:textId="77777777" w:rsidR="00EB486A" w:rsidRPr="00D06E2E" w:rsidRDefault="00EB486A" w:rsidP="00556F2C">
            <w:pPr>
              <w:spacing w:after="0"/>
              <w:jc w:val="center"/>
              <w:rPr>
                <w:rFonts w:cs="Times New Roman"/>
                <w:bCs/>
                <w:lang w:val="sr-Latn-RS"/>
              </w:rPr>
            </w:pPr>
          </w:p>
          <w:p w14:paraId="5ED23F0C" w14:textId="0D809CF3" w:rsidR="00EB486A" w:rsidRPr="00D06E2E" w:rsidRDefault="00790B18" w:rsidP="00556F2C">
            <w:pPr>
              <w:spacing w:after="0"/>
              <w:jc w:val="center"/>
              <w:rPr>
                <w:rFonts w:cs="Times New Roman"/>
                <w:bCs/>
                <w:lang w:val="sr-Latn-RS"/>
              </w:rPr>
            </w:pPr>
            <w:r w:rsidRPr="00D06E2E">
              <w:rPr>
                <w:rFonts w:cs="Times New Roman"/>
                <w:bCs/>
                <w:lang w:val="sr-Latn-RS"/>
              </w:rPr>
              <w:t>234</w:t>
            </w:r>
          </w:p>
        </w:tc>
      </w:tr>
    </w:tbl>
    <w:p w14:paraId="4956530D" w14:textId="77777777" w:rsidR="00EB486A" w:rsidRPr="00D06E2E" w:rsidRDefault="00EB486A" w:rsidP="00EB486A">
      <w:pPr>
        <w:spacing w:after="0"/>
        <w:rPr>
          <w:rFonts w:cs="Times New Roman"/>
          <w:lang w:val="sr-Latn-RS"/>
        </w:rPr>
      </w:pPr>
    </w:p>
    <w:p w14:paraId="0FBCFC08" w14:textId="432BE341" w:rsidR="00EB486A" w:rsidRPr="00D06E2E" w:rsidRDefault="000B6498" w:rsidP="00EB486A">
      <w:pPr>
        <w:rPr>
          <w:rFonts w:cs="Times New Roman"/>
          <w:lang w:val="sr-Latn-RS"/>
        </w:rPr>
      </w:pPr>
      <w:r w:rsidRPr="00D06E2E">
        <w:rPr>
          <w:rFonts w:cs="Times New Roman"/>
          <w:lang w:val="sr-Latn-RS"/>
        </w:rPr>
        <w:t>Recommendations from overisight investigation are recorded depending on the area of rights they refer to, i.e. whether they refer to the protection and promotion of the rights of vulnerable groups (persons deprived of their liberty, children, persons with disabilities, national minorities, gender equality area) or they refer to the observance of the good administration principles.</w:t>
      </w:r>
    </w:p>
    <w:p w14:paraId="5014EE17" w14:textId="5A8AECB2" w:rsidR="00C95A69" w:rsidRPr="00D06E2E" w:rsidRDefault="00C95A69" w:rsidP="00EB486A">
      <w:pPr>
        <w:spacing w:after="0"/>
        <w:rPr>
          <w:rFonts w:cs="Times New Roman"/>
          <w:lang w:val="sr-Latn-RS"/>
        </w:rPr>
      </w:pPr>
      <w:r w:rsidRPr="00D06E2E">
        <w:rPr>
          <w:rFonts w:cs="Times New Roman"/>
          <w:lang w:val="sr-Latn-RS"/>
        </w:rPr>
        <w:t>Of the total number of issued recommendations, the majority</w:t>
      </w:r>
      <w:r w:rsidR="00EB486A" w:rsidRPr="00D06E2E">
        <w:rPr>
          <w:rFonts w:cs="Times New Roman"/>
          <w:lang w:val="sr-Latn-RS"/>
        </w:rPr>
        <w:t xml:space="preserve"> (216) </w:t>
      </w:r>
      <w:r w:rsidRPr="00D06E2E">
        <w:rPr>
          <w:rFonts w:cs="Times New Roman"/>
          <w:lang w:val="sr-Latn-RS"/>
        </w:rPr>
        <w:t>refers to administrative department. In the area of child rights 56 recommendations were issued, in the area of gender equality</w:t>
      </w:r>
      <w:r w:rsidR="00EB486A" w:rsidRPr="00D06E2E">
        <w:rPr>
          <w:rFonts w:cs="Times New Roman"/>
          <w:lang w:val="sr-Latn-RS"/>
        </w:rPr>
        <w:t xml:space="preserve"> </w:t>
      </w:r>
      <w:r w:rsidRPr="00D06E2E">
        <w:rPr>
          <w:rFonts w:cs="Times New Roman"/>
          <w:lang w:val="sr-Latn-RS"/>
        </w:rPr>
        <w:t xml:space="preserve">and rights of LGBTI persons 50 recommendations, in the area of the rights of persons deprived of their liberty </w:t>
      </w:r>
      <w:r w:rsidR="00EB486A" w:rsidRPr="00D06E2E">
        <w:rPr>
          <w:rFonts w:cs="Times New Roman"/>
          <w:lang w:val="sr-Latn-RS"/>
        </w:rPr>
        <w:t xml:space="preserve">37 </w:t>
      </w:r>
      <w:r w:rsidRPr="00D06E2E">
        <w:rPr>
          <w:rFonts w:cs="Times New Roman"/>
          <w:lang w:val="sr-Latn-RS"/>
        </w:rPr>
        <w:t>recommendation</w:t>
      </w:r>
      <w:r w:rsidR="00EB486A" w:rsidRPr="00D06E2E">
        <w:rPr>
          <w:rFonts w:cs="Times New Roman"/>
          <w:lang w:val="sr-Latn-RS"/>
        </w:rPr>
        <w:t xml:space="preserve">, </w:t>
      </w:r>
      <w:r w:rsidRPr="00D06E2E">
        <w:rPr>
          <w:rFonts w:cs="Times New Roman"/>
          <w:lang w:val="sr-Latn-RS"/>
        </w:rPr>
        <w:t xml:space="preserve">in the area of the rights of persons with disabilities </w:t>
      </w:r>
      <w:r w:rsidR="00EB486A" w:rsidRPr="00D06E2E">
        <w:rPr>
          <w:rFonts w:cs="Times New Roman"/>
          <w:lang w:val="sr-Latn-RS"/>
        </w:rPr>
        <w:t xml:space="preserve">11 </w:t>
      </w:r>
      <w:r w:rsidRPr="00D06E2E">
        <w:rPr>
          <w:rFonts w:cs="Times New Roman"/>
          <w:lang w:val="sr-Latn-RS"/>
        </w:rPr>
        <w:t>recommendations and in the area of national minority rights</w:t>
      </w:r>
      <w:r w:rsidR="00EB486A" w:rsidRPr="00D06E2E">
        <w:rPr>
          <w:rFonts w:cs="Times New Roman"/>
          <w:lang w:val="sr-Latn-RS"/>
        </w:rPr>
        <w:t xml:space="preserve"> </w:t>
      </w:r>
      <w:r w:rsidRPr="00D06E2E">
        <w:rPr>
          <w:rFonts w:cs="Times New Roman"/>
          <w:lang w:val="sr-Latn-RS"/>
        </w:rPr>
        <w:t xml:space="preserve">two recommendations. </w:t>
      </w:r>
    </w:p>
    <w:p w14:paraId="6685D694" w14:textId="77777777" w:rsidR="00EB486A" w:rsidRPr="00D06E2E" w:rsidRDefault="00EB486A" w:rsidP="00EB486A">
      <w:pPr>
        <w:spacing w:after="0"/>
        <w:rPr>
          <w:rFonts w:cs="Times New Roman"/>
          <w:lang w:val="sr-Latn-RS"/>
        </w:rPr>
      </w:pPr>
    </w:p>
    <w:p w14:paraId="3785E453" w14:textId="4EBB628F" w:rsidR="00EB486A" w:rsidRPr="00D06E2E" w:rsidRDefault="00C95A69" w:rsidP="00EB486A">
      <w:pPr>
        <w:jc w:val="center"/>
        <w:rPr>
          <w:rFonts w:cs="Times New Roman"/>
          <w:b/>
          <w:iCs/>
          <w:szCs w:val="18"/>
          <w:lang w:val="sr-Latn-RS"/>
        </w:rPr>
      </w:pPr>
      <w:r w:rsidRPr="00D06E2E">
        <w:rPr>
          <w:rFonts w:cs="Times New Roman"/>
          <w:b/>
          <w:iCs/>
          <w:szCs w:val="18"/>
          <w:lang w:val="sr-Latn-RS"/>
        </w:rPr>
        <w:t>Chart</w:t>
      </w:r>
      <w:r w:rsidR="00EB486A" w:rsidRPr="00D06E2E">
        <w:rPr>
          <w:rFonts w:cs="Times New Roman"/>
          <w:b/>
          <w:iCs/>
          <w:szCs w:val="18"/>
          <w:lang w:val="sr-Latn-RS"/>
        </w:rPr>
        <w:t xml:space="preserve"> 2 – </w:t>
      </w:r>
      <w:r w:rsidRPr="00D06E2E">
        <w:rPr>
          <w:rFonts w:cs="Times New Roman"/>
          <w:b/>
          <w:bCs/>
          <w:iCs/>
          <w:szCs w:val="18"/>
          <w:lang w:val="sr-Latn-RS"/>
        </w:rPr>
        <w:t>Overview of issued recommendations by departments</w:t>
      </w:r>
    </w:p>
    <w:p w14:paraId="269527F5" w14:textId="77777777" w:rsidR="00EB486A" w:rsidRPr="00D06E2E" w:rsidRDefault="00EB486A" w:rsidP="00EB486A">
      <w:pPr>
        <w:jc w:val="center"/>
        <w:rPr>
          <w:rFonts w:cs="Times New Roman"/>
          <w:b/>
          <w:iCs/>
          <w:szCs w:val="18"/>
          <w:lang w:val="sr-Latn-RS"/>
        </w:rPr>
      </w:pPr>
      <w:r w:rsidRPr="00D06E2E">
        <w:rPr>
          <w:b/>
          <w:noProof/>
          <w:lang w:val="sr-Latn-RS"/>
        </w:rPr>
        <w:drawing>
          <wp:inline distT="0" distB="0" distL="0" distR="0" wp14:anchorId="1F4794BD" wp14:editId="3996F05D">
            <wp:extent cx="5819775" cy="26098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E98AA7" w14:textId="77777777" w:rsidR="00EB486A" w:rsidRPr="00D06E2E" w:rsidRDefault="00EB486A" w:rsidP="00EB486A">
      <w:pPr>
        <w:jc w:val="center"/>
        <w:rPr>
          <w:rFonts w:cs="Times New Roman"/>
          <w:b/>
          <w:iCs/>
          <w:szCs w:val="18"/>
          <w:lang w:val="sr-Latn-RS"/>
        </w:rPr>
      </w:pPr>
    </w:p>
    <w:p w14:paraId="46001A30" w14:textId="77777777" w:rsidR="00EB486A" w:rsidRPr="00D06E2E" w:rsidRDefault="00EB486A" w:rsidP="00EB486A">
      <w:pPr>
        <w:jc w:val="center"/>
        <w:rPr>
          <w:rFonts w:cs="Times New Roman"/>
          <w:b/>
          <w:iCs/>
          <w:szCs w:val="18"/>
          <w:lang w:val="sr-Latn-RS"/>
        </w:rPr>
      </w:pPr>
    </w:p>
    <w:p w14:paraId="432AB9BF" w14:textId="6198A902" w:rsidR="00EB486A" w:rsidRPr="00D06E2E" w:rsidRDefault="00C95A69" w:rsidP="00EB486A">
      <w:pPr>
        <w:jc w:val="center"/>
        <w:rPr>
          <w:rFonts w:cs="Times New Roman"/>
          <w:b/>
          <w:iCs/>
          <w:szCs w:val="18"/>
          <w:lang w:val="sr-Latn-RS"/>
        </w:rPr>
      </w:pPr>
      <w:r w:rsidRPr="00D06E2E">
        <w:rPr>
          <w:rFonts w:cs="Times New Roman"/>
          <w:b/>
          <w:iCs/>
          <w:szCs w:val="18"/>
          <w:lang w:val="sr-Latn-RS"/>
        </w:rPr>
        <w:t>Table</w:t>
      </w:r>
      <w:r w:rsidR="00EB486A" w:rsidRPr="00D06E2E">
        <w:rPr>
          <w:rFonts w:cs="Times New Roman"/>
          <w:b/>
          <w:iCs/>
          <w:szCs w:val="18"/>
          <w:lang w:val="sr-Latn-RS"/>
        </w:rPr>
        <w:t xml:space="preserve"> 9 </w:t>
      </w:r>
      <w:r w:rsidRPr="00D06E2E">
        <w:rPr>
          <w:rFonts w:cs="Times New Roman"/>
          <w:b/>
          <w:iCs/>
          <w:szCs w:val="18"/>
          <w:lang w:val="sr-Latn-RS"/>
        </w:rPr>
        <w:t>–</w:t>
      </w:r>
      <w:r w:rsidR="00EB486A" w:rsidRPr="00D06E2E">
        <w:rPr>
          <w:rFonts w:cs="Times New Roman"/>
          <w:b/>
          <w:iCs/>
          <w:szCs w:val="18"/>
          <w:lang w:val="sr-Latn-RS"/>
        </w:rPr>
        <w:t xml:space="preserve"> </w:t>
      </w:r>
      <w:r w:rsidRPr="00D06E2E">
        <w:rPr>
          <w:rFonts w:cs="Times New Roman"/>
          <w:b/>
          <w:iCs/>
          <w:szCs w:val="18"/>
          <w:lang w:val="sr-Latn-RS"/>
        </w:rPr>
        <w:t>Comparative overview of issued recommendations in 2022 and 2023</w:t>
      </w:r>
      <w:r w:rsidR="00EB486A" w:rsidRPr="00D06E2E">
        <w:rPr>
          <w:rFonts w:cs="Times New Roman"/>
          <w:b/>
          <w:iCs/>
          <w:szCs w:val="18"/>
          <w:lang w:val="sr-Latn-RS"/>
        </w:rPr>
        <w:t xml:space="preserve"> </w:t>
      </w:r>
    </w:p>
    <w:tbl>
      <w:tblPr>
        <w:tblW w:w="6658" w:type="dxa"/>
        <w:jc w:val="center"/>
        <w:tblBorders>
          <w:top w:val="single" w:sz="12" w:space="0" w:color="0070C0"/>
          <w:bottom w:val="single" w:sz="12" w:space="0" w:color="0070C0"/>
          <w:insideH w:val="single" w:sz="8" w:space="0" w:color="0070C0"/>
          <w:insideV w:val="single" w:sz="8" w:space="0" w:color="0070C0"/>
        </w:tblBorders>
        <w:tblCellMar>
          <w:left w:w="0" w:type="dxa"/>
          <w:right w:w="0" w:type="dxa"/>
        </w:tblCellMar>
        <w:tblLook w:val="00A0" w:firstRow="1" w:lastRow="0" w:firstColumn="1" w:lastColumn="0" w:noHBand="0" w:noVBand="0"/>
      </w:tblPr>
      <w:tblGrid>
        <w:gridCol w:w="3539"/>
        <w:gridCol w:w="1418"/>
        <w:gridCol w:w="1701"/>
      </w:tblGrid>
      <w:tr w:rsidR="00EB486A" w:rsidRPr="00D06E2E" w14:paraId="153403B6" w14:textId="77777777" w:rsidTr="006576C8">
        <w:trPr>
          <w:trHeight w:hRule="exact" w:val="329"/>
          <w:jc w:val="center"/>
        </w:trPr>
        <w:tc>
          <w:tcPr>
            <w:tcW w:w="3539" w:type="dxa"/>
            <w:tcBorders>
              <w:top w:val="single" w:sz="2"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tcPr>
          <w:p w14:paraId="5924A2C3" w14:textId="77777777" w:rsidR="00EB486A" w:rsidRPr="00D06E2E" w:rsidRDefault="00EB486A" w:rsidP="00556F2C">
            <w:pPr>
              <w:spacing w:after="0"/>
              <w:rPr>
                <w:rFonts w:cs="Times New Roman"/>
                <w:b/>
                <w:bCs/>
                <w:lang w:val="sr-Latn-RS"/>
              </w:rPr>
            </w:pPr>
          </w:p>
        </w:tc>
        <w:tc>
          <w:tcPr>
            <w:tcW w:w="1418" w:type="dxa"/>
            <w:tcBorders>
              <w:top w:val="single" w:sz="2" w:space="0" w:color="0070C0"/>
              <w:left w:val="single" w:sz="8" w:space="0" w:color="0070C0"/>
              <w:bottom w:val="single" w:sz="2" w:space="0" w:color="0070C0"/>
              <w:right w:val="single" w:sz="8" w:space="0" w:color="0070C0"/>
            </w:tcBorders>
          </w:tcPr>
          <w:p w14:paraId="6D84EC87" w14:textId="7A1E8979" w:rsidR="00EB486A" w:rsidRPr="00D06E2E" w:rsidRDefault="00C95A69" w:rsidP="00556F2C">
            <w:pPr>
              <w:spacing w:after="0"/>
              <w:jc w:val="center"/>
              <w:rPr>
                <w:rFonts w:cs="Times New Roman"/>
                <w:b/>
                <w:bCs/>
                <w:lang w:val="sr-Latn-RS"/>
              </w:rPr>
            </w:pPr>
            <w:r w:rsidRPr="00D06E2E">
              <w:rPr>
                <w:rFonts w:cs="Times New Roman"/>
                <w:b/>
                <w:bCs/>
                <w:lang w:val="sr-Latn-RS"/>
              </w:rPr>
              <w:t>2023</w:t>
            </w:r>
          </w:p>
        </w:tc>
        <w:tc>
          <w:tcPr>
            <w:tcW w:w="1701" w:type="dxa"/>
            <w:tcBorders>
              <w:top w:val="single" w:sz="2" w:space="0" w:color="0070C0"/>
              <w:left w:val="single" w:sz="8" w:space="0" w:color="0070C0"/>
              <w:bottom w:val="single" w:sz="2" w:space="0" w:color="0070C0"/>
              <w:right w:val="single" w:sz="8" w:space="0" w:color="0070C0"/>
            </w:tcBorders>
          </w:tcPr>
          <w:p w14:paraId="1F72E125" w14:textId="54DF6620" w:rsidR="00EB486A" w:rsidRPr="00D06E2E" w:rsidRDefault="00C95A69" w:rsidP="00556F2C">
            <w:pPr>
              <w:spacing w:after="0"/>
              <w:jc w:val="center"/>
              <w:rPr>
                <w:rFonts w:cs="Times New Roman"/>
                <w:b/>
                <w:bCs/>
                <w:lang w:val="sr-Latn-RS"/>
              </w:rPr>
            </w:pPr>
            <w:r w:rsidRPr="00D06E2E">
              <w:rPr>
                <w:rFonts w:cs="Times New Roman"/>
                <w:b/>
                <w:bCs/>
                <w:lang w:val="sr-Latn-RS"/>
              </w:rPr>
              <w:t>2022</w:t>
            </w:r>
          </w:p>
        </w:tc>
      </w:tr>
      <w:tr w:rsidR="00C95A69" w:rsidRPr="00D06E2E" w14:paraId="201AA243" w14:textId="77777777" w:rsidTr="006576C8">
        <w:trPr>
          <w:trHeight w:hRule="exact" w:val="590"/>
          <w:jc w:val="center"/>
        </w:trPr>
        <w:tc>
          <w:tcPr>
            <w:tcW w:w="3539" w:type="dxa"/>
            <w:tcBorders>
              <w:top w:val="single" w:sz="2" w:space="0" w:color="0070C0"/>
              <w:left w:val="single" w:sz="2" w:space="0" w:color="0070C0"/>
              <w:bottom w:val="single" w:sz="8" w:space="0" w:color="0070C0"/>
              <w:right w:val="single" w:sz="8" w:space="0" w:color="0070C0"/>
            </w:tcBorders>
            <w:tcMar>
              <w:top w:w="0" w:type="dxa"/>
              <w:left w:w="108" w:type="dxa"/>
              <w:bottom w:w="0" w:type="dxa"/>
              <w:right w:w="108" w:type="dxa"/>
            </w:tcMar>
            <w:vAlign w:val="center"/>
          </w:tcPr>
          <w:p w14:paraId="077F2A99" w14:textId="6D46E8DF" w:rsidR="00C95A69" w:rsidRPr="00D06E2E" w:rsidRDefault="00C95A69" w:rsidP="00D3432F">
            <w:pPr>
              <w:spacing w:after="0"/>
              <w:rPr>
                <w:rFonts w:cs="Times New Roman"/>
                <w:lang w:val="sr-Latn-RS"/>
              </w:rPr>
            </w:pPr>
            <w:r w:rsidRPr="00D06E2E">
              <w:rPr>
                <w:rFonts w:cs="Times New Roman"/>
                <w:lang w:val="sr-Latn-RS"/>
              </w:rPr>
              <w:t xml:space="preserve">Recommendations issued in the oversight </w:t>
            </w:r>
            <w:r w:rsidR="00D3432F" w:rsidRPr="00D06E2E">
              <w:rPr>
                <w:rFonts w:cs="Times New Roman"/>
                <w:lang w:val="sr-Latn-RS"/>
              </w:rPr>
              <w:t>investigation</w:t>
            </w:r>
          </w:p>
        </w:tc>
        <w:tc>
          <w:tcPr>
            <w:tcW w:w="1418" w:type="dxa"/>
            <w:tcBorders>
              <w:top w:val="single" w:sz="2" w:space="0" w:color="0070C0"/>
              <w:left w:val="single" w:sz="8" w:space="0" w:color="0070C0"/>
              <w:bottom w:val="single" w:sz="8" w:space="0" w:color="0070C0"/>
              <w:right w:val="single" w:sz="8" w:space="0" w:color="0070C0"/>
            </w:tcBorders>
          </w:tcPr>
          <w:p w14:paraId="3491DC04" w14:textId="77777777" w:rsidR="00C95A69" w:rsidRPr="00D06E2E" w:rsidRDefault="00C95A69" w:rsidP="00C95A69">
            <w:pPr>
              <w:spacing w:after="0"/>
              <w:jc w:val="center"/>
              <w:rPr>
                <w:rFonts w:cs="Times New Roman"/>
                <w:bCs/>
                <w:lang w:val="sr-Latn-RS"/>
              </w:rPr>
            </w:pPr>
          </w:p>
          <w:p w14:paraId="5AB25447" w14:textId="77777777" w:rsidR="00C95A69" w:rsidRPr="00D06E2E" w:rsidRDefault="00C95A69" w:rsidP="00C95A69">
            <w:pPr>
              <w:spacing w:after="0"/>
              <w:jc w:val="center"/>
              <w:rPr>
                <w:rFonts w:cs="Times New Roman"/>
                <w:bCs/>
                <w:lang w:val="sr-Latn-RS"/>
              </w:rPr>
            </w:pPr>
            <w:r w:rsidRPr="00D06E2E">
              <w:rPr>
                <w:rFonts w:cs="Times New Roman"/>
                <w:bCs/>
                <w:lang w:val="sr-Latn-RS"/>
              </w:rPr>
              <w:t>372</w:t>
            </w:r>
          </w:p>
        </w:tc>
        <w:tc>
          <w:tcPr>
            <w:tcW w:w="1701" w:type="dxa"/>
            <w:tcBorders>
              <w:top w:val="single" w:sz="2" w:space="0" w:color="0070C0"/>
              <w:left w:val="single" w:sz="8" w:space="0" w:color="0070C0"/>
              <w:bottom w:val="single" w:sz="8" w:space="0" w:color="0070C0"/>
              <w:right w:val="single" w:sz="8" w:space="0" w:color="0070C0"/>
            </w:tcBorders>
          </w:tcPr>
          <w:p w14:paraId="065804EF" w14:textId="77777777" w:rsidR="00C95A69" w:rsidRPr="00D06E2E" w:rsidRDefault="00C95A69" w:rsidP="00C95A69">
            <w:pPr>
              <w:spacing w:after="0"/>
              <w:jc w:val="center"/>
              <w:rPr>
                <w:rFonts w:cs="Times New Roman"/>
                <w:bCs/>
                <w:lang w:val="sr-Latn-RS"/>
              </w:rPr>
            </w:pPr>
          </w:p>
          <w:p w14:paraId="79C1EFD4" w14:textId="77777777" w:rsidR="00C95A69" w:rsidRPr="00D06E2E" w:rsidRDefault="00C95A69" w:rsidP="00C95A69">
            <w:pPr>
              <w:spacing w:after="0"/>
              <w:jc w:val="center"/>
              <w:rPr>
                <w:rFonts w:cs="Times New Roman"/>
                <w:bCs/>
                <w:lang w:val="sr-Latn-RS"/>
              </w:rPr>
            </w:pPr>
            <w:r w:rsidRPr="00D06E2E">
              <w:rPr>
                <w:rFonts w:cs="Times New Roman"/>
                <w:bCs/>
                <w:lang w:val="sr-Latn-RS"/>
              </w:rPr>
              <w:t>344</w:t>
            </w:r>
          </w:p>
        </w:tc>
      </w:tr>
      <w:tr w:rsidR="00C95A69" w:rsidRPr="00D06E2E" w14:paraId="5479FD0F" w14:textId="77777777" w:rsidTr="006576C8">
        <w:trPr>
          <w:trHeight w:hRule="exact" w:val="587"/>
          <w:jc w:val="center"/>
        </w:trPr>
        <w:tc>
          <w:tcPr>
            <w:tcW w:w="3539" w:type="dxa"/>
            <w:tcBorders>
              <w:top w:val="single" w:sz="8" w:space="0" w:color="0070C0"/>
              <w:left w:val="single" w:sz="2" w:space="0" w:color="0070C0"/>
              <w:bottom w:val="single" w:sz="8" w:space="0" w:color="0070C0"/>
              <w:right w:val="single" w:sz="8" w:space="0" w:color="0070C0"/>
            </w:tcBorders>
            <w:tcMar>
              <w:top w:w="0" w:type="dxa"/>
              <w:left w:w="108" w:type="dxa"/>
              <w:bottom w:w="0" w:type="dxa"/>
              <w:right w:w="108" w:type="dxa"/>
            </w:tcMar>
            <w:vAlign w:val="center"/>
          </w:tcPr>
          <w:p w14:paraId="38CF9CC3" w14:textId="663A0565" w:rsidR="00C95A69" w:rsidRPr="00D06E2E" w:rsidRDefault="00C95A69" w:rsidP="00C95A69">
            <w:pPr>
              <w:spacing w:after="0"/>
              <w:rPr>
                <w:rFonts w:cs="Times New Roman"/>
                <w:lang w:val="sr-Latn-RS"/>
              </w:rPr>
            </w:pPr>
            <w:r w:rsidRPr="00D06E2E">
              <w:rPr>
                <w:rFonts w:cs="Times New Roman"/>
                <w:lang w:val="sr-Latn-RS"/>
              </w:rPr>
              <w:t xml:space="preserve">Recommendations issued in the expedited oversight </w:t>
            </w:r>
            <w:r w:rsidR="00D3432F" w:rsidRPr="00D06E2E">
              <w:rPr>
                <w:rFonts w:cs="Times New Roman"/>
                <w:lang w:val="sr-Latn-RS"/>
              </w:rPr>
              <w:t>investigation</w:t>
            </w:r>
          </w:p>
        </w:tc>
        <w:tc>
          <w:tcPr>
            <w:tcW w:w="1418" w:type="dxa"/>
            <w:tcBorders>
              <w:top w:val="single" w:sz="8" w:space="0" w:color="0070C0"/>
              <w:left w:val="single" w:sz="8" w:space="0" w:color="0070C0"/>
              <w:bottom w:val="single" w:sz="8" w:space="0" w:color="0070C0"/>
              <w:right w:val="single" w:sz="8" w:space="0" w:color="0070C0"/>
            </w:tcBorders>
          </w:tcPr>
          <w:p w14:paraId="0FBDB611" w14:textId="77777777" w:rsidR="00C95A69" w:rsidRPr="00D06E2E" w:rsidRDefault="00C95A69" w:rsidP="00C95A69">
            <w:pPr>
              <w:spacing w:after="0"/>
              <w:jc w:val="center"/>
              <w:rPr>
                <w:rFonts w:cs="Times New Roman"/>
                <w:bCs/>
                <w:lang w:val="sr-Latn-RS"/>
              </w:rPr>
            </w:pPr>
          </w:p>
          <w:p w14:paraId="7BFE59C0" w14:textId="77777777" w:rsidR="00C95A69" w:rsidRPr="00D06E2E" w:rsidRDefault="00C95A69" w:rsidP="00C95A69">
            <w:pPr>
              <w:spacing w:after="0"/>
              <w:jc w:val="center"/>
              <w:rPr>
                <w:rFonts w:cs="Times New Roman"/>
                <w:bCs/>
                <w:lang w:val="sr-Latn-RS"/>
              </w:rPr>
            </w:pPr>
            <w:r w:rsidRPr="00D06E2E">
              <w:rPr>
                <w:rFonts w:cs="Times New Roman"/>
                <w:bCs/>
                <w:lang w:val="sr-Latn-RS"/>
              </w:rPr>
              <w:t>459</w:t>
            </w:r>
          </w:p>
        </w:tc>
        <w:tc>
          <w:tcPr>
            <w:tcW w:w="1701" w:type="dxa"/>
            <w:tcBorders>
              <w:top w:val="single" w:sz="8" w:space="0" w:color="0070C0"/>
              <w:left w:val="single" w:sz="8" w:space="0" w:color="0070C0"/>
              <w:bottom w:val="single" w:sz="8" w:space="0" w:color="0070C0"/>
              <w:right w:val="single" w:sz="8" w:space="0" w:color="0070C0"/>
            </w:tcBorders>
          </w:tcPr>
          <w:p w14:paraId="67C62810" w14:textId="77777777" w:rsidR="00C95A69" w:rsidRPr="00D06E2E" w:rsidRDefault="00C95A69" w:rsidP="00C95A69">
            <w:pPr>
              <w:spacing w:after="0"/>
              <w:jc w:val="center"/>
              <w:rPr>
                <w:rFonts w:cs="Times New Roman"/>
                <w:bCs/>
                <w:lang w:val="sr-Latn-RS"/>
              </w:rPr>
            </w:pPr>
          </w:p>
          <w:p w14:paraId="37FBDDD5" w14:textId="77777777" w:rsidR="00C95A69" w:rsidRPr="00D06E2E" w:rsidRDefault="00C95A69" w:rsidP="00C95A69">
            <w:pPr>
              <w:spacing w:after="0"/>
              <w:jc w:val="center"/>
              <w:rPr>
                <w:rFonts w:cs="Times New Roman"/>
                <w:bCs/>
                <w:lang w:val="sr-Latn-RS"/>
              </w:rPr>
            </w:pPr>
            <w:r w:rsidRPr="00D06E2E">
              <w:rPr>
                <w:rFonts w:cs="Times New Roman"/>
                <w:bCs/>
                <w:lang w:val="sr-Latn-RS"/>
              </w:rPr>
              <w:t>560</w:t>
            </w:r>
          </w:p>
        </w:tc>
      </w:tr>
      <w:tr w:rsidR="00C95A69" w:rsidRPr="00D06E2E" w14:paraId="00D40859" w14:textId="77777777" w:rsidTr="006576C8">
        <w:trPr>
          <w:trHeight w:hRule="exact" w:val="590"/>
          <w:jc w:val="center"/>
        </w:trPr>
        <w:tc>
          <w:tcPr>
            <w:tcW w:w="3539" w:type="dxa"/>
            <w:tcBorders>
              <w:top w:val="single" w:sz="8" w:space="0" w:color="0070C0"/>
              <w:left w:val="single" w:sz="2" w:space="0" w:color="0070C0"/>
              <w:bottom w:val="single" w:sz="8" w:space="0" w:color="0070C0"/>
              <w:right w:val="single" w:sz="8" w:space="0" w:color="0070C0"/>
            </w:tcBorders>
            <w:tcMar>
              <w:top w:w="0" w:type="dxa"/>
              <w:left w:w="108" w:type="dxa"/>
              <w:bottom w:w="0" w:type="dxa"/>
              <w:right w:w="108" w:type="dxa"/>
            </w:tcMar>
            <w:vAlign w:val="center"/>
          </w:tcPr>
          <w:p w14:paraId="66EE09A1" w14:textId="467E2F83" w:rsidR="00C95A69" w:rsidRPr="00D06E2E" w:rsidRDefault="00C95A69" w:rsidP="00C95A69">
            <w:pPr>
              <w:spacing w:after="0"/>
              <w:rPr>
                <w:rFonts w:cs="Times New Roman"/>
                <w:lang w:val="sr-Latn-RS"/>
              </w:rPr>
            </w:pPr>
            <w:r w:rsidRPr="00D06E2E">
              <w:rPr>
                <w:rFonts w:cs="Times New Roman"/>
                <w:lang w:val="sr-Latn-RS"/>
              </w:rPr>
              <w:t>Recommendations issued in preventive capacity (NPM)</w:t>
            </w:r>
          </w:p>
        </w:tc>
        <w:tc>
          <w:tcPr>
            <w:tcW w:w="1418" w:type="dxa"/>
            <w:tcBorders>
              <w:top w:val="single" w:sz="8" w:space="0" w:color="0070C0"/>
              <w:left w:val="single" w:sz="8" w:space="0" w:color="0070C0"/>
              <w:bottom w:val="single" w:sz="8" w:space="0" w:color="0070C0"/>
              <w:right w:val="single" w:sz="8" w:space="0" w:color="0070C0"/>
            </w:tcBorders>
          </w:tcPr>
          <w:p w14:paraId="54F455E1" w14:textId="77777777" w:rsidR="00C95A69" w:rsidRPr="00D06E2E" w:rsidRDefault="00C95A69" w:rsidP="00C95A69">
            <w:pPr>
              <w:spacing w:after="0"/>
              <w:jc w:val="center"/>
              <w:rPr>
                <w:rFonts w:cs="Times New Roman"/>
                <w:bCs/>
                <w:lang w:val="sr-Latn-RS"/>
              </w:rPr>
            </w:pPr>
          </w:p>
          <w:p w14:paraId="3C8F8443" w14:textId="73F79396" w:rsidR="00C95A69" w:rsidRPr="00D06E2E" w:rsidRDefault="00C95A69" w:rsidP="00C95A69">
            <w:pPr>
              <w:spacing w:after="0"/>
              <w:jc w:val="center"/>
              <w:rPr>
                <w:rFonts w:cs="Times New Roman"/>
                <w:bCs/>
                <w:lang w:val="sr-Latn-RS"/>
              </w:rPr>
            </w:pPr>
            <w:r w:rsidRPr="00D06E2E">
              <w:rPr>
                <w:rFonts w:cs="Times New Roman"/>
                <w:bCs/>
                <w:lang w:val="sr-Latn-RS"/>
              </w:rPr>
              <w:t>234</w:t>
            </w:r>
          </w:p>
        </w:tc>
        <w:tc>
          <w:tcPr>
            <w:tcW w:w="1701" w:type="dxa"/>
            <w:tcBorders>
              <w:top w:val="single" w:sz="8" w:space="0" w:color="0070C0"/>
              <w:left w:val="single" w:sz="8" w:space="0" w:color="0070C0"/>
              <w:bottom w:val="single" w:sz="8" w:space="0" w:color="0070C0"/>
              <w:right w:val="single" w:sz="8" w:space="0" w:color="0070C0"/>
            </w:tcBorders>
          </w:tcPr>
          <w:p w14:paraId="68D1CAEA" w14:textId="77777777" w:rsidR="00C95A69" w:rsidRPr="00D06E2E" w:rsidRDefault="00C95A69" w:rsidP="00C95A69">
            <w:pPr>
              <w:spacing w:after="0"/>
              <w:jc w:val="center"/>
              <w:rPr>
                <w:rFonts w:cs="Times New Roman"/>
                <w:bCs/>
                <w:lang w:val="sr-Latn-RS"/>
              </w:rPr>
            </w:pPr>
          </w:p>
          <w:p w14:paraId="53626546" w14:textId="77777777" w:rsidR="00C95A69" w:rsidRPr="00D06E2E" w:rsidRDefault="00C95A69" w:rsidP="00C95A69">
            <w:pPr>
              <w:spacing w:after="0"/>
              <w:jc w:val="center"/>
              <w:rPr>
                <w:rFonts w:cs="Times New Roman"/>
                <w:bCs/>
                <w:lang w:val="sr-Latn-RS"/>
              </w:rPr>
            </w:pPr>
            <w:r w:rsidRPr="00D06E2E">
              <w:rPr>
                <w:rFonts w:cs="Times New Roman"/>
                <w:bCs/>
                <w:lang w:val="sr-Latn-RS"/>
              </w:rPr>
              <w:t>205</w:t>
            </w:r>
          </w:p>
        </w:tc>
      </w:tr>
    </w:tbl>
    <w:p w14:paraId="6150F09B" w14:textId="77777777" w:rsidR="00EB486A" w:rsidRPr="00D06E2E" w:rsidRDefault="00EB486A" w:rsidP="00EB486A">
      <w:pPr>
        <w:spacing w:after="0"/>
        <w:rPr>
          <w:rFonts w:cs="Times New Roman"/>
          <w:lang w:val="sr-Latn-RS"/>
        </w:rPr>
      </w:pPr>
    </w:p>
    <w:p w14:paraId="3CD321E8" w14:textId="14205DEE" w:rsidR="00384D06" w:rsidRPr="00D06E2E" w:rsidRDefault="00384D06" w:rsidP="00EB486A">
      <w:pPr>
        <w:rPr>
          <w:rFonts w:cs="Times New Roman"/>
          <w:lang w:val="sr-Latn-RS"/>
        </w:rPr>
      </w:pPr>
      <w:r w:rsidRPr="00D06E2E">
        <w:rPr>
          <w:rFonts w:cs="Times New Roman"/>
          <w:lang w:val="sr-Latn-RS"/>
        </w:rPr>
        <w:t xml:space="preserve">In the reporting period the number of recommendations issued in the oversight </w:t>
      </w:r>
      <w:r w:rsidR="00D3432F" w:rsidRPr="00D06E2E">
        <w:rPr>
          <w:rFonts w:cs="Times New Roman"/>
          <w:lang w:val="sr-Latn-RS"/>
        </w:rPr>
        <w:t xml:space="preserve">investigation </w:t>
      </w:r>
      <w:r w:rsidRPr="00D06E2E">
        <w:rPr>
          <w:rFonts w:cs="Times New Roman"/>
          <w:lang w:val="sr-Latn-RS"/>
        </w:rPr>
        <w:t xml:space="preserve">is higher by more than 8 percent compared to the previous period which is also the result of the increase of the number of received complaints by 23 percent in 2023. The increase of the number of recommendations from the oversight </w:t>
      </w:r>
      <w:r w:rsidR="00D3432F" w:rsidRPr="00D06E2E">
        <w:rPr>
          <w:rFonts w:cs="Times New Roman"/>
          <w:lang w:val="sr-Latn-RS"/>
        </w:rPr>
        <w:t xml:space="preserve">investigation </w:t>
      </w:r>
      <w:r w:rsidRPr="00D06E2E">
        <w:rPr>
          <w:rFonts w:cs="Times New Roman"/>
          <w:lang w:val="sr-Latn-RS"/>
        </w:rPr>
        <w:t xml:space="preserve">was reflected also in the decreased number of recommendations issued in the expedited oversight </w:t>
      </w:r>
      <w:r w:rsidR="00D3432F" w:rsidRPr="00D06E2E">
        <w:rPr>
          <w:rFonts w:cs="Times New Roman"/>
          <w:lang w:val="sr-Latn-RS"/>
        </w:rPr>
        <w:t>investigation</w:t>
      </w:r>
      <w:r w:rsidRPr="00D06E2E">
        <w:rPr>
          <w:rFonts w:cs="Times New Roman"/>
          <w:lang w:val="sr-Latn-RS"/>
        </w:rPr>
        <w:t>.</w:t>
      </w:r>
    </w:p>
    <w:p w14:paraId="3843995A" w14:textId="4B078823" w:rsidR="00384D06" w:rsidRPr="00D06E2E" w:rsidRDefault="00384D06" w:rsidP="00EB486A">
      <w:pPr>
        <w:rPr>
          <w:rFonts w:cs="Times New Roman"/>
          <w:lang w:val="sr-Latn-RS"/>
        </w:rPr>
      </w:pPr>
      <w:r w:rsidRPr="00D06E2E">
        <w:rPr>
          <w:rFonts w:cs="Times New Roman"/>
          <w:lang w:val="sr-Latn-RS"/>
        </w:rPr>
        <w:t>The number of recommendations of the Protector of Citizens in the capacity of the National Preventive Mechanism was higher by more than 14 percent.</w:t>
      </w:r>
    </w:p>
    <w:p w14:paraId="483B75C3" w14:textId="09F73BAF" w:rsidR="00EB486A" w:rsidRPr="00D06E2E" w:rsidRDefault="00384D06" w:rsidP="00EB486A">
      <w:pPr>
        <w:spacing w:after="0"/>
        <w:rPr>
          <w:rFonts w:cs="Times New Roman"/>
          <w:lang w:val="sr-Latn-RS"/>
        </w:rPr>
      </w:pPr>
      <w:r w:rsidRPr="00D06E2E">
        <w:rPr>
          <w:rFonts w:cs="Times New Roman"/>
          <w:lang w:val="sr-Latn-RS"/>
        </w:rPr>
        <w:t xml:space="preserve">The percentage of acting upon recommendations from the oversight investigation amounts to 78.20 percent whereas the authorities </w:t>
      </w:r>
      <w:r w:rsidR="00D3432F" w:rsidRPr="00D06E2E">
        <w:rPr>
          <w:rFonts w:cs="Times New Roman"/>
          <w:lang w:val="sr-Latn-RS"/>
        </w:rPr>
        <w:t>acted upon</w:t>
      </w:r>
      <w:r w:rsidRPr="00D06E2E">
        <w:rPr>
          <w:rFonts w:cs="Times New Roman"/>
          <w:lang w:val="sr-Latn-RS"/>
        </w:rPr>
        <w:t xml:space="preserve"> recommendations from expedited oversight </w:t>
      </w:r>
      <w:r w:rsidR="00D3432F" w:rsidRPr="00D06E2E">
        <w:rPr>
          <w:rFonts w:cs="Times New Roman"/>
          <w:lang w:val="sr-Latn-RS"/>
        </w:rPr>
        <w:t>investigation</w:t>
      </w:r>
      <w:r w:rsidRPr="00D06E2E">
        <w:rPr>
          <w:rFonts w:cs="Times New Roman"/>
          <w:lang w:val="sr-Latn-RS"/>
        </w:rPr>
        <w:t xml:space="preserve"> in 100 percent of cases since immediately after learning that the Protector of Citizens initiated the oversight investigation of their operation, they eliminated the irregularities in the operation. </w:t>
      </w:r>
      <w:r w:rsidR="00D3432F" w:rsidRPr="00D06E2E">
        <w:rPr>
          <w:rFonts w:cs="Times New Roman"/>
          <w:lang w:val="sr-Latn-RS"/>
        </w:rPr>
        <w:t>Acting upon</w:t>
      </w:r>
      <w:r w:rsidRPr="00D06E2E">
        <w:rPr>
          <w:rFonts w:cs="Times New Roman"/>
          <w:lang w:val="sr-Latn-RS"/>
        </w:rPr>
        <w:t xml:space="preserve"> recommendations of the Protector of Citizens in the capacity of the National Preventive Mechanism is higer by even 93.42 percent. </w:t>
      </w:r>
    </w:p>
    <w:p w14:paraId="039D6977" w14:textId="6C48BD5E" w:rsidR="00790B18" w:rsidRPr="00D06E2E" w:rsidRDefault="00790B18" w:rsidP="00EB486A">
      <w:pPr>
        <w:spacing w:after="0"/>
        <w:rPr>
          <w:rFonts w:cs="Times New Roman"/>
          <w:lang w:val="sr-Latn-RS"/>
        </w:rPr>
      </w:pPr>
    </w:p>
    <w:p w14:paraId="1F5669F2" w14:textId="321FFDE4" w:rsidR="00EB486A" w:rsidRPr="00D06E2E" w:rsidRDefault="00C95A69" w:rsidP="00EB486A">
      <w:pPr>
        <w:jc w:val="center"/>
        <w:rPr>
          <w:rFonts w:cs="Times New Roman"/>
          <w:b/>
          <w:iCs/>
          <w:szCs w:val="18"/>
          <w:lang w:val="sr-Latn-RS"/>
        </w:rPr>
      </w:pPr>
      <w:r w:rsidRPr="00D06E2E">
        <w:rPr>
          <w:rFonts w:cs="Times New Roman"/>
          <w:b/>
          <w:iCs/>
          <w:szCs w:val="18"/>
          <w:lang w:val="sr-Latn-RS"/>
        </w:rPr>
        <w:t>Table</w:t>
      </w:r>
      <w:r w:rsidR="00EB486A" w:rsidRPr="00D06E2E">
        <w:rPr>
          <w:rFonts w:cs="Times New Roman"/>
          <w:b/>
          <w:iCs/>
          <w:szCs w:val="18"/>
          <w:lang w:val="sr-Latn-RS"/>
        </w:rPr>
        <w:t xml:space="preserve"> 10 – </w:t>
      </w:r>
      <w:r w:rsidRPr="00D06E2E">
        <w:rPr>
          <w:rFonts w:cs="Times New Roman"/>
          <w:b/>
          <w:iCs/>
          <w:szCs w:val="18"/>
          <w:lang w:val="sr-Latn-RS"/>
        </w:rPr>
        <w:t xml:space="preserve">Overview of </w:t>
      </w:r>
      <w:r w:rsidR="00D3432F" w:rsidRPr="00D06E2E">
        <w:rPr>
          <w:rFonts w:cs="Times New Roman"/>
          <w:b/>
          <w:iCs/>
          <w:szCs w:val="18"/>
          <w:lang w:val="sr-Latn-RS"/>
        </w:rPr>
        <w:t>acting upon</w:t>
      </w:r>
      <w:r w:rsidRPr="00D06E2E">
        <w:rPr>
          <w:rFonts w:cs="Times New Roman"/>
          <w:b/>
          <w:iCs/>
          <w:szCs w:val="18"/>
          <w:lang w:val="sr-Latn-RS"/>
        </w:rPr>
        <w:t xml:space="preserve"> recommendations in 2023</w:t>
      </w:r>
      <w:r w:rsidR="00C61684" w:rsidRPr="00D06E2E">
        <w:rPr>
          <w:rFonts w:cs="Times New Roman"/>
          <w:b/>
          <w:iCs/>
          <w:szCs w:val="18"/>
          <w:lang w:val="sr-Latn-RS"/>
        </w:rPr>
        <w:t xml:space="preserve"> </w:t>
      </w:r>
    </w:p>
    <w:tbl>
      <w:tblPr>
        <w:tblW w:w="5307" w:type="dxa"/>
        <w:jc w:val="center"/>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616"/>
        <w:gridCol w:w="2261"/>
        <w:gridCol w:w="928"/>
        <w:gridCol w:w="1502"/>
      </w:tblGrid>
      <w:tr w:rsidR="00EB486A" w:rsidRPr="00D06E2E" w14:paraId="4F7F0604" w14:textId="77777777" w:rsidTr="00D3432F">
        <w:trPr>
          <w:trHeight w:val="329"/>
          <w:jc w:val="center"/>
        </w:trPr>
        <w:tc>
          <w:tcPr>
            <w:tcW w:w="616" w:type="dxa"/>
            <w:vMerge w:val="restart"/>
            <w:tcBorders>
              <w:top w:val="single" w:sz="2" w:space="0" w:color="0070C0"/>
              <w:left w:val="single" w:sz="2" w:space="0" w:color="0070C0"/>
              <w:bottom w:val="single" w:sz="2" w:space="0" w:color="0070C0"/>
              <w:right w:val="single" w:sz="8" w:space="0" w:color="0070C0"/>
            </w:tcBorders>
          </w:tcPr>
          <w:p w14:paraId="512B2ADA" w14:textId="77777777" w:rsidR="00EB486A" w:rsidRPr="00D06E2E" w:rsidRDefault="00EB486A" w:rsidP="00556F2C">
            <w:pPr>
              <w:spacing w:after="0"/>
              <w:rPr>
                <w:rFonts w:cs="Times New Roman"/>
                <w:b/>
                <w:sz w:val="20"/>
                <w:szCs w:val="20"/>
                <w:lang w:val="sr-Latn-RS"/>
              </w:rPr>
            </w:pPr>
          </w:p>
          <w:p w14:paraId="0017C10B" w14:textId="77777777" w:rsidR="00EB486A" w:rsidRPr="00D06E2E" w:rsidRDefault="00EB486A" w:rsidP="00556F2C">
            <w:pPr>
              <w:spacing w:after="0"/>
              <w:rPr>
                <w:rFonts w:cs="Times New Roman"/>
                <w:b/>
                <w:sz w:val="20"/>
                <w:szCs w:val="20"/>
                <w:lang w:val="sr-Latn-RS"/>
              </w:rPr>
            </w:pPr>
          </w:p>
          <w:p w14:paraId="2A55804A" w14:textId="77777777" w:rsidR="00EB486A" w:rsidRPr="00D06E2E" w:rsidRDefault="00EB486A" w:rsidP="00556F2C">
            <w:pPr>
              <w:spacing w:after="0"/>
              <w:rPr>
                <w:rFonts w:cs="Times New Roman"/>
                <w:b/>
                <w:sz w:val="20"/>
                <w:szCs w:val="20"/>
                <w:lang w:val="sr-Latn-RS"/>
              </w:rPr>
            </w:pPr>
          </w:p>
          <w:p w14:paraId="2D2760B1" w14:textId="77777777" w:rsidR="00EB486A" w:rsidRPr="00D06E2E" w:rsidRDefault="00EB486A" w:rsidP="00556F2C">
            <w:pPr>
              <w:spacing w:after="0"/>
              <w:rPr>
                <w:rFonts w:cs="Times New Roman"/>
                <w:b/>
                <w:sz w:val="20"/>
                <w:szCs w:val="20"/>
                <w:lang w:val="sr-Latn-RS"/>
              </w:rPr>
            </w:pPr>
          </w:p>
          <w:p w14:paraId="5AB52431" w14:textId="77777777" w:rsidR="00EB486A" w:rsidRPr="00D06E2E" w:rsidRDefault="00EB486A" w:rsidP="00556F2C">
            <w:pPr>
              <w:spacing w:after="0"/>
              <w:rPr>
                <w:rFonts w:cs="Times New Roman"/>
                <w:b/>
                <w:sz w:val="20"/>
                <w:szCs w:val="20"/>
                <w:lang w:val="sr-Latn-RS"/>
              </w:rPr>
            </w:pPr>
          </w:p>
          <w:p w14:paraId="723A46FC" w14:textId="77777777" w:rsidR="00EB486A" w:rsidRPr="00D06E2E" w:rsidRDefault="00EB486A" w:rsidP="00556F2C">
            <w:pPr>
              <w:spacing w:after="0"/>
              <w:rPr>
                <w:rFonts w:cs="Times New Roman"/>
                <w:b/>
                <w:sz w:val="20"/>
                <w:szCs w:val="20"/>
                <w:lang w:val="sr-Latn-RS"/>
              </w:rPr>
            </w:pPr>
          </w:p>
          <w:p w14:paraId="40C233EC" w14:textId="77777777" w:rsidR="00EB486A" w:rsidRPr="00D06E2E" w:rsidRDefault="00EB486A" w:rsidP="00556F2C">
            <w:pPr>
              <w:spacing w:after="0"/>
              <w:rPr>
                <w:rFonts w:cs="Times New Roman"/>
                <w:b/>
                <w:sz w:val="20"/>
                <w:szCs w:val="20"/>
                <w:lang w:val="sr-Latn-RS"/>
              </w:rPr>
            </w:pPr>
          </w:p>
          <w:p w14:paraId="754EC0AB" w14:textId="77777777" w:rsidR="00EB486A" w:rsidRPr="00D06E2E" w:rsidRDefault="00EB486A" w:rsidP="00556F2C">
            <w:pPr>
              <w:spacing w:after="0"/>
              <w:rPr>
                <w:rFonts w:cs="Times New Roman"/>
                <w:b/>
                <w:sz w:val="20"/>
                <w:szCs w:val="20"/>
                <w:lang w:val="sr-Latn-RS"/>
              </w:rPr>
            </w:pPr>
          </w:p>
          <w:p w14:paraId="69425B73" w14:textId="77777777" w:rsidR="00EB486A" w:rsidRPr="00D06E2E" w:rsidRDefault="00EB486A" w:rsidP="00556F2C">
            <w:pPr>
              <w:spacing w:after="0"/>
              <w:rPr>
                <w:rFonts w:cs="Times New Roman"/>
                <w:b/>
                <w:sz w:val="20"/>
                <w:szCs w:val="20"/>
                <w:lang w:val="sr-Latn-RS"/>
              </w:rPr>
            </w:pPr>
            <w:r w:rsidRPr="00D06E2E">
              <w:rPr>
                <w:rFonts w:cs="Times New Roman"/>
                <w:b/>
                <w:sz w:val="20"/>
                <w:szCs w:val="20"/>
                <w:lang w:val="sr-Latn-RS"/>
              </w:rPr>
              <w:t>2023</w:t>
            </w:r>
          </w:p>
          <w:p w14:paraId="31BB4A62" w14:textId="77777777" w:rsidR="00EB486A" w:rsidRPr="00D06E2E" w:rsidRDefault="00EB486A" w:rsidP="00556F2C">
            <w:pPr>
              <w:rPr>
                <w:rFonts w:cs="Times New Roman"/>
                <w:sz w:val="20"/>
                <w:szCs w:val="20"/>
                <w:lang w:val="sr-Latn-RS"/>
              </w:rPr>
            </w:pPr>
          </w:p>
        </w:tc>
        <w:tc>
          <w:tcPr>
            <w:tcW w:w="2261" w:type="dxa"/>
            <w:tcBorders>
              <w:top w:val="single" w:sz="2" w:space="0" w:color="0070C0"/>
              <w:left w:val="single" w:sz="8" w:space="0" w:color="0070C0"/>
              <w:bottom w:val="single" w:sz="2" w:space="0" w:color="0070C0"/>
              <w:right w:val="single" w:sz="8" w:space="0" w:color="0070C0"/>
            </w:tcBorders>
            <w:vAlign w:val="center"/>
          </w:tcPr>
          <w:p w14:paraId="792151E3" w14:textId="77777777" w:rsidR="00EB486A" w:rsidRPr="00D06E2E" w:rsidRDefault="00EB486A" w:rsidP="00556F2C">
            <w:pPr>
              <w:spacing w:after="0"/>
              <w:rPr>
                <w:rFonts w:cs="Times New Roman"/>
                <w:b/>
                <w:lang w:val="sr-Latn-RS"/>
              </w:rPr>
            </w:pPr>
          </w:p>
        </w:tc>
        <w:tc>
          <w:tcPr>
            <w:tcW w:w="928" w:type="dxa"/>
            <w:tcBorders>
              <w:top w:val="single" w:sz="2" w:space="0" w:color="0070C0"/>
              <w:left w:val="single" w:sz="8" w:space="0" w:color="0070C0"/>
              <w:bottom w:val="single" w:sz="2" w:space="0" w:color="0070C0"/>
              <w:right w:val="single" w:sz="8" w:space="0" w:color="0070C0"/>
            </w:tcBorders>
            <w:noWrap/>
            <w:vAlign w:val="center"/>
            <w:hideMark/>
          </w:tcPr>
          <w:p w14:paraId="0E4F6BD3" w14:textId="0DF13388" w:rsidR="00EB486A" w:rsidRPr="00D06E2E" w:rsidRDefault="00C95A69" w:rsidP="00556F2C">
            <w:pPr>
              <w:spacing w:after="0"/>
              <w:rPr>
                <w:rFonts w:cs="Times New Roman"/>
                <w:b/>
                <w:lang w:val="sr-Latn-RS"/>
              </w:rPr>
            </w:pPr>
            <w:r w:rsidRPr="00D06E2E">
              <w:rPr>
                <w:rFonts w:cs="Times New Roman"/>
                <w:b/>
                <w:lang w:val="sr-Latn-RS"/>
              </w:rPr>
              <w:t>Issued</w:t>
            </w:r>
          </w:p>
        </w:tc>
        <w:tc>
          <w:tcPr>
            <w:tcW w:w="1502" w:type="dxa"/>
            <w:tcBorders>
              <w:top w:val="single" w:sz="2" w:space="0" w:color="0070C0"/>
              <w:left w:val="single" w:sz="8" w:space="0" w:color="0070C0"/>
              <w:bottom w:val="single" w:sz="2" w:space="0" w:color="0070C0"/>
              <w:right w:val="single" w:sz="2" w:space="0" w:color="0070C0"/>
            </w:tcBorders>
            <w:vAlign w:val="center"/>
            <w:hideMark/>
          </w:tcPr>
          <w:p w14:paraId="4543A789" w14:textId="292A8E8C" w:rsidR="00EB486A" w:rsidRPr="00D06E2E" w:rsidRDefault="00EB486A" w:rsidP="00D3432F">
            <w:pPr>
              <w:spacing w:after="0"/>
              <w:jc w:val="center"/>
              <w:rPr>
                <w:rFonts w:cs="Times New Roman"/>
                <w:b/>
                <w:lang w:val="sr-Latn-RS"/>
              </w:rPr>
            </w:pPr>
            <w:r w:rsidRPr="00D06E2E">
              <w:rPr>
                <w:rFonts w:cs="Times New Roman"/>
                <w:b/>
                <w:lang w:val="sr-Latn-RS"/>
              </w:rPr>
              <w:t xml:space="preserve">% </w:t>
            </w:r>
            <w:r w:rsidR="00C95A69" w:rsidRPr="00D06E2E">
              <w:rPr>
                <w:rFonts w:cs="Times New Roman"/>
                <w:b/>
                <w:lang w:val="sr-Latn-RS"/>
              </w:rPr>
              <w:t xml:space="preserve">of </w:t>
            </w:r>
            <w:r w:rsidR="00D3432F" w:rsidRPr="00D06E2E">
              <w:rPr>
                <w:rFonts w:cs="Times New Roman"/>
                <w:b/>
                <w:lang w:val="sr-Latn-RS"/>
              </w:rPr>
              <w:t>acting upon</w:t>
            </w:r>
            <w:r w:rsidR="00C95A69" w:rsidRPr="00D06E2E">
              <w:rPr>
                <w:rFonts w:cs="Times New Roman"/>
                <w:b/>
                <w:lang w:val="sr-Latn-RS"/>
              </w:rPr>
              <w:t xml:space="preserve"> received</w:t>
            </w:r>
          </w:p>
        </w:tc>
      </w:tr>
      <w:tr w:rsidR="00384D06" w:rsidRPr="00D06E2E" w14:paraId="0E1E31AA" w14:textId="77777777" w:rsidTr="00D3432F">
        <w:trPr>
          <w:trHeight w:hRule="exact" w:val="1145"/>
          <w:jc w:val="center"/>
        </w:trPr>
        <w:tc>
          <w:tcPr>
            <w:tcW w:w="0" w:type="auto"/>
            <w:vMerge/>
            <w:tcBorders>
              <w:top w:val="single" w:sz="12" w:space="0" w:color="0070C0"/>
              <w:left w:val="single" w:sz="2" w:space="0" w:color="0070C0"/>
              <w:bottom w:val="single" w:sz="2" w:space="0" w:color="0070C0"/>
              <w:right w:val="single" w:sz="8" w:space="0" w:color="0070C0"/>
            </w:tcBorders>
            <w:vAlign w:val="center"/>
            <w:hideMark/>
          </w:tcPr>
          <w:p w14:paraId="571699B9" w14:textId="77777777" w:rsidR="00384D06" w:rsidRPr="00D06E2E" w:rsidRDefault="00384D06" w:rsidP="00384D06">
            <w:pPr>
              <w:spacing w:after="0"/>
              <w:jc w:val="left"/>
              <w:rPr>
                <w:rFonts w:cs="Times New Roman"/>
                <w:sz w:val="20"/>
                <w:szCs w:val="20"/>
                <w:lang w:val="sr-Latn-RS"/>
              </w:rPr>
            </w:pPr>
          </w:p>
        </w:tc>
        <w:tc>
          <w:tcPr>
            <w:tcW w:w="2261" w:type="dxa"/>
            <w:tcBorders>
              <w:top w:val="single" w:sz="2" w:space="0" w:color="0070C0"/>
              <w:left w:val="single" w:sz="8" w:space="0" w:color="0070C0"/>
              <w:bottom w:val="single" w:sz="8" w:space="0" w:color="0070C0"/>
              <w:right w:val="single" w:sz="8" w:space="0" w:color="0070C0"/>
            </w:tcBorders>
            <w:vAlign w:val="center"/>
            <w:hideMark/>
          </w:tcPr>
          <w:p w14:paraId="191438FC" w14:textId="60CDCA93" w:rsidR="00384D06" w:rsidRPr="00D06E2E" w:rsidRDefault="00384D06" w:rsidP="00384D06">
            <w:pPr>
              <w:spacing w:after="0"/>
              <w:jc w:val="left"/>
              <w:rPr>
                <w:rFonts w:cs="Times New Roman"/>
                <w:lang w:val="sr-Latn-RS"/>
              </w:rPr>
            </w:pPr>
            <w:r w:rsidRPr="00D06E2E">
              <w:rPr>
                <w:rFonts w:cs="Times New Roman"/>
                <w:lang w:val="sr-Latn-RS"/>
              </w:rPr>
              <w:t xml:space="preserve">Recommendations issued in the oversight </w:t>
            </w:r>
            <w:r w:rsidR="00D3432F" w:rsidRPr="00D06E2E">
              <w:rPr>
                <w:rFonts w:cs="Times New Roman"/>
                <w:lang w:val="sr-Latn-RS"/>
              </w:rPr>
              <w:t>investigation</w:t>
            </w:r>
          </w:p>
        </w:tc>
        <w:tc>
          <w:tcPr>
            <w:tcW w:w="928" w:type="dxa"/>
            <w:tcBorders>
              <w:top w:val="single" w:sz="2" w:space="0" w:color="0070C0"/>
              <w:left w:val="single" w:sz="8" w:space="0" w:color="0070C0"/>
              <w:bottom w:val="single" w:sz="8" w:space="0" w:color="0070C0"/>
              <w:right w:val="single" w:sz="8" w:space="0" w:color="0070C0"/>
            </w:tcBorders>
            <w:noWrap/>
            <w:vAlign w:val="center"/>
          </w:tcPr>
          <w:p w14:paraId="37DAC8CE" w14:textId="77777777" w:rsidR="00384D06" w:rsidRPr="00D06E2E" w:rsidRDefault="00384D06" w:rsidP="00384D06">
            <w:pPr>
              <w:spacing w:after="0"/>
              <w:jc w:val="center"/>
              <w:rPr>
                <w:rFonts w:cs="Times New Roman"/>
                <w:lang w:val="sr-Latn-RS"/>
              </w:rPr>
            </w:pPr>
            <w:r w:rsidRPr="00D06E2E">
              <w:rPr>
                <w:rFonts w:cs="Times New Roman"/>
                <w:lang w:val="sr-Latn-RS"/>
              </w:rPr>
              <w:t>372</w:t>
            </w:r>
          </w:p>
        </w:tc>
        <w:tc>
          <w:tcPr>
            <w:tcW w:w="1502" w:type="dxa"/>
            <w:tcBorders>
              <w:top w:val="single" w:sz="2" w:space="0" w:color="0070C0"/>
              <w:left w:val="single" w:sz="8" w:space="0" w:color="0070C0"/>
              <w:bottom w:val="single" w:sz="8" w:space="0" w:color="0070C0"/>
              <w:right w:val="single" w:sz="2" w:space="0" w:color="0070C0"/>
            </w:tcBorders>
            <w:vAlign w:val="center"/>
          </w:tcPr>
          <w:p w14:paraId="5F565596" w14:textId="6BF38B98" w:rsidR="00384D06" w:rsidRPr="00D06E2E" w:rsidRDefault="00384D06" w:rsidP="00384D06">
            <w:pPr>
              <w:spacing w:after="0"/>
              <w:jc w:val="center"/>
              <w:rPr>
                <w:rFonts w:cs="Times New Roman"/>
                <w:bCs/>
                <w:lang w:val="sr-Latn-RS"/>
              </w:rPr>
            </w:pPr>
            <w:r w:rsidRPr="00D06E2E">
              <w:rPr>
                <w:rFonts w:cs="Times New Roman"/>
                <w:bCs/>
                <w:lang w:val="sr-Latn-RS"/>
              </w:rPr>
              <w:t>78.20%</w:t>
            </w:r>
          </w:p>
        </w:tc>
      </w:tr>
      <w:tr w:rsidR="00384D06" w:rsidRPr="00D06E2E" w14:paraId="17B0F249" w14:textId="77777777" w:rsidTr="00D3432F">
        <w:trPr>
          <w:trHeight w:hRule="exact" w:val="1147"/>
          <w:jc w:val="center"/>
        </w:trPr>
        <w:tc>
          <w:tcPr>
            <w:tcW w:w="0" w:type="auto"/>
            <w:vMerge/>
            <w:tcBorders>
              <w:top w:val="single" w:sz="12" w:space="0" w:color="0070C0"/>
              <w:left w:val="single" w:sz="2" w:space="0" w:color="0070C0"/>
              <w:bottom w:val="single" w:sz="2" w:space="0" w:color="0070C0"/>
              <w:right w:val="single" w:sz="8" w:space="0" w:color="0070C0"/>
            </w:tcBorders>
            <w:vAlign w:val="center"/>
            <w:hideMark/>
          </w:tcPr>
          <w:p w14:paraId="3763F5E3" w14:textId="77777777" w:rsidR="00384D06" w:rsidRPr="00D06E2E" w:rsidRDefault="00384D06" w:rsidP="00384D06">
            <w:pPr>
              <w:spacing w:after="0"/>
              <w:jc w:val="left"/>
              <w:rPr>
                <w:rFonts w:cs="Times New Roman"/>
                <w:sz w:val="20"/>
                <w:szCs w:val="20"/>
                <w:lang w:val="sr-Latn-RS"/>
              </w:rPr>
            </w:pPr>
          </w:p>
        </w:tc>
        <w:tc>
          <w:tcPr>
            <w:tcW w:w="2261" w:type="dxa"/>
            <w:tcBorders>
              <w:top w:val="single" w:sz="8" w:space="0" w:color="0070C0"/>
              <w:left w:val="single" w:sz="8" w:space="0" w:color="0070C0"/>
              <w:bottom w:val="single" w:sz="2" w:space="0" w:color="0070C0"/>
              <w:right w:val="single" w:sz="8" w:space="0" w:color="0070C0"/>
            </w:tcBorders>
            <w:vAlign w:val="center"/>
            <w:hideMark/>
          </w:tcPr>
          <w:p w14:paraId="10DCE8F9" w14:textId="7A4D6979" w:rsidR="00384D06" w:rsidRPr="00D06E2E" w:rsidRDefault="00384D06" w:rsidP="00384D06">
            <w:pPr>
              <w:spacing w:after="0"/>
              <w:jc w:val="left"/>
              <w:rPr>
                <w:rFonts w:cs="Times New Roman"/>
                <w:lang w:val="sr-Latn-RS"/>
              </w:rPr>
            </w:pPr>
            <w:r w:rsidRPr="00D06E2E">
              <w:rPr>
                <w:rFonts w:cs="Times New Roman"/>
                <w:lang w:val="sr-Latn-RS"/>
              </w:rPr>
              <w:t xml:space="preserve">Recommendations issued in the expedited oversight </w:t>
            </w:r>
            <w:r w:rsidR="00D3432F" w:rsidRPr="00D06E2E">
              <w:rPr>
                <w:rFonts w:cs="Times New Roman"/>
                <w:lang w:val="sr-Latn-RS"/>
              </w:rPr>
              <w:t>investigation</w:t>
            </w:r>
          </w:p>
        </w:tc>
        <w:tc>
          <w:tcPr>
            <w:tcW w:w="928" w:type="dxa"/>
            <w:tcBorders>
              <w:top w:val="single" w:sz="8" w:space="0" w:color="0070C0"/>
              <w:left w:val="single" w:sz="8" w:space="0" w:color="0070C0"/>
              <w:bottom w:val="single" w:sz="2" w:space="0" w:color="0070C0"/>
              <w:right w:val="single" w:sz="8" w:space="0" w:color="0070C0"/>
            </w:tcBorders>
            <w:noWrap/>
            <w:vAlign w:val="center"/>
          </w:tcPr>
          <w:p w14:paraId="05E25454" w14:textId="77777777" w:rsidR="00384D06" w:rsidRPr="00D06E2E" w:rsidRDefault="00384D06" w:rsidP="00384D06">
            <w:pPr>
              <w:spacing w:after="0"/>
              <w:jc w:val="center"/>
              <w:rPr>
                <w:rFonts w:cs="Times New Roman"/>
                <w:lang w:val="sr-Latn-RS"/>
              </w:rPr>
            </w:pPr>
            <w:r w:rsidRPr="00D06E2E">
              <w:rPr>
                <w:rFonts w:cs="Times New Roman"/>
                <w:lang w:val="sr-Latn-RS"/>
              </w:rPr>
              <w:t>459</w:t>
            </w:r>
          </w:p>
        </w:tc>
        <w:tc>
          <w:tcPr>
            <w:tcW w:w="1502" w:type="dxa"/>
            <w:tcBorders>
              <w:top w:val="single" w:sz="8" w:space="0" w:color="0070C0"/>
              <w:left w:val="single" w:sz="8" w:space="0" w:color="0070C0"/>
              <w:bottom w:val="single" w:sz="2" w:space="0" w:color="0070C0"/>
              <w:right w:val="single" w:sz="2" w:space="0" w:color="0070C0"/>
            </w:tcBorders>
            <w:vAlign w:val="center"/>
          </w:tcPr>
          <w:p w14:paraId="56C9D303" w14:textId="77777777" w:rsidR="00384D06" w:rsidRPr="00D06E2E" w:rsidRDefault="00384D06" w:rsidP="00384D06">
            <w:pPr>
              <w:spacing w:after="0"/>
              <w:jc w:val="center"/>
              <w:rPr>
                <w:rFonts w:cs="Times New Roman"/>
                <w:bCs/>
                <w:lang w:val="sr-Latn-RS"/>
              </w:rPr>
            </w:pPr>
            <w:r w:rsidRPr="00D06E2E">
              <w:rPr>
                <w:rFonts w:cs="Times New Roman"/>
                <w:bCs/>
                <w:lang w:val="sr-Latn-RS"/>
              </w:rPr>
              <w:t>100%</w:t>
            </w:r>
          </w:p>
        </w:tc>
      </w:tr>
      <w:tr w:rsidR="00384D06" w:rsidRPr="00D06E2E" w14:paraId="2E913A71" w14:textId="77777777" w:rsidTr="00D3432F">
        <w:trPr>
          <w:trHeight w:val="1161"/>
          <w:jc w:val="center"/>
        </w:trPr>
        <w:tc>
          <w:tcPr>
            <w:tcW w:w="0" w:type="auto"/>
            <w:vMerge/>
            <w:tcBorders>
              <w:top w:val="single" w:sz="12" w:space="0" w:color="0070C0"/>
              <w:left w:val="single" w:sz="2" w:space="0" w:color="0070C0"/>
              <w:bottom w:val="single" w:sz="2" w:space="0" w:color="0070C0"/>
              <w:right w:val="single" w:sz="8" w:space="0" w:color="0070C0"/>
            </w:tcBorders>
            <w:vAlign w:val="center"/>
            <w:hideMark/>
          </w:tcPr>
          <w:p w14:paraId="7A4B85FA" w14:textId="77777777" w:rsidR="00384D06" w:rsidRPr="00D06E2E" w:rsidRDefault="00384D06" w:rsidP="00384D06">
            <w:pPr>
              <w:spacing w:after="0"/>
              <w:jc w:val="left"/>
              <w:rPr>
                <w:rFonts w:cs="Times New Roman"/>
                <w:sz w:val="20"/>
                <w:szCs w:val="20"/>
                <w:lang w:val="sr-Latn-RS"/>
              </w:rPr>
            </w:pPr>
          </w:p>
        </w:tc>
        <w:tc>
          <w:tcPr>
            <w:tcW w:w="2261" w:type="dxa"/>
            <w:tcBorders>
              <w:top w:val="single" w:sz="2" w:space="0" w:color="0070C0"/>
              <w:left w:val="single" w:sz="8" w:space="0" w:color="0070C0"/>
              <w:bottom w:val="single" w:sz="2" w:space="0" w:color="0070C0"/>
              <w:right w:val="single" w:sz="8" w:space="0" w:color="0070C0"/>
            </w:tcBorders>
            <w:vAlign w:val="center"/>
            <w:hideMark/>
          </w:tcPr>
          <w:p w14:paraId="3E5FAF26" w14:textId="4D67DD77" w:rsidR="00384D06" w:rsidRPr="00D06E2E" w:rsidRDefault="00384D06" w:rsidP="00384D06">
            <w:pPr>
              <w:spacing w:after="0"/>
              <w:rPr>
                <w:rFonts w:cs="Times New Roman"/>
                <w:lang w:val="sr-Latn-RS"/>
              </w:rPr>
            </w:pPr>
            <w:r w:rsidRPr="00D06E2E">
              <w:rPr>
                <w:rFonts w:cs="Times New Roman"/>
                <w:lang w:val="sr-Latn-RS"/>
              </w:rPr>
              <w:t>Recommendations issued in preventive capacity (NPM)</w:t>
            </w:r>
          </w:p>
        </w:tc>
        <w:tc>
          <w:tcPr>
            <w:tcW w:w="928" w:type="dxa"/>
            <w:tcBorders>
              <w:top w:val="single" w:sz="2" w:space="0" w:color="0070C0"/>
              <w:left w:val="single" w:sz="8" w:space="0" w:color="0070C0"/>
              <w:bottom w:val="single" w:sz="2" w:space="0" w:color="0070C0"/>
              <w:right w:val="single" w:sz="8" w:space="0" w:color="0070C0"/>
            </w:tcBorders>
            <w:noWrap/>
            <w:vAlign w:val="center"/>
          </w:tcPr>
          <w:p w14:paraId="77CF0ADC" w14:textId="63705496" w:rsidR="00384D06" w:rsidRPr="00D06E2E" w:rsidRDefault="00384D06" w:rsidP="00384D06">
            <w:pPr>
              <w:spacing w:after="0"/>
              <w:jc w:val="center"/>
              <w:rPr>
                <w:rFonts w:cs="Times New Roman"/>
                <w:lang w:val="sr-Latn-RS"/>
              </w:rPr>
            </w:pPr>
            <w:r w:rsidRPr="00D06E2E">
              <w:rPr>
                <w:rFonts w:cs="Times New Roman"/>
                <w:lang w:val="sr-Latn-RS"/>
              </w:rPr>
              <w:t>234</w:t>
            </w:r>
          </w:p>
        </w:tc>
        <w:tc>
          <w:tcPr>
            <w:tcW w:w="1502" w:type="dxa"/>
            <w:tcBorders>
              <w:top w:val="single" w:sz="2" w:space="0" w:color="0070C0"/>
              <w:left w:val="single" w:sz="8" w:space="0" w:color="0070C0"/>
              <w:bottom w:val="single" w:sz="2" w:space="0" w:color="0070C0"/>
              <w:right w:val="single" w:sz="2" w:space="0" w:color="0070C0"/>
            </w:tcBorders>
            <w:vAlign w:val="center"/>
          </w:tcPr>
          <w:p w14:paraId="5CE093C1" w14:textId="0823221B" w:rsidR="00384D06" w:rsidRPr="00D06E2E" w:rsidRDefault="00384D06" w:rsidP="00384D06">
            <w:pPr>
              <w:spacing w:after="0"/>
              <w:jc w:val="center"/>
              <w:rPr>
                <w:rFonts w:cs="Times New Roman"/>
                <w:bCs/>
                <w:lang w:val="sr-Latn-RS"/>
              </w:rPr>
            </w:pPr>
            <w:r w:rsidRPr="00D06E2E">
              <w:rPr>
                <w:rFonts w:cs="Times New Roman"/>
                <w:bCs/>
                <w:lang w:val="sr-Latn-RS"/>
              </w:rPr>
              <w:t>93.42%</w:t>
            </w:r>
          </w:p>
        </w:tc>
      </w:tr>
    </w:tbl>
    <w:p w14:paraId="0084CE22" w14:textId="77777777" w:rsidR="00EB486A" w:rsidRPr="00D06E2E" w:rsidRDefault="00EB486A" w:rsidP="00EB486A">
      <w:pPr>
        <w:rPr>
          <w:rFonts w:cs="Times New Roman"/>
          <w:i/>
          <w:iCs/>
          <w:sz w:val="20"/>
          <w:lang w:val="sr-Latn-RS"/>
        </w:rPr>
      </w:pPr>
    </w:p>
    <w:p w14:paraId="492F2B2A" w14:textId="77777777" w:rsidR="00975900" w:rsidRPr="00D06E2E" w:rsidRDefault="00975900" w:rsidP="00EB486A">
      <w:pPr>
        <w:jc w:val="center"/>
        <w:rPr>
          <w:rFonts w:cs="Times New Roman"/>
          <w:b/>
          <w:iCs/>
          <w:szCs w:val="18"/>
          <w:lang w:val="sr-Latn-RS"/>
        </w:rPr>
      </w:pPr>
    </w:p>
    <w:p w14:paraId="3DA60F3F" w14:textId="77777777" w:rsidR="00975900" w:rsidRPr="00D06E2E" w:rsidRDefault="00975900" w:rsidP="00EB486A">
      <w:pPr>
        <w:jc w:val="center"/>
        <w:rPr>
          <w:rFonts w:cs="Times New Roman"/>
          <w:b/>
          <w:iCs/>
          <w:szCs w:val="18"/>
          <w:lang w:val="sr-Latn-RS"/>
        </w:rPr>
      </w:pPr>
    </w:p>
    <w:p w14:paraId="291F532C" w14:textId="60E6CF9E" w:rsidR="00975900" w:rsidRPr="00D06E2E" w:rsidRDefault="00975900" w:rsidP="00D3432F">
      <w:pPr>
        <w:rPr>
          <w:rFonts w:cs="Times New Roman"/>
          <w:b/>
          <w:iCs/>
          <w:szCs w:val="18"/>
          <w:lang w:val="sr-Latn-RS"/>
        </w:rPr>
      </w:pPr>
    </w:p>
    <w:p w14:paraId="01E4A7C0" w14:textId="12B7DF7D" w:rsidR="00EB486A" w:rsidRPr="00D06E2E" w:rsidRDefault="00384D06" w:rsidP="00EB486A">
      <w:pPr>
        <w:jc w:val="center"/>
        <w:rPr>
          <w:rFonts w:cs="Times New Roman"/>
          <w:b/>
          <w:iCs/>
          <w:szCs w:val="18"/>
          <w:lang w:val="sr-Latn-RS"/>
        </w:rPr>
      </w:pPr>
      <w:r w:rsidRPr="00D06E2E">
        <w:rPr>
          <w:rFonts w:cs="Times New Roman"/>
          <w:b/>
          <w:iCs/>
          <w:szCs w:val="18"/>
          <w:lang w:val="sr-Latn-RS"/>
        </w:rPr>
        <w:lastRenderedPageBreak/>
        <w:t>Table</w:t>
      </w:r>
      <w:r w:rsidR="00EB486A" w:rsidRPr="00D06E2E">
        <w:rPr>
          <w:rFonts w:cs="Times New Roman"/>
          <w:b/>
          <w:iCs/>
          <w:szCs w:val="18"/>
          <w:lang w:val="sr-Latn-RS"/>
        </w:rPr>
        <w:t xml:space="preserve"> 11 – </w:t>
      </w:r>
      <w:r w:rsidRPr="00D06E2E">
        <w:rPr>
          <w:rFonts w:cs="Times New Roman"/>
          <w:b/>
          <w:iCs/>
          <w:szCs w:val="18"/>
          <w:lang w:val="sr-Latn-RS"/>
        </w:rPr>
        <w:t xml:space="preserve">Comparative overview of </w:t>
      </w:r>
      <w:r w:rsidR="00D3432F" w:rsidRPr="00D06E2E">
        <w:rPr>
          <w:rFonts w:cs="Times New Roman"/>
          <w:b/>
          <w:iCs/>
          <w:szCs w:val="18"/>
          <w:lang w:val="sr-Latn-RS"/>
        </w:rPr>
        <w:t>acting upon</w:t>
      </w:r>
      <w:r w:rsidRPr="00D06E2E">
        <w:rPr>
          <w:rFonts w:cs="Times New Roman"/>
          <w:b/>
          <w:iCs/>
          <w:szCs w:val="18"/>
          <w:lang w:val="sr-Latn-RS"/>
        </w:rPr>
        <w:t xml:space="preserve"> recommendations</w:t>
      </w:r>
      <w:r w:rsidR="00EB486A" w:rsidRPr="00D06E2E">
        <w:rPr>
          <w:rFonts w:cs="Times New Roman"/>
          <w:b/>
          <w:iCs/>
          <w:szCs w:val="18"/>
          <w:lang w:val="sr-Latn-RS"/>
        </w:rPr>
        <w:t xml:space="preserve"> </w:t>
      </w:r>
      <w:r w:rsidRPr="00D06E2E">
        <w:rPr>
          <w:rFonts w:cs="Times New Roman"/>
          <w:b/>
          <w:iCs/>
          <w:szCs w:val="18"/>
          <w:lang w:val="sr-Latn-RS"/>
        </w:rPr>
        <w:t>in 2023 and 2022</w:t>
      </w:r>
    </w:p>
    <w:tbl>
      <w:tblPr>
        <w:tblW w:w="6658" w:type="dxa"/>
        <w:jc w:val="center"/>
        <w:tblBorders>
          <w:top w:val="single" w:sz="12" w:space="0" w:color="0070C0"/>
          <w:bottom w:val="single" w:sz="12" w:space="0" w:color="0070C0"/>
          <w:insideH w:val="single" w:sz="8" w:space="0" w:color="0070C0"/>
          <w:insideV w:val="single" w:sz="8" w:space="0" w:color="0070C0"/>
        </w:tblBorders>
        <w:tblCellMar>
          <w:left w:w="0" w:type="dxa"/>
          <w:right w:w="0" w:type="dxa"/>
        </w:tblCellMar>
        <w:tblLook w:val="00A0" w:firstRow="1" w:lastRow="0" w:firstColumn="1" w:lastColumn="0" w:noHBand="0" w:noVBand="0"/>
      </w:tblPr>
      <w:tblGrid>
        <w:gridCol w:w="3539"/>
        <w:gridCol w:w="1418"/>
        <w:gridCol w:w="1701"/>
      </w:tblGrid>
      <w:tr w:rsidR="00EB486A" w:rsidRPr="00D06E2E" w14:paraId="5502A4C8" w14:textId="77777777" w:rsidTr="006576C8">
        <w:trPr>
          <w:trHeight w:hRule="exact" w:val="329"/>
          <w:jc w:val="center"/>
        </w:trPr>
        <w:tc>
          <w:tcPr>
            <w:tcW w:w="3539" w:type="dxa"/>
            <w:tcBorders>
              <w:top w:val="single" w:sz="2"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tcPr>
          <w:p w14:paraId="3C042979" w14:textId="77777777" w:rsidR="00EB486A" w:rsidRPr="00D06E2E" w:rsidRDefault="00EB486A" w:rsidP="00556F2C">
            <w:pPr>
              <w:spacing w:after="0"/>
              <w:rPr>
                <w:rFonts w:cs="Times New Roman"/>
                <w:b/>
                <w:bCs/>
                <w:lang w:val="sr-Latn-RS"/>
              </w:rPr>
            </w:pPr>
          </w:p>
        </w:tc>
        <w:tc>
          <w:tcPr>
            <w:tcW w:w="1418" w:type="dxa"/>
            <w:tcBorders>
              <w:top w:val="single" w:sz="2" w:space="0" w:color="0070C0"/>
              <w:left w:val="single" w:sz="8" w:space="0" w:color="0070C0"/>
              <w:bottom w:val="single" w:sz="2" w:space="0" w:color="0070C0"/>
              <w:right w:val="single" w:sz="8" w:space="0" w:color="0070C0"/>
            </w:tcBorders>
          </w:tcPr>
          <w:p w14:paraId="06B7D931" w14:textId="02FFF51B" w:rsidR="00EB486A" w:rsidRPr="00D06E2E" w:rsidRDefault="00384D06" w:rsidP="00556F2C">
            <w:pPr>
              <w:spacing w:after="0"/>
              <w:jc w:val="center"/>
              <w:rPr>
                <w:rFonts w:cs="Times New Roman"/>
                <w:b/>
                <w:bCs/>
                <w:lang w:val="sr-Latn-RS"/>
              </w:rPr>
            </w:pPr>
            <w:r w:rsidRPr="00D06E2E">
              <w:rPr>
                <w:rFonts w:cs="Times New Roman"/>
                <w:b/>
                <w:bCs/>
                <w:lang w:val="sr-Latn-RS"/>
              </w:rPr>
              <w:t>2023</w:t>
            </w:r>
          </w:p>
        </w:tc>
        <w:tc>
          <w:tcPr>
            <w:tcW w:w="1701" w:type="dxa"/>
            <w:tcBorders>
              <w:top w:val="single" w:sz="2" w:space="0" w:color="0070C0"/>
              <w:left w:val="single" w:sz="8" w:space="0" w:color="0070C0"/>
              <w:bottom w:val="single" w:sz="2" w:space="0" w:color="0070C0"/>
              <w:right w:val="single" w:sz="8" w:space="0" w:color="0070C0"/>
            </w:tcBorders>
          </w:tcPr>
          <w:p w14:paraId="5613E9F1" w14:textId="3D2D750D" w:rsidR="00EB486A" w:rsidRPr="00D06E2E" w:rsidRDefault="00384D06" w:rsidP="00556F2C">
            <w:pPr>
              <w:spacing w:after="0"/>
              <w:jc w:val="center"/>
              <w:rPr>
                <w:rFonts w:cs="Times New Roman"/>
                <w:b/>
                <w:bCs/>
                <w:lang w:val="sr-Latn-RS"/>
              </w:rPr>
            </w:pPr>
            <w:r w:rsidRPr="00D06E2E">
              <w:rPr>
                <w:rFonts w:cs="Times New Roman"/>
                <w:b/>
                <w:bCs/>
                <w:lang w:val="sr-Latn-RS"/>
              </w:rPr>
              <w:t>2022</w:t>
            </w:r>
          </w:p>
        </w:tc>
      </w:tr>
      <w:tr w:rsidR="00384D06" w:rsidRPr="00D06E2E" w14:paraId="612D9F4F" w14:textId="77777777" w:rsidTr="006576C8">
        <w:trPr>
          <w:trHeight w:hRule="exact" w:val="656"/>
          <w:jc w:val="center"/>
        </w:trPr>
        <w:tc>
          <w:tcPr>
            <w:tcW w:w="3539" w:type="dxa"/>
            <w:tcBorders>
              <w:top w:val="single" w:sz="2"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tcPr>
          <w:p w14:paraId="61786B84" w14:textId="6B3008D6" w:rsidR="00384D06" w:rsidRPr="00D06E2E" w:rsidRDefault="00384D06" w:rsidP="00384D06">
            <w:pPr>
              <w:spacing w:after="0"/>
              <w:rPr>
                <w:rFonts w:cs="Times New Roman"/>
                <w:lang w:val="sr-Latn-RS"/>
              </w:rPr>
            </w:pPr>
            <w:r w:rsidRPr="00D06E2E">
              <w:rPr>
                <w:rFonts w:cs="Times New Roman"/>
                <w:lang w:val="sr-Latn-RS"/>
              </w:rPr>
              <w:t xml:space="preserve">Recommendations issued in the oversight </w:t>
            </w:r>
            <w:r w:rsidR="00D3432F" w:rsidRPr="00D06E2E">
              <w:rPr>
                <w:rFonts w:cs="Times New Roman"/>
                <w:lang w:val="sr-Latn-RS"/>
              </w:rPr>
              <w:t>investigation</w:t>
            </w:r>
          </w:p>
        </w:tc>
        <w:tc>
          <w:tcPr>
            <w:tcW w:w="1418" w:type="dxa"/>
            <w:tcBorders>
              <w:top w:val="single" w:sz="2" w:space="0" w:color="0070C0"/>
              <w:left w:val="single" w:sz="8" w:space="0" w:color="0070C0"/>
              <w:bottom w:val="single" w:sz="2" w:space="0" w:color="0070C0"/>
              <w:right w:val="single" w:sz="8" w:space="0" w:color="0070C0"/>
            </w:tcBorders>
          </w:tcPr>
          <w:p w14:paraId="63C17F24" w14:textId="77777777" w:rsidR="00384D06" w:rsidRPr="00D06E2E" w:rsidRDefault="00384D06" w:rsidP="00384D06">
            <w:pPr>
              <w:spacing w:after="0"/>
              <w:jc w:val="center"/>
              <w:rPr>
                <w:rFonts w:cs="Times New Roman"/>
                <w:bCs/>
                <w:lang w:val="sr-Latn-RS"/>
              </w:rPr>
            </w:pPr>
          </w:p>
          <w:p w14:paraId="11378044" w14:textId="1DB6BE12" w:rsidR="00384D06" w:rsidRPr="00D06E2E" w:rsidRDefault="00384D06" w:rsidP="00384D06">
            <w:pPr>
              <w:spacing w:after="0"/>
              <w:jc w:val="center"/>
              <w:rPr>
                <w:rFonts w:cs="Times New Roman"/>
                <w:bCs/>
                <w:lang w:val="sr-Latn-RS"/>
              </w:rPr>
            </w:pPr>
            <w:r w:rsidRPr="00D06E2E">
              <w:rPr>
                <w:rFonts w:cs="Times New Roman"/>
                <w:bCs/>
                <w:lang w:val="sr-Latn-RS"/>
              </w:rPr>
              <w:t>78.20%</w:t>
            </w:r>
          </w:p>
        </w:tc>
        <w:tc>
          <w:tcPr>
            <w:tcW w:w="1701" w:type="dxa"/>
            <w:tcBorders>
              <w:top w:val="single" w:sz="2" w:space="0" w:color="0070C0"/>
              <w:left w:val="single" w:sz="8" w:space="0" w:color="0070C0"/>
              <w:bottom w:val="single" w:sz="2" w:space="0" w:color="0070C0"/>
              <w:right w:val="single" w:sz="8" w:space="0" w:color="0070C0"/>
            </w:tcBorders>
          </w:tcPr>
          <w:p w14:paraId="194071AB" w14:textId="77777777" w:rsidR="00384D06" w:rsidRPr="00D06E2E" w:rsidRDefault="00384D06" w:rsidP="00384D06">
            <w:pPr>
              <w:spacing w:after="0"/>
              <w:jc w:val="center"/>
              <w:rPr>
                <w:rFonts w:cs="Times New Roman"/>
                <w:bCs/>
                <w:lang w:val="sr-Latn-RS"/>
              </w:rPr>
            </w:pPr>
          </w:p>
          <w:p w14:paraId="5855731A" w14:textId="71906060" w:rsidR="00384D06" w:rsidRPr="00D06E2E" w:rsidRDefault="00384D06" w:rsidP="00384D06">
            <w:pPr>
              <w:spacing w:after="0"/>
              <w:jc w:val="center"/>
              <w:rPr>
                <w:rFonts w:cs="Times New Roman"/>
                <w:bCs/>
                <w:lang w:val="sr-Latn-RS"/>
              </w:rPr>
            </w:pPr>
            <w:r w:rsidRPr="00D06E2E">
              <w:rPr>
                <w:rFonts w:cs="Times New Roman"/>
                <w:bCs/>
                <w:lang w:val="sr-Latn-RS"/>
              </w:rPr>
              <w:t>63.09%</w:t>
            </w:r>
          </w:p>
        </w:tc>
      </w:tr>
      <w:tr w:rsidR="00384D06" w:rsidRPr="00D06E2E" w14:paraId="2B6028F7" w14:textId="77777777" w:rsidTr="00B61902">
        <w:trPr>
          <w:trHeight w:hRule="exact" w:val="587"/>
          <w:jc w:val="center"/>
        </w:trPr>
        <w:tc>
          <w:tcPr>
            <w:tcW w:w="3539" w:type="dxa"/>
            <w:tcBorders>
              <w:top w:val="single" w:sz="2" w:space="0" w:color="0070C0"/>
              <w:left w:val="single" w:sz="2" w:space="0" w:color="0070C0"/>
              <w:bottom w:val="single" w:sz="2" w:space="0" w:color="0070C0"/>
              <w:right w:val="single" w:sz="8" w:space="0" w:color="0070C0"/>
            </w:tcBorders>
            <w:tcMar>
              <w:top w:w="0" w:type="dxa"/>
              <w:left w:w="108" w:type="dxa"/>
              <w:bottom w:w="0" w:type="dxa"/>
              <w:right w:w="108" w:type="dxa"/>
            </w:tcMar>
            <w:vAlign w:val="center"/>
          </w:tcPr>
          <w:p w14:paraId="2E4584FF" w14:textId="0A1252E8" w:rsidR="00384D06" w:rsidRPr="00D06E2E" w:rsidRDefault="00384D06" w:rsidP="00384D06">
            <w:pPr>
              <w:spacing w:after="0"/>
              <w:rPr>
                <w:rFonts w:cs="Times New Roman"/>
                <w:lang w:val="sr-Latn-RS"/>
              </w:rPr>
            </w:pPr>
            <w:r w:rsidRPr="00D06E2E">
              <w:rPr>
                <w:rFonts w:cs="Times New Roman"/>
                <w:lang w:val="sr-Latn-RS"/>
              </w:rPr>
              <w:t xml:space="preserve">Recommendations issued in the expedited oversight </w:t>
            </w:r>
            <w:r w:rsidR="00D3432F" w:rsidRPr="00D06E2E">
              <w:rPr>
                <w:rFonts w:cs="Times New Roman"/>
                <w:lang w:val="sr-Latn-RS"/>
              </w:rPr>
              <w:t>investigation</w:t>
            </w:r>
          </w:p>
        </w:tc>
        <w:tc>
          <w:tcPr>
            <w:tcW w:w="1418" w:type="dxa"/>
            <w:tcBorders>
              <w:top w:val="single" w:sz="2" w:space="0" w:color="0070C0"/>
              <w:left w:val="single" w:sz="8" w:space="0" w:color="0070C0"/>
              <w:bottom w:val="single" w:sz="2" w:space="0" w:color="0070C0"/>
              <w:right w:val="single" w:sz="8" w:space="0" w:color="0070C0"/>
            </w:tcBorders>
          </w:tcPr>
          <w:p w14:paraId="3C0C08AC" w14:textId="77777777" w:rsidR="00384D06" w:rsidRPr="00D06E2E" w:rsidRDefault="00384D06" w:rsidP="00384D06">
            <w:pPr>
              <w:spacing w:after="0"/>
              <w:jc w:val="center"/>
              <w:rPr>
                <w:rFonts w:cs="Times New Roman"/>
                <w:bCs/>
                <w:lang w:val="sr-Latn-RS"/>
              </w:rPr>
            </w:pPr>
          </w:p>
          <w:p w14:paraId="34B586C0" w14:textId="77777777" w:rsidR="00384D06" w:rsidRPr="00D06E2E" w:rsidRDefault="00384D06" w:rsidP="00384D06">
            <w:pPr>
              <w:spacing w:after="0"/>
              <w:jc w:val="center"/>
              <w:rPr>
                <w:rFonts w:cs="Times New Roman"/>
                <w:bCs/>
                <w:lang w:val="sr-Latn-RS"/>
              </w:rPr>
            </w:pPr>
            <w:r w:rsidRPr="00D06E2E">
              <w:rPr>
                <w:rFonts w:cs="Times New Roman"/>
                <w:bCs/>
                <w:lang w:val="sr-Latn-RS"/>
              </w:rPr>
              <w:t>100%</w:t>
            </w:r>
          </w:p>
        </w:tc>
        <w:tc>
          <w:tcPr>
            <w:tcW w:w="1701" w:type="dxa"/>
            <w:tcBorders>
              <w:top w:val="single" w:sz="2" w:space="0" w:color="0070C0"/>
              <w:left w:val="single" w:sz="8" w:space="0" w:color="0070C0"/>
              <w:bottom w:val="single" w:sz="2" w:space="0" w:color="0070C0"/>
              <w:right w:val="single" w:sz="8" w:space="0" w:color="0070C0"/>
            </w:tcBorders>
          </w:tcPr>
          <w:p w14:paraId="32FF4C8B" w14:textId="77777777" w:rsidR="00384D06" w:rsidRPr="00D06E2E" w:rsidRDefault="00384D06" w:rsidP="00384D06">
            <w:pPr>
              <w:spacing w:after="0"/>
              <w:jc w:val="center"/>
              <w:rPr>
                <w:rFonts w:cs="Times New Roman"/>
                <w:bCs/>
                <w:lang w:val="sr-Latn-RS"/>
              </w:rPr>
            </w:pPr>
          </w:p>
          <w:p w14:paraId="07282D57" w14:textId="77777777" w:rsidR="00384D06" w:rsidRPr="00D06E2E" w:rsidRDefault="00384D06" w:rsidP="00384D06">
            <w:pPr>
              <w:spacing w:after="0"/>
              <w:jc w:val="center"/>
              <w:rPr>
                <w:rFonts w:cs="Times New Roman"/>
                <w:bCs/>
                <w:lang w:val="sr-Latn-RS"/>
              </w:rPr>
            </w:pPr>
            <w:r w:rsidRPr="00D06E2E">
              <w:rPr>
                <w:rFonts w:cs="Times New Roman"/>
                <w:bCs/>
                <w:lang w:val="sr-Latn-RS"/>
              </w:rPr>
              <w:t>100%</w:t>
            </w:r>
          </w:p>
        </w:tc>
      </w:tr>
      <w:tr w:rsidR="00384D06" w:rsidRPr="00D06E2E" w14:paraId="577C675E" w14:textId="77777777" w:rsidTr="00B61902">
        <w:trPr>
          <w:trHeight w:hRule="exact" w:val="739"/>
          <w:jc w:val="center"/>
        </w:trPr>
        <w:tc>
          <w:tcPr>
            <w:tcW w:w="3539" w:type="dxa"/>
            <w:tcBorders>
              <w:top w:val="single" w:sz="2" w:space="0" w:color="0070C0"/>
              <w:left w:val="single" w:sz="2" w:space="0" w:color="0070C0"/>
              <w:bottom w:val="single" w:sz="8" w:space="0" w:color="0070C0"/>
              <w:right w:val="single" w:sz="8" w:space="0" w:color="0070C0"/>
            </w:tcBorders>
            <w:tcMar>
              <w:top w:w="0" w:type="dxa"/>
              <w:left w:w="108" w:type="dxa"/>
              <w:bottom w:w="0" w:type="dxa"/>
              <w:right w:w="108" w:type="dxa"/>
            </w:tcMar>
            <w:vAlign w:val="center"/>
          </w:tcPr>
          <w:p w14:paraId="231054B6" w14:textId="16A9FAAB" w:rsidR="00384D06" w:rsidRPr="00D06E2E" w:rsidRDefault="00384D06" w:rsidP="00384D06">
            <w:pPr>
              <w:spacing w:after="0"/>
              <w:rPr>
                <w:rFonts w:cs="Times New Roman"/>
                <w:lang w:val="sr-Latn-RS"/>
              </w:rPr>
            </w:pPr>
            <w:r w:rsidRPr="00D06E2E">
              <w:rPr>
                <w:rFonts w:cs="Times New Roman"/>
                <w:lang w:val="sr-Latn-RS"/>
              </w:rPr>
              <w:t>Recommendations issued in preventive capacity (NPM)</w:t>
            </w:r>
          </w:p>
        </w:tc>
        <w:tc>
          <w:tcPr>
            <w:tcW w:w="1418" w:type="dxa"/>
            <w:tcBorders>
              <w:top w:val="single" w:sz="2" w:space="0" w:color="0070C0"/>
              <w:left w:val="single" w:sz="8" w:space="0" w:color="0070C0"/>
              <w:bottom w:val="single" w:sz="8" w:space="0" w:color="0070C0"/>
              <w:right w:val="single" w:sz="8" w:space="0" w:color="0070C0"/>
            </w:tcBorders>
          </w:tcPr>
          <w:p w14:paraId="448EA0CF" w14:textId="77777777" w:rsidR="00384D06" w:rsidRPr="00D06E2E" w:rsidRDefault="00384D06" w:rsidP="00384D06">
            <w:pPr>
              <w:spacing w:after="0"/>
              <w:jc w:val="center"/>
              <w:rPr>
                <w:rFonts w:cs="Times New Roman"/>
                <w:bCs/>
                <w:lang w:val="sr-Latn-RS"/>
              </w:rPr>
            </w:pPr>
          </w:p>
          <w:p w14:paraId="2EBC051C" w14:textId="620CC88F" w:rsidR="00384D06" w:rsidRPr="00D06E2E" w:rsidRDefault="00384D06" w:rsidP="00384D06">
            <w:pPr>
              <w:spacing w:after="0"/>
              <w:jc w:val="center"/>
              <w:rPr>
                <w:rFonts w:cs="Times New Roman"/>
                <w:bCs/>
                <w:lang w:val="sr-Latn-RS"/>
              </w:rPr>
            </w:pPr>
            <w:r w:rsidRPr="00D06E2E">
              <w:rPr>
                <w:rFonts w:cs="Times New Roman"/>
                <w:bCs/>
                <w:lang w:val="sr-Latn-RS"/>
              </w:rPr>
              <w:t>93.42%</w:t>
            </w:r>
          </w:p>
        </w:tc>
        <w:tc>
          <w:tcPr>
            <w:tcW w:w="1701" w:type="dxa"/>
            <w:tcBorders>
              <w:top w:val="single" w:sz="2" w:space="0" w:color="0070C0"/>
              <w:left w:val="single" w:sz="8" w:space="0" w:color="0070C0"/>
              <w:bottom w:val="single" w:sz="8" w:space="0" w:color="0070C0"/>
              <w:right w:val="single" w:sz="8" w:space="0" w:color="0070C0"/>
            </w:tcBorders>
          </w:tcPr>
          <w:p w14:paraId="7E1CC9D3" w14:textId="77777777" w:rsidR="00384D06" w:rsidRPr="00D06E2E" w:rsidRDefault="00384D06" w:rsidP="00384D06">
            <w:pPr>
              <w:spacing w:after="0"/>
              <w:jc w:val="center"/>
              <w:rPr>
                <w:rFonts w:cs="Times New Roman"/>
                <w:bCs/>
                <w:lang w:val="sr-Latn-RS"/>
              </w:rPr>
            </w:pPr>
          </w:p>
          <w:p w14:paraId="3177AEDF" w14:textId="4FBD69B3" w:rsidR="00384D06" w:rsidRPr="00D06E2E" w:rsidRDefault="00384D06" w:rsidP="00384D06">
            <w:pPr>
              <w:spacing w:after="0"/>
              <w:jc w:val="center"/>
              <w:rPr>
                <w:rFonts w:cs="Times New Roman"/>
                <w:bCs/>
                <w:lang w:val="sr-Latn-RS"/>
              </w:rPr>
            </w:pPr>
            <w:r w:rsidRPr="00D06E2E">
              <w:rPr>
                <w:rFonts w:cs="Times New Roman"/>
                <w:bCs/>
                <w:lang w:val="sr-Latn-RS"/>
              </w:rPr>
              <w:t>88.46%</w:t>
            </w:r>
          </w:p>
        </w:tc>
      </w:tr>
    </w:tbl>
    <w:p w14:paraId="5A96707E" w14:textId="77777777" w:rsidR="00EB486A" w:rsidRPr="00D06E2E" w:rsidRDefault="00EB486A" w:rsidP="00EB486A">
      <w:pPr>
        <w:spacing w:after="0"/>
        <w:rPr>
          <w:rFonts w:cs="Times New Roman"/>
          <w:iCs/>
          <w:lang w:val="sr-Latn-RS"/>
        </w:rPr>
      </w:pPr>
    </w:p>
    <w:p w14:paraId="10DDE990" w14:textId="48371A55" w:rsidR="009C2A70" w:rsidRPr="00D06E2E" w:rsidRDefault="009C2A70" w:rsidP="00EB486A">
      <w:pPr>
        <w:rPr>
          <w:rFonts w:cs="Times New Roman"/>
          <w:iCs/>
          <w:lang w:val="sr-Latn-RS"/>
        </w:rPr>
      </w:pPr>
      <w:r w:rsidRPr="00D06E2E">
        <w:rPr>
          <w:rFonts w:cs="Times New Roman"/>
          <w:iCs/>
          <w:lang w:val="sr-Latn-RS"/>
        </w:rPr>
        <w:t>In 2023 the increase of the percentage of acting upon recommendations of the Protector of Citizens issued in oversight investigation by 15 percent was noticeable. This is encouraging information and the Protector of Citizens believes there is a room for improvement.</w:t>
      </w:r>
    </w:p>
    <w:p w14:paraId="04FA10AA" w14:textId="3AC5D017" w:rsidR="009C2A70" w:rsidRPr="00D06E2E" w:rsidRDefault="009C2A70" w:rsidP="00EB486A">
      <w:pPr>
        <w:rPr>
          <w:rFonts w:cs="Times New Roman"/>
          <w:iCs/>
          <w:lang w:val="sr-Latn-RS"/>
        </w:rPr>
      </w:pPr>
      <w:r w:rsidRPr="00D06E2E">
        <w:rPr>
          <w:rFonts w:cs="Times New Roman"/>
          <w:iCs/>
          <w:lang w:val="sr-Latn-RS"/>
        </w:rPr>
        <w:t>Moreover, the percentage of acting upon recommendations the Protector of Citizens issued in the preventive capacity was also increased almost by 5 percent and competent authorities acted upon a majority of recommendations of the NPM in the reporting period.</w:t>
      </w:r>
    </w:p>
    <w:p w14:paraId="500DAF96" w14:textId="77777777" w:rsidR="0093775F" w:rsidRPr="00D06E2E" w:rsidRDefault="0093775F" w:rsidP="00FD5159">
      <w:pPr>
        <w:spacing w:after="0"/>
        <w:rPr>
          <w:rFonts w:cs="Times New Roman"/>
          <w:lang w:val="sr-Latn-RS"/>
        </w:rPr>
      </w:pPr>
    </w:p>
    <w:p w14:paraId="3815F80B" w14:textId="78E3FEB1" w:rsidR="0093775F" w:rsidRPr="00D06E2E" w:rsidRDefault="00D0747C" w:rsidP="00FD5159">
      <w:pPr>
        <w:jc w:val="center"/>
        <w:rPr>
          <w:rFonts w:cs="Times New Roman"/>
          <w:sz w:val="24"/>
          <w:szCs w:val="24"/>
          <w:lang w:val="sr-Latn-RS"/>
        </w:rPr>
      </w:pPr>
      <w:r w:rsidRPr="00D06E2E">
        <w:rPr>
          <w:rFonts w:cs="Times New Roman"/>
          <w:sz w:val="24"/>
          <w:szCs w:val="24"/>
          <w:lang w:val="sr-Latn-RS"/>
        </w:rPr>
        <w:t>OPINIONS</w:t>
      </w:r>
    </w:p>
    <w:p w14:paraId="655D63DC" w14:textId="0263D76E" w:rsidR="00254F4E" w:rsidRPr="00D06E2E" w:rsidRDefault="009C2A70" w:rsidP="00254F4E">
      <w:pPr>
        <w:rPr>
          <w:rFonts w:cs="Times New Roman"/>
          <w:noProof/>
          <w:lang w:val="sr-Latn-RS"/>
        </w:rPr>
      </w:pPr>
      <w:r w:rsidRPr="00D06E2E">
        <w:rPr>
          <w:rFonts w:cs="Times New Roman"/>
          <w:noProof/>
          <w:lang w:val="sr-Latn-RS"/>
        </w:rPr>
        <w:t>During 2023 the Protector of Citizens issued to public authorities 26 opinions as follows:</w:t>
      </w:r>
    </w:p>
    <w:p w14:paraId="4DD1ECF2" w14:textId="1D2AE8A3" w:rsidR="009C2A70" w:rsidRPr="00D06E2E" w:rsidRDefault="009C2A70" w:rsidP="00254F4E">
      <w:pPr>
        <w:rPr>
          <w:rFonts w:cs="Times New Roman"/>
          <w:noProof/>
          <w:lang w:val="sr-Latn-RS"/>
        </w:rPr>
      </w:pPr>
      <w:r w:rsidRPr="00D06E2E">
        <w:rPr>
          <w:rFonts w:cs="Times New Roman"/>
          <w:noProof/>
          <w:lang w:val="sr-Latn-RS"/>
        </w:rPr>
        <w:t>Sixteen</w:t>
      </w:r>
      <w:r w:rsidR="00254F4E" w:rsidRPr="00D06E2E">
        <w:rPr>
          <w:rFonts w:cs="Times New Roman"/>
          <w:noProof/>
          <w:lang w:val="sr-Latn-RS"/>
        </w:rPr>
        <w:t xml:space="preserve"> (1</w:t>
      </w:r>
      <w:r w:rsidR="00EC6081" w:rsidRPr="00D06E2E">
        <w:rPr>
          <w:rFonts w:cs="Times New Roman"/>
          <w:noProof/>
          <w:lang w:val="sr-Latn-RS"/>
        </w:rPr>
        <w:t>6</w:t>
      </w:r>
      <w:r w:rsidR="00254F4E" w:rsidRPr="00D06E2E">
        <w:rPr>
          <w:rFonts w:cs="Times New Roman"/>
          <w:noProof/>
          <w:lang w:val="sr-Latn-RS"/>
        </w:rPr>
        <w:t xml:space="preserve">) </w:t>
      </w:r>
      <w:r w:rsidRPr="00D06E2E">
        <w:rPr>
          <w:rFonts w:cs="Times New Roman"/>
          <w:noProof/>
          <w:lang w:val="sr-Latn-RS"/>
        </w:rPr>
        <w:t>opinions using the legal provision that providing counsel and opinions from their competence has a preventive effect, with the aim of improvement of the operation of the authority and promotion of the protection of human freedoms and rights:</w:t>
      </w:r>
    </w:p>
    <w:p w14:paraId="2EE25FA2" w14:textId="417D73B7" w:rsidR="00254F4E" w:rsidRPr="00D06E2E" w:rsidRDefault="00683A67" w:rsidP="00683A67">
      <w:pPr>
        <w:numPr>
          <w:ilvl w:val="0"/>
          <w:numId w:val="25"/>
        </w:numPr>
        <w:ind w:left="426" w:hanging="426"/>
        <w:rPr>
          <w:rFonts w:eastAsiaTheme="minorHAnsi" w:cstheme="minorHAnsi"/>
          <w:lang w:val="sr-Latn-RS"/>
        </w:rPr>
      </w:pPr>
      <w:r w:rsidRPr="00D06E2E">
        <w:rPr>
          <w:rFonts w:eastAsiaTheme="minorHAnsi" w:cstheme="minorHAnsi"/>
          <w:lang w:val="sr-Latn-RS"/>
        </w:rPr>
        <w:t>The opinion issued to the Faculty of Architecture of the University of Belgrade to take appropriate measures so as to provide that all decisions of the Election Council of the Faculty contain the explanation pursuant to general acts with the University and Faculty;</w:t>
      </w:r>
    </w:p>
    <w:p w14:paraId="2518ED66" w14:textId="66676DCD" w:rsidR="00683A67" w:rsidRPr="00D06E2E" w:rsidRDefault="00683A67" w:rsidP="008F61B3">
      <w:pPr>
        <w:numPr>
          <w:ilvl w:val="0"/>
          <w:numId w:val="25"/>
        </w:numPr>
        <w:ind w:left="426" w:hanging="426"/>
        <w:rPr>
          <w:rFonts w:eastAsiaTheme="minorHAnsi" w:cstheme="minorHAnsi"/>
          <w:lang w:val="sr-Latn-RS"/>
        </w:rPr>
      </w:pPr>
      <w:r w:rsidRPr="00D06E2E">
        <w:rPr>
          <w:rFonts w:eastAsiaTheme="minorHAnsi" w:cstheme="minorHAnsi"/>
          <w:lang w:val="sr-Latn-RS"/>
        </w:rPr>
        <w:t>The opin</w:t>
      </w:r>
      <w:r w:rsidR="002714BB" w:rsidRPr="00D06E2E">
        <w:rPr>
          <w:rFonts w:eastAsiaTheme="minorHAnsi" w:cstheme="minorHAnsi"/>
          <w:lang w:val="sr-Latn-RS"/>
        </w:rPr>
        <w:t>i</w:t>
      </w:r>
      <w:r w:rsidRPr="00D06E2E">
        <w:rPr>
          <w:rFonts w:eastAsiaTheme="minorHAnsi" w:cstheme="minorHAnsi"/>
          <w:lang w:val="sr-Latn-RS"/>
        </w:rPr>
        <w:t>on issued to Kosjerić municipality and Ministry of Construction, Transportation and Infrastructure to review the actual competence for issuing construction permit for the construction of the intrenal road for Gradina stone pit;</w:t>
      </w:r>
    </w:p>
    <w:p w14:paraId="6A5E08CE" w14:textId="78AFF012" w:rsidR="00683A67" w:rsidRPr="00D06E2E" w:rsidRDefault="00683A67" w:rsidP="008F61B3">
      <w:pPr>
        <w:numPr>
          <w:ilvl w:val="0"/>
          <w:numId w:val="25"/>
        </w:numPr>
        <w:ind w:left="426" w:hanging="426"/>
        <w:rPr>
          <w:rFonts w:eastAsiaTheme="minorHAnsi" w:cstheme="minorHAnsi"/>
          <w:lang w:val="sr-Latn-RS"/>
        </w:rPr>
      </w:pPr>
      <w:r w:rsidRPr="00D06E2E">
        <w:rPr>
          <w:rFonts w:eastAsiaTheme="minorHAnsi" w:cstheme="minorHAnsi"/>
          <w:lang w:val="sr-Latn-RS"/>
        </w:rPr>
        <w:t xml:space="preserve">The opinion issued to the Service for real estate cadaster of the </w:t>
      </w:r>
      <w:r w:rsidR="00623C82" w:rsidRPr="00D06E2E">
        <w:rPr>
          <w:rFonts w:eastAsiaTheme="minorHAnsi" w:cstheme="minorHAnsi"/>
          <w:lang w:val="sr-Latn-RS"/>
        </w:rPr>
        <w:t>C</w:t>
      </w:r>
      <w:r w:rsidRPr="00D06E2E">
        <w:rPr>
          <w:rFonts w:eastAsiaTheme="minorHAnsi" w:cstheme="minorHAnsi"/>
          <w:lang w:val="sr-Latn-RS"/>
        </w:rPr>
        <w:t>ity of Niš to, pursuant to the principles of administrative procedure and principles of good administration, review the acting upon the request of the complainant for the submission of the decision;</w:t>
      </w:r>
    </w:p>
    <w:p w14:paraId="1FE57EC6" w14:textId="4F9B8935" w:rsidR="00254F4E" w:rsidRPr="00D06E2E" w:rsidRDefault="00E679A5" w:rsidP="00E679A5">
      <w:pPr>
        <w:numPr>
          <w:ilvl w:val="0"/>
          <w:numId w:val="25"/>
        </w:numPr>
        <w:ind w:left="426" w:hanging="426"/>
        <w:rPr>
          <w:rFonts w:eastAsiaTheme="minorHAnsi" w:cstheme="minorHAnsi"/>
          <w:lang w:val="sr-Latn-RS"/>
        </w:rPr>
      </w:pPr>
      <w:r w:rsidRPr="00D06E2E">
        <w:rPr>
          <w:rFonts w:eastAsiaTheme="minorHAnsi" w:cstheme="minorHAnsi"/>
          <w:lang w:val="sr-Latn-RS"/>
        </w:rPr>
        <w:t>The opinion issued to the Education inspection of the Ministry of Education to inspect if the explanation of the Decision of the Election Council of the Faculty of Architecture of the University of Belgrate contains clearly stated reasons which were crucial in passing of the decision;</w:t>
      </w:r>
    </w:p>
    <w:p w14:paraId="7E4119C6" w14:textId="07E452FF" w:rsidR="00E679A5" w:rsidRPr="00D06E2E" w:rsidRDefault="00E679A5" w:rsidP="008F61B3">
      <w:pPr>
        <w:numPr>
          <w:ilvl w:val="0"/>
          <w:numId w:val="25"/>
        </w:numPr>
        <w:ind w:left="426" w:hanging="426"/>
        <w:rPr>
          <w:rFonts w:eastAsiaTheme="minorHAnsi" w:cstheme="minorHAnsi"/>
          <w:lang w:val="sr-Latn-RS"/>
        </w:rPr>
      </w:pPr>
      <w:r w:rsidRPr="00D06E2E">
        <w:rPr>
          <w:rFonts w:eastAsiaTheme="minorHAnsi" w:cstheme="minorHAnsi"/>
          <w:lang w:val="sr-Latn-RS"/>
        </w:rPr>
        <w:t>The opinion issued to the Ministry of Agriculture, Forestry and Water Management to take further corresponding measures so as to provide population of Zlot village with unobstructed use of public well which is located at the specific cadaster parcel;</w:t>
      </w:r>
    </w:p>
    <w:p w14:paraId="75F00505" w14:textId="1F0B0F58" w:rsidR="00E679A5" w:rsidRPr="00D06E2E" w:rsidRDefault="00E679A5" w:rsidP="008F61B3">
      <w:pPr>
        <w:numPr>
          <w:ilvl w:val="0"/>
          <w:numId w:val="25"/>
        </w:numPr>
        <w:ind w:left="426" w:hanging="426"/>
        <w:rPr>
          <w:rFonts w:eastAsiaTheme="minorHAnsi" w:cstheme="minorHAnsi"/>
          <w:lang w:val="sr-Latn-RS"/>
        </w:rPr>
      </w:pPr>
      <w:r w:rsidRPr="00D06E2E">
        <w:rPr>
          <w:rFonts w:eastAsiaTheme="minorHAnsi" w:cstheme="minorHAnsi"/>
          <w:lang w:val="sr-Latn-RS"/>
        </w:rPr>
        <w:t>The opinion issued to the Ministry of Health and Republic Pension and Disability Insurance Fund to consider the amendment to Article 20 Paragraph 1 of the Rulebook on medical rehabilitation at inpatient health care institutions specialized in rehabilitation with the aim of the extention of the deadline of 15 days for the continuation of rehabilitation due to acute illness or other justified medical reason;</w:t>
      </w:r>
    </w:p>
    <w:p w14:paraId="2DE78C0E" w14:textId="6B0F48CD" w:rsidR="00EC6081" w:rsidRPr="00D06E2E" w:rsidRDefault="00E679A5" w:rsidP="00E679A5">
      <w:pPr>
        <w:numPr>
          <w:ilvl w:val="0"/>
          <w:numId w:val="25"/>
        </w:numPr>
        <w:ind w:left="426" w:hanging="426"/>
        <w:rPr>
          <w:rFonts w:eastAsiaTheme="minorHAnsi" w:cstheme="minorHAnsi"/>
          <w:lang w:val="sr-Latn-RS"/>
        </w:rPr>
      </w:pPr>
      <w:r w:rsidRPr="00D06E2E">
        <w:rPr>
          <w:rFonts w:eastAsiaTheme="minorHAnsi" w:cstheme="minorHAnsi"/>
          <w:lang w:val="sr-Latn-RS"/>
        </w:rPr>
        <w:lastRenderedPageBreak/>
        <w:t>The opinion issued to the City of Belgrade to find the manner to motivate schools to rent their gymnasiums;</w:t>
      </w:r>
    </w:p>
    <w:p w14:paraId="1A21712D" w14:textId="3901E2C2" w:rsidR="00254F4E" w:rsidRPr="00D06E2E" w:rsidRDefault="00C13F62" w:rsidP="00C13F62">
      <w:pPr>
        <w:numPr>
          <w:ilvl w:val="0"/>
          <w:numId w:val="25"/>
        </w:numPr>
        <w:ind w:left="426" w:hanging="426"/>
        <w:rPr>
          <w:rFonts w:eastAsiaTheme="minorHAnsi" w:cstheme="minorHAnsi"/>
          <w:lang w:val="sr-Latn-RS"/>
        </w:rPr>
      </w:pPr>
      <w:r w:rsidRPr="00D06E2E">
        <w:rPr>
          <w:rFonts w:eastAsiaTheme="minorHAnsi" w:cstheme="minorHAnsi"/>
          <w:lang w:val="sr-Latn-RS"/>
        </w:rPr>
        <w:t>The opinion that institutions of the system should take all measures so as to provide homeless people with personal documents, health and psychological care, accommodation and other things necessary for the life a human deserves;</w:t>
      </w:r>
    </w:p>
    <w:p w14:paraId="0FFF9D8C" w14:textId="3A0F5255" w:rsidR="00254F4E" w:rsidRPr="00D06E2E" w:rsidRDefault="00C13F62" w:rsidP="00C13F62">
      <w:pPr>
        <w:numPr>
          <w:ilvl w:val="0"/>
          <w:numId w:val="25"/>
        </w:numPr>
        <w:ind w:left="426" w:hanging="426"/>
        <w:rPr>
          <w:rFonts w:eastAsiaTheme="minorHAnsi" w:cstheme="minorHAnsi"/>
          <w:lang w:val="sr-Latn-RS"/>
        </w:rPr>
      </w:pPr>
      <w:r w:rsidRPr="00D06E2E">
        <w:rPr>
          <w:rFonts w:eastAsiaTheme="minorHAnsi" w:cstheme="minorHAnsi"/>
          <w:lang w:val="sr-Latn-RS"/>
        </w:rPr>
        <w:t>The opinion issued to the Republic Geodetic Authority to consider the option to provide via its internet page again the access to basic data of the real estate cadaster also to all persons abroad</w:t>
      </w:r>
      <w:r w:rsidR="00254F4E" w:rsidRPr="00D06E2E">
        <w:rPr>
          <w:rFonts w:eastAsiaTheme="minorHAnsi" w:cs="Arial"/>
          <w:b/>
          <w:color w:val="000000"/>
          <w:lang w:val="sr-Latn-RS"/>
        </w:rPr>
        <w:t>;</w:t>
      </w:r>
    </w:p>
    <w:p w14:paraId="5C4BC14D" w14:textId="100BFF42" w:rsidR="00254F4E" w:rsidRPr="00D06E2E" w:rsidRDefault="00780CEB" w:rsidP="00780CEB">
      <w:pPr>
        <w:numPr>
          <w:ilvl w:val="0"/>
          <w:numId w:val="25"/>
        </w:numPr>
        <w:ind w:left="426" w:hanging="426"/>
        <w:rPr>
          <w:rFonts w:eastAsiaTheme="minorHAnsi" w:cstheme="minorHAnsi"/>
          <w:lang w:val="sr-Latn-RS"/>
        </w:rPr>
      </w:pPr>
      <w:r w:rsidRPr="00D06E2E">
        <w:rPr>
          <w:rFonts w:eastAsiaTheme="minorHAnsi" w:cstheme="minorHAnsi"/>
          <w:lang w:val="sr-Latn-RS"/>
        </w:rPr>
        <w:t>The opinion issued to the Provincial Secretariat for Energy, Construction and Transportation and Republic Geodetic Authority to inspect, as competent second-instance authorities, if in the given case of legalization there are prohibited actions based on which subject decisions were passed, with the aim of potential further acting on the basis of the professional oversight pursuant to Article 253 Paragraph 1 Item 5 of the Law on General Administrative Procedure</w:t>
      </w:r>
      <w:r w:rsidR="00254F4E" w:rsidRPr="00D06E2E">
        <w:rPr>
          <w:rFonts w:eastAsiaTheme="minorHAnsi"/>
          <w:vertAlign w:val="superscript"/>
          <w:lang w:val="sr-Latn-RS"/>
        </w:rPr>
        <w:footnoteReference w:id="45"/>
      </w:r>
      <w:r w:rsidR="00254F4E" w:rsidRPr="00D06E2E">
        <w:rPr>
          <w:rFonts w:eastAsiaTheme="minorHAnsi"/>
          <w:lang w:val="sr-Latn-RS"/>
        </w:rPr>
        <w:t xml:space="preserve"> </w:t>
      </w:r>
      <w:r w:rsidRPr="00D06E2E">
        <w:rPr>
          <w:rFonts w:eastAsiaTheme="minorHAnsi"/>
          <w:lang w:val="sr-Latn-RS"/>
        </w:rPr>
        <w:t>which was in force at the time of decision making;</w:t>
      </w:r>
      <w:r w:rsidR="00254F4E" w:rsidRPr="00D06E2E">
        <w:rPr>
          <w:rFonts w:eastAsiaTheme="minorHAnsi"/>
          <w:lang w:val="sr-Latn-RS"/>
        </w:rPr>
        <w:t xml:space="preserve"> </w:t>
      </w:r>
    </w:p>
    <w:p w14:paraId="54D23CF7" w14:textId="69288FB6" w:rsidR="00FC3051" w:rsidRPr="00D06E2E" w:rsidRDefault="00FC3051" w:rsidP="008F61B3">
      <w:pPr>
        <w:numPr>
          <w:ilvl w:val="0"/>
          <w:numId w:val="25"/>
        </w:numPr>
        <w:ind w:left="426" w:hanging="426"/>
        <w:rPr>
          <w:rFonts w:eastAsiaTheme="minorHAnsi"/>
          <w:noProof/>
          <w:lang w:val="sr-Latn-RS"/>
        </w:rPr>
      </w:pPr>
      <w:r w:rsidRPr="00D06E2E">
        <w:rPr>
          <w:rFonts w:eastAsiaTheme="minorHAnsi"/>
          <w:noProof/>
          <w:lang w:val="sr-Latn-RS"/>
        </w:rPr>
        <w:t>The opinion issued to the Ministry of Health, Ministry of Finance and Ministry of Labor, Employment, Veteran and Social Policy to, in cooperation with the Ministry of Human and Minority Rights and Social Dialog, improve the position of unemployed persons by enabling them to acquire the right to health insurance on the basis of unpaid work;</w:t>
      </w:r>
    </w:p>
    <w:p w14:paraId="756100DA" w14:textId="555ABCF5" w:rsidR="00254F4E" w:rsidRPr="00D06E2E" w:rsidRDefault="00FC3051" w:rsidP="00FC3051">
      <w:pPr>
        <w:numPr>
          <w:ilvl w:val="0"/>
          <w:numId w:val="25"/>
        </w:numPr>
        <w:ind w:left="426" w:hanging="426"/>
        <w:rPr>
          <w:rFonts w:eastAsiaTheme="minorHAnsi"/>
          <w:noProof/>
          <w:lang w:val="sr-Latn-RS"/>
        </w:rPr>
      </w:pPr>
      <w:r w:rsidRPr="00D06E2E">
        <w:rPr>
          <w:rFonts w:eastAsiaTheme="minorHAnsi"/>
          <w:noProof/>
          <w:lang w:val="sr-Latn-RS"/>
        </w:rPr>
        <w:t>The opinon issued to the Ministry of Education to, in cooperation with the Ministry of Public Administration and Local Self-Government, propose amendments to the provisions of the law regulating the exercise of rights of students of elementary schools to free transportation;</w:t>
      </w:r>
    </w:p>
    <w:p w14:paraId="256AAB40" w14:textId="7FEECD6B" w:rsidR="00254F4E" w:rsidRPr="00D06E2E" w:rsidRDefault="00FC3051" w:rsidP="005014B3">
      <w:pPr>
        <w:numPr>
          <w:ilvl w:val="0"/>
          <w:numId w:val="25"/>
        </w:numPr>
        <w:ind w:left="426" w:hanging="426"/>
        <w:rPr>
          <w:rFonts w:eastAsiaTheme="minorHAnsi"/>
          <w:noProof/>
          <w:lang w:val="sr-Latn-RS"/>
        </w:rPr>
      </w:pPr>
      <w:r w:rsidRPr="00D06E2E">
        <w:rPr>
          <w:rFonts w:eastAsiaTheme="minorHAnsi"/>
          <w:noProof/>
          <w:lang w:val="sr-Latn-RS"/>
        </w:rPr>
        <w:t xml:space="preserve">The opinion issued to the Republic Geodetic Authority to consider the foundation of the allegations in the complaint of complainants filed agains the Decision of the Service for </w:t>
      </w:r>
      <w:r w:rsidR="005014B3" w:rsidRPr="00D06E2E">
        <w:rPr>
          <w:rFonts w:eastAsiaTheme="minorHAnsi"/>
          <w:noProof/>
          <w:lang w:val="sr-Latn-RS"/>
        </w:rPr>
        <w:t>r</w:t>
      </w:r>
      <w:r w:rsidRPr="00D06E2E">
        <w:rPr>
          <w:rFonts w:eastAsiaTheme="minorHAnsi"/>
          <w:noProof/>
          <w:lang w:val="sr-Latn-RS"/>
        </w:rPr>
        <w:t xml:space="preserve">eal </w:t>
      </w:r>
      <w:r w:rsidR="005014B3" w:rsidRPr="00D06E2E">
        <w:rPr>
          <w:rFonts w:eastAsiaTheme="minorHAnsi"/>
          <w:noProof/>
          <w:lang w:val="sr-Latn-RS"/>
        </w:rPr>
        <w:t>e</w:t>
      </w:r>
      <w:r w:rsidRPr="00D06E2E">
        <w:rPr>
          <w:rFonts w:eastAsiaTheme="minorHAnsi"/>
          <w:noProof/>
          <w:lang w:val="sr-Latn-RS"/>
        </w:rPr>
        <w:t xml:space="preserve">state </w:t>
      </w:r>
      <w:r w:rsidR="005014B3" w:rsidRPr="00D06E2E">
        <w:rPr>
          <w:rFonts w:eastAsiaTheme="minorHAnsi"/>
          <w:noProof/>
          <w:lang w:val="sr-Latn-RS"/>
        </w:rPr>
        <w:t>c</w:t>
      </w:r>
      <w:r w:rsidRPr="00D06E2E">
        <w:rPr>
          <w:rFonts w:eastAsiaTheme="minorHAnsi"/>
          <w:noProof/>
          <w:lang w:val="sr-Latn-RS"/>
        </w:rPr>
        <w:t>adaster of Kučevo municipality</w:t>
      </w:r>
      <w:r w:rsidR="005014B3" w:rsidRPr="00D06E2E">
        <w:rPr>
          <w:rFonts w:eastAsiaTheme="minorHAnsi"/>
          <w:noProof/>
          <w:lang w:val="sr-Latn-RS"/>
        </w:rPr>
        <w:t xml:space="preserve"> as well as to, if it identifies foundation, decide in the given administrative affair, pursuant to Article 171 Paragraph 2 of the Law on General Administrative Procedure</w:t>
      </w:r>
      <w:r w:rsidR="00254F4E" w:rsidRPr="00D06E2E">
        <w:rPr>
          <w:rFonts w:eastAsiaTheme="minorHAnsi"/>
          <w:vertAlign w:val="superscript"/>
          <w:lang w:val="sr-Latn-RS"/>
        </w:rPr>
        <w:footnoteReference w:id="46"/>
      </w:r>
      <w:r w:rsidR="00254F4E" w:rsidRPr="00D06E2E">
        <w:rPr>
          <w:rFonts w:eastAsiaTheme="minorHAnsi"/>
          <w:lang w:val="sr-Latn-RS"/>
        </w:rPr>
        <w:t xml:space="preserve">, </w:t>
      </w:r>
      <w:r w:rsidR="005014B3" w:rsidRPr="00D06E2E">
        <w:rPr>
          <w:rFonts w:eastAsiaTheme="minorHAnsi"/>
          <w:lang w:val="sr-Latn-RS"/>
        </w:rPr>
        <w:t>taking into account already stated legal opinions of the Administrative Court</w:t>
      </w:r>
      <w:r w:rsidR="00254F4E" w:rsidRPr="00D06E2E">
        <w:rPr>
          <w:rFonts w:eastAsiaTheme="minorHAnsi"/>
          <w:lang w:val="sr-Latn-RS"/>
        </w:rPr>
        <w:t>;</w:t>
      </w:r>
    </w:p>
    <w:p w14:paraId="08387A10" w14:textId="15535FF8" w:rsidR="00254F4E" w:rsidRPr="00D06E2E" w:rsidRDefault="005014B3" w:rsidP="008F61B3">
      <w:pPr>
        <w:numPr>
          <w:ilvl w:val="0"/>
          <w:numId w:val="25"/>
        </w:numPr>
        <w:ind w:left="426" w:hanging="426"/>
        <w:rPr>
          <w:rFonts w:eastAsiaTheme="minorHAnsi"/>
          <w:noProof/>
          <w:lang w:val="sr-Latn-RS"/>
        </w:rPr>
      </w:pPr>
      <w:r w:rsidRPr="00D06E2E">
        <w:rPr>
          <w:rFonts w:eastAsiaTheme="minorHAnsi"/>
          <w:lang w:val="sr-Latn-RS"/>
        </w:rPr>
        <w:t>The opinion issued to the City Administration of the City of Belgrade to plan and increase the number of apartments for social residence so as to provide the right to residence to all persons who need a place of residence</w:t>
      </w:r>
      <w:r w:rsidR="00254F4E" w:rsidRPr="00D06E2E">
        <w:rPr>
          <w:rFonts w:eastAsiaTheme="minorHAnsi"/>
          <w:lang w:val="sr-Latn-RS"/>
        </w:rPr>
        <w:t>;</w:t>
      </w:r>
    </w:p>
    <w:p w14:paraId="79AF7A0C" w14:textId="1D0EA249" w:rsidR="00254F4E" w:rsidRPr="00D06E2E" w:rsidRDefault="005014B3" w:rsidP="005014B3">
      <w:pPr>
        <w:numPr>
          <w:ilvl w:val="0"/>
          <w:numId w:val="25"/>
        </w:numPr>
        <w:ind w:left="426" w:hanging="426"/>
        <w:rPr>
          <w:rFonts w:eastAsiaTheme="minorHAnsi"/>
          <w:noProof/>
          <w:lang w:val="sr-Latn-RS"/>
        </w:rPr>
      </w:pPr>
      <w:r w:rsidRPr="00D06E2E">
        <w:rPr>
          <w:rFonts w:eastAsiaTheme="minorHAnsi"/>
          <w:noProof/>
          <w:lang w:val="sr-Latn-RS"/>
        </w:rPr>
        <w:t>The opinion issued to Inđija municipality to establish the service of daycare center for children and youth with developmental delays, which is stipulated by the Decision on social welfare of Inđija municipality in 2018;</w:t>
      </w:r>
    </w:p>
    <w:p w14:paraId="6C8453E5" w14:textId="10460D82" w:rsidR="005014B3" w:rsidRPr="00D06E2E" w:rsidRDefault="005014B3" w:rsidP="008F61B3">
      <w:pPr>
        <w:numPr>
          <w:ilvl w:val="0"/>
          <w:numId w:val="25"/>
        </w:numPr>
        <w:ind w:left="426" w:hanging="426"/>
        <w:rPr>
          <w:rFonts w:eastAsiaTheme="minorHAnsi"/>
          <w:noProof/>
          <w:lang w:val="sr-Latn-RS"/>
        </w:rPr>
      </w:pPr>
      <w:r w:rsidRPr="00D06E2E">
        <w:rPr>
          <w:rFonts w:eastAsiaTheme="minorHAnsi"/>
          <w:noProof/>
          <w:lang w:val="sr-Latn-RS"/>
        </w:rPr>
        <w:t>The opinion issued to the Ministry of Finance for the purpose of reviewing the possibility of accepting the request of parents for payout of financial aid of RSD 10,000 who entered some of requested data wrong when filing the application.</w:t>
      </w:r>
    </w:p>
    <w:p w14:paraId="1FA41F8B" w14:textId="6D3B9E3A" w:rsidR="00FC3051" w:rsidRPr="00D06E2E" w:rsidRDefault="00FC3051" w:rsidP="00254F4E">
      <w:pPr>
        <w:rPr>
          <w:rFonts w:cs="Times New Roman"/>
          <w:noProof/>
          <w:lang w:val="sr-Latn-RS"/>
        </w:rPr>
      </w:pPr>
      <w:r w:rsidRPr="00D06E2E">
        <w:rPr>
          <w:rFonts w:cs="Times New Roman"/>
          <w:noProof/>
          <w:lang w:val="sr-Latn-RS"/>
        </w:rPr>
        <w:t>Nine</w:t>
      </w:r>
      <w:r w:rsidR="00254F4E" w:rsidRPr="00D06E2E">
        <w:rPr>
          <w:rFonts w:cs="Times New Roman"/>
          <w:noProof/>
          <w:lang w:val="sr-Latn-RS"/>
        </w:rPr>
        <w:t xml:space="preserve"> (9) </w:t>
      </w:r>
      <w:r w:rsidRPr="00D06E2E">
        <w:rPr>
          <w:rFonts w:cs="Times New Roman"/>
          <w:noProof/>
          <w:lang w:val="sr-Latn-RS"/>
        </w:rPr>
        <w:t>opinions based on the legal provision that in the procedure of preparation of regulation the opinion is issued to the Government and National Assembly to bills and other regulations if they regulate the matters of importance for the protection of citizens’ rights:</w:t>
      </w:r>
    </w:p>
    <w:p w14:paraId="5F0856AA" w14:textId="11D4190D" w:rsidR="005014B3" w:rsidRPr="00D06E2E" w:rsidRDefault="005014B3" w:rsidP="005014B3">
      <w:pPr>
        <w:pStyle w:val="ListParagraph"/>
        <w:numPr>
          <w:ilvl w:val="0"/>
          <w:numId w:val="36"/>
        </w:numPr>
        <w:ind w:left="425" w:hanging="425"/>
        <w:rPr>
          <w:noProof/>
          <w:lang w:val="sr-Latn-RS"/>
        </w:rPr>
      </w:pPr>
      <w:r w:rsidRPr="00D06E2E">
        <w:rPr>
          <w:noProof/>
          <w:lang w:val="sr-Latn-RS"/>
        </w:rPr>
        <w:lastRenderedPageBreak/>
        <w:t>The opinion to the Proposal of the Action Plan for Implementation of the Strategy of Improvement of the Position of Persons with Disabilities in the Republic of Serbia for the period from 2020 to 2024 in the period from 2023 to 2024;</w:t>
      </w:r>
    </w:p>
    <w:p w14:paraId="1301D1B3" w14:textId="2BCE66CF" w:rsidR="00254F4E" w:rsidRPr="00D06E2E" w:rsidRDefault="00623C82" w:rsidP="00623C82">
      <w:pPr>
        <w:pStyle w:val="ListParagraph"/>
        <w:numPr>
          <w:ilvl w:val="0"/>
          <w:numId w:val="36"/>
        </w:numPr>
        <w:ind w:left="425" w:hanging="425"/>
        <w:rPr>
          <w:noProof/>
          <w:lang w:val="sr-Latn-RS"/>
        </w:rPr>
      </w:pPr>
      <w:r w:rsidRPr="00D06E2E">
        <w:rPr>
          <w:noProof/>
          <w:lang w:val="sr-Latn-RS"/>
        </w:rPr>
        <w:t>The opinion to the Draft of the law on amendments to the Law on Financial Support to Families with Children;</w:t>
      </w:r>
    </w:p>
    <w:p w14:paraId="7D1DD474" w14:textId="60DC76C8" w:rsidR="00623C82" w:rsidRPr="00D06E2E" w:rsidRDefault="00623C82" w:rsidP="008F61B3">
      <w:pPr>
        <w:pStyle w:val="ListParagraph"/>
        <w:numPr>
          <w:ilvl w:val="0"/>
          <w:numId w:val="36"/>
        </w:numPr>
        <w:ind w:left="425" w:hanging="425"/>
        <w:rPr>
          <w:noProof/>
          <w:lang w:val="sr-Latn-RS"/>
        </w:rPr>
      </w:pPr>
      <w:r w:rsidRPr="00D06E2E">
        <w:rPr>
          <w:noProof/>
          <w:lang w:val="sr-Latn-RS"/>
        </w:rPr>
        <w:t>The opinion to the Proposal of the Action Plan for the implementation of the Program of Mental Health Protection in the Republic of Serbia for the period from 2023 to 2024;</w:t>
      </w:r>
    </w:p>
    <w:p w14:paraId="201108A3" w14:textId="70B2B02D" w:rsidR="00623C82" w:rsidRPr="00D06E2E" w:rsidRDefault="00623C82" w:rsidP="008F61B3">
      <w:pPr>
        <w:pStyle w:val="ListParagraph"/>
        <w:numPr>
          <w:ilvl w:val="0"/>
          <w:numId w:val="36"/>
        </w:numPr>
        <w:ind w:left="425" w:hanging="425"/>
        <w:rPr>
          <w:noProof/>
          <w:lang w:val="sr-Latn-RS"/>
        </w:rPr>
      </w:pPr>
      <w:r w:rsidRPr="00D06E2E">
        <w:rPr>
          <w:noProof/>
          <w:lang w:val="sr-Latn-RS"/>
        </w:rPr>
        <w:t>The opinion to the Draft of the law on amendments to the Law on Fundamentals of the Education System;</w:t>
      </w:r>
    </w:p>
    <w:p w14:paraId="4BBA368C" w14:textId="492941CE" w:rsidR="00623C82" w:rsidRPr="00D06E2E" w:rsidRDefault="00623C82" w:rsidP="008F61B3">
      <w:pPr>
        <w:pStyle w:val="ListParagraph"/>
        <w:numPr>
          <w:ilvl w:val="0"/>
          <w:numId w:val="36"/>
        </w:numPr>
        <w:ind w:left="425" w:hanging="425"/>
        <w:rPr>
          <w:noProof/>
          <w:lang w:val="sr-Latn-RS"/>
        </w:rPr>
      </w:pPr>
      <w:r w:rsidRPr="00D06E2E">
        <w:rPr>
          <w:noProof/>
          <w:lang w:val="sr-Latn-RS"/>
        </w:rPr>
        <w:t>The opinion to the Draft of the law on amendments to the Law on Dual Education;</w:t>
      </w:r>
    </w:p>
    <w:p w14:paraId="3BC943BB" w14:textId="37C574EC" w:rsidR="00623C82" w:rsidRPr="00D06E2E" w:rsidRDefault="00623C82" w:rsidP="008F61B3">
      <w:pPr>
        <w:pStyle w:val="ListParagraph"/>
        <w:numPr>
          <w:ilvl w:val="0"/>
          <w:numId w:val="36"/>
        </w:numPr>
        <w:ind w:left="425" w:hanging="425"/>
        <w:rPr>
          <w:noProof/>
          <w:lang w:val="sr-Latn-RS"/>
        </w:rPr>
      </w:pPr>
      <w:r w:rsidRPr="00D06E2E">
        <w:rPr>
          <w:noProof/>
          <w:lang w:val="sr-Latn-RS"/>
        </w:rPr>
        <w:t>The opinion to the Proposal of Strategy of active and healthy aging in the Republic of Serbia for the period from 2024 to 2030;</w:t>
      </w:r>
    </w:p>
    <w:p w14:paraId="315BAE64" w14:textId="4DF622B8" w:rsidR="00254F4E" w:rsidRPr="00D06E2E" w:rsidRDefault="00623C82" w:rsidP="00623C82">
      <w:pPr>
        <w:pStyle w:val="ListParagraph"/>
        <w:numPr>
          <w:ilvl w:val="0"/>
          <w:numId w:val="36"/>
        </w:numPr>
        <w:ind w:left="425" w:hanging="425"/>
        <w:rPr>
          <w:noProof/>
          <w:lang w:val="sr-Latn-RS"/>
        </w:rPr>
      </w:pPr>
      <w:r w:rsidRPr="00D06E2E">
        <w:rPr>
          <w:noProof/>
          <w:lang w:val="sr-Latn-RS"/>
        </w:rPr>
        <w:t>The opinion to the Draft of the law on amendments to the Law on Protection of Persons with Mental Illness;</w:t>
      </w:r>
    </w:p>
    <w:p w14:paraId="253E0547" w14:textId="55044DB9" w:rsidR="00254F4E" w:rsidRPr="00D06E2E" w:rsidRDefault="00780CEB" w:rsidP="00623C82">
      <w:pPr>
        <w:pStyle w:val="ListParagraph"/>
        <w:numPr>
          <w:ilvl w:val="0"/>
          <w:numId w:val="36"/>
        </w:numPr>
        <w:ind w:left="425" w:hanging="425"/>
        <w:rPr>
          <w:noProof/>
          <w:lang w:val="sr-Latn-RS"/>
        </w:rPr>
      </w:pPr>
      <w:r w:rsidRPr="00D06E2E">
        <w:rPr>
          <w:noProof/>
          <w:lang w:val="sr-Latn-RS"/>
        </w:rPr>
        <w:t>The opinion to the Draft Report on the Realization of Gender Equality in the Republic of Serbia for 2022;</w:t>
      </w:r>
    </w:p>
    <w:p w14:paraId="61A95B0B" w14:textId="3E7E7D1F" w:rsidR="00780CEB" w:rsidRPr="00D06E2E" w:rsidRDefault="00780CEB" w:rsidP="008F61B3">
      <w:pPr>
        <w:pStyle w:val="ListParagraph"/>
        <w:numPr>
          <w:ilvl w:val="0"/>
          <w:numId w:val="36"/>
        </w:numPr>
        <w:spacing w:after="0"/>
        <w:ind w:left="425" w:hanging="425"/>
        <w:rPr>
          <w:noProof/>
          <w:lang w:val="sr-Latn-RS"/>
        </w:rPr>
      </w:pPr>
      <w:r w:rsidRPr="00D06E2E">
        <w:rPr>
          <w:noProof/>
          <w:lang w:val="sr-Latn-RS"/>
        </w:rPr>
        <w:t xml:space="preserve">The opinion to the </w:t>
      </w:r>
      <w:r w:rsidR="00623C82" w:rsidRPr="00D06E2E">
        <w:rPr>
          <w:noProof/>
          <w:lang w:val="sr-Latn-RS"/>
        </w:rPr>
        <w:t>Proposal of the</w:t>
      </w:r>
      <w:r w:rsidRPr="00D06E2E">
        <w:rPr>
          <w:noProof/>
          <w:lang w:val="sr-Latn-RS"/>
        </w:rPr>
        <w:t xml:space="preserve"> Action Plan for 2024-2026 for the implementation of the Strategy of active and healthy aging in the Republic of Serbia for the period from 2024 to 2030;</w:t>
      </w:r>
    </w:p>
    <w:p w14:paraId="2C4ECBB2" w14:textId="2563FDCA" w:rsidR="00254F4E" w:rsidRPr="00D06E2E" w:rsidRDefault="00254F4E" w:rsidP="00254F4E">
      <w:pPr>
        <w:spacing w:after="0"/>
        <w:rPr>
          <w:rFonts w:cs="Times New Roman"/>
          <w:noProof/>
          <w:lang w:val="sr-Latn-RS"/>
        </w:rPr>
      </w:pPr>
    </w:p>
    <w:p w14:paraId="65E93DC9" w14:textId="415ABC6A" w:rsidR="00254F4E" w:rsidRPr="00D06E2E" w:rsidRDefault="00B728F8" w:rsidP="00B728F8">
      <w:pPr>
        <w:spacing w:after="0"/>
        <w:rPr>
          <w:rFonts w:cs="Times New Roman"/>
          <w:noProof/>
          <w:lang w:val="sr-Latn-RS"/>
        </w:rPr>
      </w:pPr>
      <w:r w:rsidRPr="00D06E2E">
        <w:rPr>
          <w:rFonts w:cs="Times New Roman"/>
          <w:noProof/>
          <w:lang w:val="sr-Latn-RS"/>
        </w:rPr>
        <w:t>During 2023 the Protector of Citizens in the performance of the activities of the National Preventive Mechanism issued one opinion (1) pursuant to Article 19 Paragraph 1, Item (c) of the Optional Protocol to the Convention against torture and other cruel, inhuman and degrading treatment or punishment</w:t>
      </w:r>
      <w:r w:rsidR="00254F4E" w:rsidRPr="00D06E2E">
        <w:rPr>
          <w:rFonts w:cs="Times New Roman"/>
          <w:noProof/>
          <w:lang w:val="sr-Latn-RS"/>
        </w:rPr>
        <w:t>:</w:t>
      </w:r>
    </w:p>
    <w:p w14:paraId="459B06DD" w14:textId="5E819282" w:rsidR="00B728F8" w:rsidRPr="00D06E2E" w:rsidRDefault="00B728F8" w:rsidP="008F61B3">
      <w:pPr>
        <w:pStyle w:val="ListParagraph"/>
        <w:numPr>
          <w:ilvl w:val="0"/>
          <w:numId w:val="36"/>
        </w:numPr>
        <w:spacing w:after="0"/>
        <w:ind w:left="425" w:hanging="425"/>
        <w:rPr>
          <w:rFonts w:eastAsiaTheme="minorHAnsi"/>
          <w:noProof/>
          <w:lang w:val="sr-Latn-RS"/>
        </w:rPr>
      </w:pPr>
      <w:r w:rsidRPr="00D06E2E">
        <w:rPr>
          <w:rFonts w:eastAsiaTheme="minorHAnsi"/>
          <w:noProof/>
          <w:lang w:val="sr-Latn-RS"/>
        </w:rPr>
        <w:t>The opinion to the text of the bill to the law on amendments to the Law on Foreigners.</w:t>
      </w:r>
    </w:p>
    <w:p w14:paraId="75A2EC71" w14:textId="77777777" w:rsidR="00790B18" w:rsidRPr="00D06E2E" w:rsidRDefault="00790B18" w:rsidP="00790B18">
      <w:pPr>
        <w:pStyle w:val="ListParagraph"/>
        <w:spacing w:after="0"/>
        <w:ind w:left="425"/>
        <w:rPr>
          <w:rFonts w:eastAsiaTheme="minorHAnsi"/>
          <w:noProof/>
          <w:lang w:val="sr-Latn-RS"/>
        </w:rPr>
      </w:pPr>
    </w:p>
    <w:p w14:paraId="7AE70D91" w14:textId="2199A03C" w:rsidR="0093775F" w:rsidRPr="00D06E2E" w:rsidRDefault="00D0747C" w:rsidP="0093775F">
      <w:pPr>
        <w:jc w:val="center"/>
        <w:rPr>
          <w:bCs/>
          <w:caps/>
          <w:noProof/>
          <w:sz w:val="24"/>
          <w:szCs w:val="24"/>
          <w:lang w:val="sr-Latn-RS"/>
        </w:rPr>
      </w:pPr>
      <w:r w:rsidRPr="00D06E2E">
        <w:rPr>
          <w:bCs/>
          <w:caps/>
          <w:noProof/>
          <w:sz w:val="24"/>
          <w:szCs w:val="24"/>
          <w:lang w:val="sr-Latn-RS"/>
        </w:rPr>
        <w:t>LEGISLATIVE INITIATIVES</w:t>
      </w:r>
    </w:p>
    <w:p w14:paraId="01BB7284" w14:textId="3C8E70EC" w:rsidR="001F7C0A" w:rsidRPr="00D06E2E" w:rsidRDefault="00B728F8" w:rsidP="001F7C0A">
      <w:pPr>
        <w:rPr>
          <w:rFonts w:cs="Times New Roman"/>
          <w:lang w:val="sr-Latn-RS"/>
        </w:rPr>
      </w:pPr>
      <w:r w:rsidRPr="00D06E2E">
        <w:rPr>
          <w:rFonts w:cs="Times New Roman"/>
          <w:lang w:val="sr-Latn-RS"/>
        </w:rPr>
        <w:t>The Protector of Citizens uses its right under two cumulatively met conditions:</w:t>
      </w:r>
      <w:r w:rsidR="001F7C0A" w:rsidRPr="00D06E2E">
        <w:rPr>
          <w:rFonts w:cs="Times New Roman"/>
          <w:lang w:val="sr-Latn-RS"/>
        </w:rPr>
        <w:t xml:space="preserve"> </w:t>
      </w:r>
    </w:p>
    <w:p w14:paraId="0F24D10D" w14:textId="504F909A" w:rsidR="001F7C0A" w:rsidRPr="00D06E2E" w:rsidRDefault="00B728F8" w:rsidP="00B728F8">
      <w:pPr>
        <w:numPr>
          <w:ilvl w:val="0"/>
          <w:numId w:val="18"/>
        </w:numPr>
        <w:tabs>
          <w:tab w:val="left" w:pos="426"/>
        </w:tabs>
        <w:ind w:left="426" w:hanging="426"/>
        <w:rPr>
          <w:rFonts w:cs="Times New Roman"/>
          <w:lang w:val="sr-Latn-RS"/>
        </w:rPr>
      </w:pPr>
      <w:r w:rsidRPr="00D06E2E">
        <w:rPr>
          <w:rFonts w:cs="Times New Roman"/>
          <w:lang w:val="sr-Latn-RS"/>
        </w:rPr>
        <w:t>When it is necessary to amend the text of the law or bill of law so as to ensure complete and unobstructed exercise of citizen rights guaranteed by the Constitution and other laws, regulations and general acts as well as ratified international laws and generally accepted rules of the international law;</w:t>
      </w:r>
    </w:p>
    <w:p w14:paraId="2CF8C44A" w14:textId="1336BF69" w:rsidR="00B728F8" w:rsidRPr="00D06E2E" w:rsidRDefault="00B728F8" w:rsidP="008F61B3">
      <w:pPr>
        <w:numPr>
          <w:ilvl w:val="0"/>
          <w:numId w:val="18"/>
        </w:numPr>
        <w:tabs>
          <w:tab w:val="left" w:pos="426"/>
        </w:tabs>
        <w:ind w:left="426" w:hanging="426"/>
        <w:rPr>
          <w:rFonts w:cs="Times New Roman"/>
          <w:lang w:val="sr-Latn-RS"/>
        </w:rPr>
      </w:pPr>
      <w:r w:rsidRPr="00D06E2E">
        <w:rPr>
          <w:rFonts w:cs="Times New Roman"/>
          <w:lang w:val="sr-Latn-RS"/>
        </w:rPr>
        <w:t>When other authorized proposer, competent for a specific area (most frequently the Government) does not use its legislative initiative in the manner which provides observance, exercise, protection and promotion of citizen rights with damage of delay as a potential damage.</w:t>
      </w:r>
    </w:p>
    <w:p w14:paraId="07F092D5" w14:textId="6ED9CD49" w:rsidR="009C2A70" w:rsidRPr="00D06E2E" w:rsidRDefault="009C2A70" w:rsidP="001F7C0A">
      <w:pPr>
        <w:rPr>
          <w:rFonts w:cs="Times New Roman"/>
          <w:lang w:val="sr-Latn-RS"/>
        </w:rPr>
      </w:pPr>
      <w:r w:rsidRPr="00D06E2E">
        <w:rPr>
          <w:rFonts w:cs="Times New Roman"/>
          <w:lang w:val="sr-Latn-RS"/>
        </w:rPr>
        <w:t xml:space="preserve">Proposing amendments and bills to the National Assembly is the final step the Protector of Citizens takes, as a rule only when it estimates that the authorized proposer “of the first line” shall not, based on the initiative, recommendation or another proposal of the Protector of Citizens </w:t>
      </w:r>
      <w:r w:rsidR="00B728F8" w:rsidRPr="00D06E2E">
        <w:rPr>
          <w:rFonts w:cs="Times New Roman"/>
          <w:lang w:val="sr-Latn-RS"/>
        </w:rPr>
        <w:t>take necessary steps to the benefit of citizens’ rights.</w:t>
      </w:r>
    </w:p>
    <w:p w14:paraId="6A8C354C" w14:textId="33F91910" w:rsidR="00B35AFF" w:rsidRPr="00D06E2E" w:rsidRDefault="00626FB4" w:rsidP="001F7C0A">
      <w:pPr>
        <w:spacing w:after="0"/>
        <w:rPr>
          <w:rFonts w:cs="Times New Roman"/>
          <w:lang w:val="sr-Latn-RS"/>
        </w:rPr>
      </w:pPr>
      <w:r w:rsidRPr="00D06E2E">
        <w:rPr>
          <w:rFonts w:cs="Times New Roman"/>
          <w:lang w:val="sr-Latn-RS"/>
        </w:rPr>
        <w:t xml:space="preserve">Therefore, the legislative activity of the Protector of Citizens is most frequently reflected in issuing of comprehensive initiatives to public administration authorities, whose operation is overseen by the Protector of Citizens, to prepare and propose normative amendments. Only </w:t>
      </w:r>
      <w:r w:rsidRPr="00D06E2E">
        <w:rPr>
          <w:rFonts w:cs="Times New Roman"/>
          <w:lang w:val="sr-Latn-RS"/>
        </w:rPr>
        <w:lastRenderedPageBreak/>
        <w:t>exceptionally, the Protector of Citizens addresses with legislative proposals the National Assembly itself directly.</w:t>
      </w:r>
    </w:p>
    <w:p w14:paraId="7558E939" w14:textId="77777777" w:rsidR="00B35AFF" w:rsidRPr="00D06E2E" w:rsidRDefault="00B35AFF" w:rsidP="001F7C0A">
      <w:pPr>
        <w:spacing w:after="0"/>
        <w:rPr>
          <w:rFonts w:cs="Times New Roman"/>
          <w:lang w:val="sr-Latn-RS"/>
        </w:rPr>
      </w:pPr>
    </w:p>
    <w:p w14:paraId="61A23B89" w14:textId="61C17DB4" w:rsidR="00626FB4" w:rsidRPr="00D06E2E" w:rsidRDefault="00D3432F" w:rsidP="00626FB4">
      <w:pPr>
        <w:keepNext/>
        <w:spacing w:after="0"/>
        <w:jc w:val="center"/>
        <w:rPr>
          <w:rFonts w:cs="Times New Roman"/>
          <w:b/>
          <w:iCs/>
          <w:szCs w:val="18"/>
          <w:lang w:val="sr-Latn-RS"/>
        </w:rPr>
      </w:pPr>
      <w:r w:rsidRPr="00D06E2E">
        <w:rPr>
          <w:rFonts w:cs="Times New Roman"/>
          <w:b/>
          <w:iCs/>
          <w:szCs w:val="18"/>
          <w:lang w:val="sr-Latn-RS"/>
        </w:rPr>
        <w:t>Table</w:t>
      </w:r>
      <w:r w:rsidR="001F7C0A" w:rsidRPr="00D06E2E">
        <w:rPr>
          <w:rFonts w:cs="Times New Roman"/>
          <w:b/>
          <w:iCs/>
          <w:szCs w:val="18"/>
          <w:lang w:val="sr-Latn-RS"/>
        </w:rPr>
        <w:t xml:space="preserve"> 12 - </w:t>
      </w:r>
      <w:r w:rsidRPr="00D06E2E">
        <w:rPr>
          <w:rFonts w:cs="Times New Roman"/>
          <w:b/>
          <w:iCs/>
          <w:szCs w:val="18"/>
          <w:lang w:val="sr-Latn-RS"/>
        </w:rPr>
        <w:t>Types</w:t>
      </w:r>
      <w:r w:rsidR="001F7C0A" w:rsidRPr="00D06E2E">
        <w:rPr>
          <w:rFonts w:cs="Times New Roman"/>
          <w:b/>
          <w:iCs/>
          <w:szCs w:val="18"/>
          <w:lang w:val="sr-Latn-RS"/>
        </w:rPr>
        <w:t xml:space="preserve"> </w:t>
      </w:r>
      <w:r w:rsidRPr="00D06E2E">
        <w:rPr>
          <w:rFonts w:cs="Times New Roman"/>
          <w:b/>
          <w:iCs/>
          <w:szCs w:val="18"/>
          <w:lang w:val="sr-Latn-RS"/>
        </w:rPr>
        <w:t>of issued legislative initiatives of the P</w:t>
      </w:r>
      <w:r w:rsidR="00626FB4" w:rsidRPr="00D06E2E">
        <w:rPr>
          <w:rFonts w:cs="Times New Roman"/>
          <w:b/>
          <w:iCs/>
          <w:szCs w:val="18"/>
          <w:lang w:val="sr-Latn-RS"/>
        </w:rPr>
        <w:t>rotector of Citizens in 2023</w:t>
      </w:r>
      <w:r w:rsidR="001F7C0A" w:rsidRPr="00D06E2E">
        <w:rPr>
          <w:rFonts w:cs="Times New Roman"/>
          <w:b/>
          <w:iCs/>
          <w:szCs w:val="18"/>
          <w:lang w:val="sr-Latn-RS"/>
        </w:rPr>
        <w:t xml:space="preserve"> </w:t>
      </w:r>
    </w:p>
    <w:p w14:paraId="27D2EC42" w14:textId="665E0543" w:rsidR="001F7C0A" w:rsidRPr="00D06E2E" w:rsidRDefault="001F7C0A" w:rsidP="001F7C0A">
      <w:pPr>
        <w:keepNext/>
        <w:jc w:val="center"/>
        <w:rPr>
          <w:rFonts w:cs="Times New Roman"/>
          <w:b/>
          <w:iCs/>
          <w:szCs w:val="18"/>
          <w:lang w:val="sr-Latn-RS"/>
        </w:rPr>
      </w:pPr>
    </w:p>
    <w:tbl>
      <w:tblPr>
        <w:tblW w:w="7305"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0A0" w:firstRow="1" w:lastRow="0" w:firstColumn="1" w:lastColumn="0" w:noHBand="0" w:noVBand="0"/>
      </w:tblPr>
      <w:tblGrid>
        <w:gridCol w:w="6294"/>
        <w:gridCol w:w="1011"/>
      </w:tblGrid>
      <w:tr w:rsidR="001F7C0A" w:rsidRPr="00D06E2E" w14:paraId="51D8C978" w14:textId="77777777" w:rsidTr="00B35AFF">
        <w:trPr>
          <w:trHeight w:val="329"/>
          <w:jc w:val="center"/>
        </w:trPr>
        <w:tc>
          <w:tcPr>
            <w:tcW w:w="6560" w:type="dxa"/>
            <w:vAlign w:val="center"/>
            <w:hideMark/>
          </w:tcPr>
          <w:p w14:paraId="61BE729F" w14:textId="4D365053" w:rsidR="001F7C0A" w:rsidRPr="00D06E2E" w:rsidRDefault="00D3432F" w:rsidP="00556F2C">
            <w:pPr>
              <w:spacing w:after="0"/>
              <w:rPr>
                <w:rFonts w:cs="Times New Roman"/>
                <w:b/>
                <w:lang w:val="sr-Latn-RS"/>
              </w:rPr>
            </w:pPr>
            <w:r w:rsidRPr="00D06E2E">
              <w:rPr>
                <w:rFonts w:cs="Times New Roman"/>
                <w:b/>
                <w:lang w:val="sr-Latn-RS"/>
              </w:rPr>
              <w:t>Type of legislative initiative</w:t>
            </w:r>
          </w:p>
        </w:tc>
        <w:tc>
          <w:tcPr>
            <w:tcW w:w="745" w:type="dxa"/>
            <w:noWrap/>
            <w:vAlign w:val="center"/>
            <w:hideMark/>
          </w:tcPr>
          <w:p w14:paraId="62402503" w14:textId="5603C8D3" w:rsidR="001F7C0A" w:rsidRPr="00D06E2E" w:rsidRDefault="00D3432F" w:rsidP="00556F2C">
            <w:pPr>
              <w:spacing w:after="0"/>
              <w:jc w:val="center"/>
              <w:rPr>
                <w:rFonts w:cs="Times New Roman"/>
                <w:b/>
                <w:color w:val="000000"/>
                <w:lang w:val="sr-Latn-RS"/>
              </w:rPr>
            </w:pPr>
            <w:r w:rsidRPr="00D06E2E">
              <w:rPr>
                <w:rFonts w:cs="Times New Roman"/>
                <w:b/>
                <w:color w:val="000000"/>
                <w:lang w:val="sr-Latn-RS"/>
              </w:rPr>
              <w:t>number</w:t>
            </w:r>
          </w:p>
        </w:tc>
      </w:tr>
      <w:tr w:rsidR="001F7C0A" w:rsidRPr="00D06E2E" w14:paraId="72DD2079" w14:textId="77777777" w:rsidTr="00B35AFF">
        <w:trPr>
          <w:trHeight w:hRule="exact" w:val="658"/>
          <w:jc w:val="center"/>
        </w:trPr>
        <w:tc>
          <w:tcPr>
            <w:tcW w:w="6560" w:type="dxa"/>
            <w:vAlign w:val="center"/>
            <w:hideMark/>
          </w:tcPr>
          <w:p w14:paraId="04B5D138" w14:textId="4AC1498A" w:rsidR="001F7C0A" w:rsidRPr="00D06E2E" w:rsidRDefault="00626FB4" w:rsidP="00556F2C">
            <w:pPr>
              <w:spacing w:after="0"/>
              <w:rPr>
                <w:rFonts w:cs="Times New Roman"/>
                <w:lang w:val="sr-Latn-RS"/>
              </w:rPr>
            </w:pPr>
            <w:r w:rsidRPr="00D06E2E">
              <w:rPr>
                <w:rFonts w:cs="Times New Roman"/>
                <w:lang w:val="sr-Latn-RS"/>
              </w:rPr>
              <w:t>Submitting amendments to a competent board of the National Assembly as a proposer</w:t>
            </w:r>
            <w:r w:rsidR="001F7C0A" w:rsidRPr="00D06E2E">
              <w:rPr>
                <w:rStyle w:val="FootnoteReference"/>
                <w:rFonts w:cs="Times New Roman"/>
                <w:lang w:val="sr-Latn-RS"/>
              </w:rPr>
              <w:footnoteReference w:id="47"/>
            </w:r>
          </w:p>
        </w:tc>
        <w:tc>
          <w:tcPr>
            <w:tcW w:w="745" w:type="dxa"/>
            <w:noWrap/>
            <w:vAlign w:val="center"/>
          </w:tcPr>
          <w:p w14:paraId="4E2815E7" w14:textId="77777777" w:rsidR="001F7C0A" w:rsidRPr="00D06E2E" w:rsidRDefault="001F7C0A" w:rsidP="00556F2C">
            <w:pPr>
              <w:spacing w:after="0"/>
              <w:jc w:val="center"/>
              <w:rPr>
                <w:rFonts w:cs="Times New Roman"/>
                <w:color w:val="000000"/>
                <w:lang w:val="sr-Latn-RS"/>
              </w:rPr>
            </w:pPr>
            <w:r w:rsidRPr="00D06E2E">
              <w:rPr>
                <w:rFonts w:cs="Times New Roman"/>
                <w:color w:val="000000"/>
                <w:lang w:val="sr-Latn-RS"/>
              </w:rPr>
              <w:t>/</w:t>
            </w:r>
          </w:p>
        </w:tc>
      </w:tr>
      <w:tr w:rsidR="001F7C0A" w:rsidRPr="00D06E2E" w14:paraId="23736C26" w14:textId="77777777" w:rsidTr="00B35AFF">
        <w:trPr>
          <w:trHeight w:hRule="exact" w:val="658"/>
          <w:jc w:val="center"/>
        </w:trPr>
        <w:tc>
          <w:tcPr>
            <w:tcW w:w="6560" w:type="dxa"/>
            <w:vAlign w:val="center"/>
            <w:hideMark/>
          </w:tcPr>
          <w:p w14:paraId="2833AED4" w14:textId="6061EE25" w:rsidR="001F7C0A" w:rsidRPr="00D06E2E" w:rsidRDefault="00626FB4" w:rsidP="00626FB4">
            <w:pPr>
              <w:spacing w:after="0"/>
              <w:rPr>
                <w:rFonts w:cs="Times New Roman"/>
                <w:i/>
                <w:lang w:val="sr-Latn-RS"/>
              </w:rPr>
            </w:pPr>
            <w:r w:rsidRPr="00D06E2E">
              <w:rPr>
                <w:rFonts w:cs="Times New Roman"/>
                <w:lang w:val="sr-Latn-RS"/>
              </w:rPr>
              <w:t>Submitting amendments to the National Assembly to a bill of law</w:t>
            </w:r>
            <w:r w:rsidR="001F7C0A" w:rsidRPr="00D06E2E">
              <w:rPr>
                <w:rStyle w:val="FootnoteReference"/>
                <w:rFonts w:cs="Times New Roman"/>
                <w:lang w:val="sr-Latn-RS"/>
              </w:rPr>
              <w:footnoteReference w:id="48"/>
            </w:r>
          </w:p>
        </w:tc>
        <w:tc>
          <w:tcPr>
            <w:tcW w:w="745" w:type="dxa"/>
            <w:noWrap/>
            <w:vAlign w:val="center"/>
          </w:tcPr>
          <w:p w14:paraId="61C6D201" w14:textId="77777777" w:rsidR="001F7C0A" w:rsidRPr="00D06E2E" w:rsidRDefault="001F7C0A" w:rsidP="00556F2C">
            <w:pPr>
              <w:spacing w:after="0"/>
              <w:jc w:val="center"/>
              <w:rPr>
                <w:rFonts w:cs="Times New Roman"/>
                <w:color w:val="000000"/>
                <w:lang w:val="sr-Latn-RS"/>
              </w:rPr>
            </w:pPr>
            <w:r w:rsidRPr="00D06E2E">
              <w:rPr>
                <w:rFonts w:cs="Times New Roman"/>
                <w:color w:val="000000"/>
                <w:lang w:val="sr-Latn-RS"/>
              </w:rPr>
              <w:t>4</w:t>
            </w:r>
          </w:p>
        </w:tc>
      </w:tr>
      <w:tr w:rsidR="001F7C0A" w:rsidRPr="00D06E2E" w14:paraId="084C3A79" w14:textId="77777777" w:rsidTr="00B35AFF">
        <w:trPr>
          <w:trHeight w:hRule="exact" w:val="329"/>
          <w:jc w:val="center"/>
        </w:trPr>
        <w:tc>
          <w:tcPr>
            <w:tcW w:w="6560" w:type="dxa"/>
            <w:vAlign w:val="center"/>
            <w:hideMark/>
          </w:tcPr>
          <w:p w14:paraId="1E08A3FB" w14:textId="2737E1CC" w:rsidR="001F7C0A" w:rsidRPr="00D06E2E" w:rsidRDefault="00626FB4" w:rsidP="00556F2C">
            <w:pPr>
              <w:spacing w:after="0"/>
              <w:rPr>
                <w:rFonts w:cs="Times New Roman"/>
                <w:i/>
                <w:lang w:val="sr-Latn-RS"/>
              </w:rPr>
            </w:pPr>
            <w:r w:rsidRPr="00D06E2E">
              <w:rPr>
                <w:rFonts w:cs="Times New Roman"/>
                <w:lang w:val="sr-Latn-RS"/>
              </w:rPr>
              <w:t>Issuing bill of law to the National Assembly</w:t>
            </w:r>
            <w:r w:rsidR="001F7C0A" w:rsidRPr="00D06E2E">
              <w:rPr>
                <w:rStyle w:val="FootnoteReference"/>
                <w:rFonts w:cs="Times New Roman"/>
                <w:lang w:val="sr-Latn-RS"/>
              </w:rPr>
              <w:footnoteReference w:id="49"/>
            </w:r>
          </w:p>
        </w:tc>
        <w:tc>
          <w:tcPr>
            <w:tcW w:w="745" w:type="dxa"/>
            <w:noWrap/>
            <w:vAlign w:val="center"/>
          </w:tcPr>
          <w:p w14:paraId="4C87942C" w14:textId="77777777" w:rsidR="001F7C0A" w:rsidRPr="00D06E2E" w:rsidRDefault="001F7C0A" w:rsidP="00556F2C">
            <w:pPr>
              <w:spacing w:after="0"/>
              <w:jc w:val="center"/>
              <w:rPr>
                <w:rFonts w:cs="Times New Roman"/>
                <w:color w:val="000000"/>
                <w:lang w:val="sr-Latn-RS"/>
              </w:rPr>
            </w:pPr>
            <w:r w:rsidRPr="00D06E2E">
              <w:rPr>
                <w:rFonts w:cs="Times New Roman"/>
                <w:color w:val="000000"/>
                <w:lang w:val="sr-Latn-RS"/>
              </w:rPr>
              <w:t>/</w:t>
            </w:r>
          </w:p>
        </w:tc>
      </w:tr>
      <w:tr w:rsidR="001F7C0A" w:rsidRPr="00D06E2E" w14:paraId="171B8D5F" w14:textId="77777777" w:rsidTr="00B35AFF">
        <w:trPr>
          <w:trHeight w:val="860"/>
          <w:jc w:val="center"/>
        </w:trPr>
        <w:tc>
          <w:tcPr>
            <w:tcW w:w="6560" w:type="dxa"/>
            <w:vAlign w:val="center"/>
            <w:hideMark/>
          </w:tcPr>
          <w:p w14:paraId="6F6BE94E" w14:textId="4982118F" w:rsidR="001F7C0A" w:rsidRPr="00D06E2E" w:rsidRDefault="00626FB4" w:rsidP="00626FB4">
            <w:pPr>
              <w:spacing w:after="0"/>
              <w:rPr>
                <w:rFonts w:cs="Times New Roman"/>
                <w:lang w:val="sr-Latn-RS"/>
              </w:rPr>
            </w:pPr>
            <w:r w:rsidRPr="00D06E2E">
              <w:rPr>
                <w:rFonts w:cs="Times New Roman"/>
                <w:lang w:val="sr-Latn-RS"/>
              </w:rPr>
              <w:t>Initiatives for passing or amending laws and other regulations issued to the Government, National Assembly or competent ministries</w:t>
            </w:r>
            <w:r w:rsidR="001F7C0A" w:rsidRPr="00D06E2E">
              <w:rPr>
                <w:rFonts w:cs="Times New Roman"/>
                <w:lang w:val="sr-Latn-RS"/>
              </w:rPr>
              <w:t xml:space="preserve"> </w:t>
            </w:r>
          </w:p>
        </w:tc>
        <w:tc>
          <w:tcPr>
            <w:tcW w:w="745" w:type="dxa"/>
            <w:noWrap/>
            <w:vAlign w:val="center"/>
          </w:tcPr>
          <w:p w14:paraId="19E23BC4" w14:textId="77777777" w:rsidR="001F7C0A" w:rsidRPr="00D06E2E" w:rsidRDefault="001F7C0A" w:rsidP="00556F2C">
            <w:pPr>
              <w:spacing w:after="0"/>
              <w:jc w:val="center"/>
              <w:rPr>
                <w:rFonts w:cs="Times New Roman"/>
                <w:color w:val="000000"/>
                <w:lang w:val="sr-Latn-RS"/>
              </w:rPr>
            </w:pPr>
            <w:r w:rsidRPr="00D06E2E">
              <w:rPr>
                <w:rFonts w:cs="Times New Roman"/>
                <w:color w:val="000000"/>
                <w:lang w:val="sr-Latn-RS"/>
              </w:rPr>
              <w:t>10</w:t>
            </w:r>
          </w:p>
        </w:tc>
      </w:tr>
      <w:tr w:rsidR="001F7C0A" w:rsidRPr="00D06E2E" w14:paraId="53F193A1" w14:textId="77777777" w:rsidTr="00626FB4">
        <w:trPr>
          <w:trHeight w:hRule="exact" w:val="635"/>
          <w:jc w:val="center"/>
        </w:trPr>
        <w:tc>
          <w:tcPr>
            <w:tcW w:w="6560" w:type="dxa"/>
            <w:vAlign w:val="center"/>
            <w:hideMark/>
          </w:tcPr>
          <w:p w14:paraId="170B2DB6" w14:textId="14A9964C" w:rsidR="001F7C0A" w:rsidRPr="00D06E2E" w:rsidRDefault="00626FB4" w:rsidP="00556F2C">
            <w:pPr>
              <w:spacing w:after="0"/>
              <w:rPr>
                <w:rFonts w:cs="Times New Roman"/>
                <w:lang w:val="sr-Latn-RS"/>
              </w:rPr>
            </w:pPr>
            <w:r w:rsidRPr="00D06E2E">
              <w:rPr>
                <w:rFonts w:cs="Times New Roman"/>
                <w:lang w:val="sr-Latn-RS"/>
              </w:rPr>
              <w:t>Proposal to the Constitutional Court for the evaluation of the constitutionality and legality</w:t>
            </w:r>
          </w:p>
        </w:tc>
        <w:tc>
          <w:tcPr>
            <w:tcW w:w="745" w:type="dxa"/>
            <w:noWrap/>
            <w:vAlign w:val="center"/>
          </w:tcPr>
          <w:p w14:paraId="22E55B70" w14:textId="77777777" w:rsidR="001F7C0A" w:rsidRPr="00D06E2E" w:rsidRDefault="001F7C0A" w:rsidP="00556F2C">
            <w:pPr>
              <w:spacing w:after="0"/>
              <w:jc w:val="center"/>
              <w:rPr>
                <w:rFonts w:cs="Times New Roman"/>
                <w:color w:val="000000"/>
                <w:lang w:val="sr-Latn-RS"/>
              </w:rPr>
            </w:pPr>
            <w:r w:rsidRPr="00D06E2E">
              <w:rPr>
                <w:rFonts w:cs="Times New Roman"/>
                <w:color w:val="000000"/>
                <w:lang w:val="sr-Latn-RS"/>
              </w:rPr>
              <w:t>/</w:t>
            </w:r>
          </w:p>
        </w:tc>
      </w:tr>
      <w:tr w:rsidR="001F7C0A" w:rsidRPr="00D06E2E" w14:paraId="4EEB2A7B" w14:textId="77777777" w:rsidTr="00B35AFF">
        <w:trPr>
          <w:trHeight w:hRule="exact" w:val="329"/>
          <w:jc w:val="center"/>
        </w:trPr>
        <w:tc>
          <w:tcPr>
            <w:tcW w:w="6560" w:type="dxa"/>
            <w:vAlign w:val="center"/>
            <w:hideMark/>
          </w:tcPr>
          <w:p w14:paraId="75B96D50" w14:textId="32E76489" w:rsidR="001F7C0A" w:rsidRPr="00D06E2E" w:rsidRDefault="00D3432F" w:rsidP="00556F2C">
            <w:pPr>
              <w:spacing w:after="0"/>
              <w:rPr>
                <w:rFonts w:cs="Times New Roman"/>
                <w:b/>
                <w:lang w:val="sr-Latn-RS"/>
              </w:rPr>
            </w:pPr>
            <w:r w:rsidRPr="00D06E2E">
              <w:rPr>
                <w:rFonts w:cs="Times New Roman"/>
                <w:b/>
                <w:lang w:val="sr-Latn-RS"/>
              </w:rPr>
              <w:t>Total</w:t>
            </w:r>
          </w:p>
        </w:tc>
        <w:tc>
          <w:tcPr>
            <w:tcW w:w="745" w:type="dxa"/>
            <w:noWrap/>
            <w:vAlign w:val="center"/>
          </w:tcPr>
          <w:p w14:paraId="65A3907E" w14:textId="77777777" w:rsidR="001F7C0A" w:rsidRPr="00D06E2E" w:rsidRDefault="001F7C0A" w:rsidP="00556F2C">
            <w:pPr>
              <w:spacing w:after="0"/>
              <w:jc w:val="center"/>
              <w:rPr>
                <w:rFonts w:cs="Times New Roman"/>
                <w:b/>
                <w:color w:val="000000"/>
                <w:lang w:val="sr-Latn-RS"/>
              </w:rPr>
            </w:pPr>
            <w:r w:rsidRPr="00D06E2E">
              <w:rPr>
                <w:rFonts w:cs="Times New Roman"/>
                <w:b/>
                <w:color w:val="000000"/>
                <w:lang w:val="sr-Latn-RS"/>
              </w:rPr>
              <w:t>14</w:t>
            </w:r>
          </w:p>
        </w:tc>
      </w:tr>
    </w:tbl>
    <w:p w14:paraId="2EC9A26D" w14:textId="77777777" w:rsidR="001F7C0A" w:rsidRPr="00D06E2E" w:rsidRDefault="001F7C0A" w:rsidP="001F7C0A">
      <w:pPr>
        <w:keepNext/>
        <w:spacing w:after="0"/>
        <w:jc w:val="center"/>
        <w:rPr>
          <w:rFonts w:cs="Times New Roman"/>
          <w:b/>
          <w:iCs/>
          <w:szCs w:val="18"/>
          <w:lang w:val="sr-Latn-RS"/>
        </w:rPr>
      </w:pPr>
    </w:p>
    <w:p w14:paraId="0868FF1A" w14:textId="045A1F72" w:rsidR="001F7C0A" w:rsidRPr="00D06E2E" w:rsidRDefault="00D3432F" w:rsidP="001F7C0A">
      <w:pPr>
        <w:keepNext/>
        <w:jc w:val="center"/>
        <w:rPr>
          <w:rFonts w:cs="Times New Roman"/>
          <w:b/>
          <w:iCs/>
          <w:szCs w:val="18"/>
          <w:lang w:val="sr-Latn-RS"/>
        </w:rPr>
      </w:pPr>
      <w:r w:rsidRPr="00D06E2E">
        <w:rPr>
          <w:rFonts w:cs="Times New Roman"/>
          <w:b/>
          <w:iCs/>
          <w:szCs w:val="18"/>
          <w:lang w:val="sr-Latn-RS"/>
        </w:rPr>
        <w:t>Table</w:t>
      </w:r>
      <w:r w:rsidR="001F7C0A" w:rsidRPr="00D06E2E">
        <w:rPr>
          <w:rFonts w:cs="Times New Roman"/>
          <w:b/>
          <w:iCs/>
          <w:szCs w:val="18"/>
          <w:lang w:val="sr-Latn-RS"/>
        </w:rPr>
        <w:t xml:space="preserve"> 13 – </w:t>
      </w:r>
      <w:r w:rsidRPr="00D06E2E">
        <w:rPr>
          <w:rFonts w:cs="Times New Roman"/>
          <w:b/>
          <w:iCs/>
          <w:szCs w:val="18"/>
          <w:lang w:val="sr-Latn-RS"/>
        </w:rPr>
        <w:t>Outcome of acting upon legislative initiatives in 2023</w:t>
      </w:r>
      <w:r w:rsidR="001F7C0A" w:rsidRPr="00D06E2E">
        <w:rPr>
          <w:rFonts w:cs="Times New Roman"/>
          <w:b/>
          <w:iCs/>
          <w:szCs w:val="18"/>
          <w:lang w:val="sr-Latn-RS"/>
        </w:rPr>
        <w:t xml:space="preserve"> </w:t>
      </w:r>
    </w:p>
    <w:tbl>
      <w:tblPr>
        <w:tblW w:w="6274"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0A0" w:firstRow="1" w:lastRow="0" w:firstColumn="1" w:lastColumn="0" w:noHBand="0" w:noVBand="0"/>
      </w:tblPr>
      <w:tblGrid>
        <w:gridCol w:w="5334"/>
        <w:gridCol w:w="1011"/>
      </w:tblGrid>
      <w:tr w:rsidR="001F7C0A" w:rsidRPr="00D06E2E" w14:paraId="4FC6AECE" w14:textId="77777777" w:rsidTr="00B35AFF">
        <w:trPr>
          <w:trHeight w:hRule="exact" w:val="329"/>
          <w:jc w:val="center"/>
        </w:trPr>
        <w:tc>
          <w:tcPr>
            <w:tcW w:w="5334" w:type="dxa"/>
            <w:noWrap/>
            <w:vAlign w:val="bottom"/>
          </w:tcPr>
          <w:p w14:paraId="3F0F3135" w14:textId="77777777" w:rsidR="001F7C0A" w:rsidRPr="00D06E2E" w:rsidRDefault="001F7C0A" w:rsidP="00556F2C">
            <w:pPr>
              <w:rPr>
                <w:rFonts w:cs="Times New Roman"/>
                <w:color w:val="000000"/>
                <w:lang w:val="sr-Latn-RS"/>
              </w:rPr>
            </w:pPr>
          </w:p>
        </w:tc>
        <w:tc>
          <w:tcPr>
            <w:tcW w:w="940" w:type="dxa"/>
            <w:noWrap/>
            <w:vAlign w:val="center"/>
            <w:hideMark/>
          </w:tcPr>
          <w:p w14:paraId="44DF90E6" w14:textId="5DC99B2F" w:rsidR="001F7C0A" w:rsidRPr="00D06E2E" w:rsidRDefault="00D3432F" w:rsidP="00556F2C">
            <w:pPr>
              <w:spacing w:after="0"/>
              <w:jc w:val="center"/>
              <w:rPr>
                <w:rFonts w:cs="Times New Roman"/>
                <w:b/>
                <w:color w:val="000000"/>
                <w:lang w:val="sr-Latn-RS"/>
              </w:rPr>
            </w:pPr>
            <w:r w:rsidRPr="00D06E2E">
              <w:rPr>
                <w:rFonts w:cs="Times New Roman"/>
                <w:b/>
                <w:color w:val="000000"/>
                <w:lang w:val="sr-Latn-RS"/>
              </w:rPr>
              <w:t>number</w:t>
            </w:r>
          </w:p>
        </w:tc>
      </w:tr>
      <w:tr w:rsidR="001F7C0A" w:rsidRPr="00D06E2E" w14:paraId="23C05EDF" w14:textId="77777777" w:rsidTr="00B35AFF">
        <w:trPr>
          <w:trHeight w:hRule="exact" w:val="329"/>
          <w:jc w:val="center"/>
        </w:trPr>
        <w:tc>
          <w:tcPr>
            <w:tcW w:w="5334" w:type="dxa"/>
            <w:noWrap/>
            <w:vAlign w:val="bottom"/>
            <w:hideMark/>
          </w:tcPr>
          <w:p w14:paraId="142CFA38" w14:textId="03BEEC65" w:rsidR="001F7C0A" w:rsidRPr="00D06E2E" w:rsidRDefault="00D3432F" w:rsidP="00556F2C">
            <w:pPr>
              <w:spacing w:after="0"/>
              <w:rPr>
                <w:rFonts w:cs="Times New Roman"/>
                <w:color w:val="000000"/>
                <w:lang w:val="sr-Latn-RS"/>
              </w:rPr>
            </w:pPr>
            <w:r w:rsidRPr="00D06E2E">
              <w:rPr>
                <w:rFonts w:cs="Times New Roman"/>
                <w:color w:val="000000"/>
                <w:lang w:val="sr-Latn-RS"/>
              </w:rPr>
              <w:t>Accepted legislative initiatives</w:t>
            </w:r>
          </w:p>
        </w:tc>
        <w:tc>
          <w:tcPr>
            <w:tcW w:w="940" w:type="dxa"/>
            <w:noWrap/>
            <w:vAlign w:val="center"/>
          </w:tcPr>
          <w:p w14:paraId="1C87E09B" w14:textId="77777777" w:rsidR="001F7C0A" w:rsidRPr="00D06E2E" w:rsidRDefault="001F7C0A" w:rsidP="00556F2C">
            <w:pPr>
              <w:jc w:val="center"/>
              <w:rPr>
                <w:rFonts w:cs="Times New Roman"/>
                <w:color w:val="000000"/>
                <w:lang w:val="sr-Latn-RS"/>
              </w:rPr>
            </w:pPr>
            <w:r w:rsidRPr="00D06E2E">
              <w:rPr>
                <w:rFonts w:cs="Times New Roman"/>
                <w:color w:val="000000"/>
                <w:lang w:val="sr-Latn-RS"/>
              </w:rPr>
              <w:t>/</w:t>
            </w:r>
          </w:p>
        </w:tc>
      </w:tr>
      <w:tr w:rsidR="001F7C0A" w:rsidRPr="00D06E2E" w14:paraId="3E5636C2" w14:textId="77777777" w:rsidTr="00B35AFF">
        <w:trPr>
          <w:trHeight w:hRule="exact" w:val="329"/>
          <w:jc w:val="center"/>
        </w:trPr>
        <w:tc>
          <w:tcPr>
            <w:tcW w:w="5334" w:type="dxa"/>
            <w:noWrap/>
            <w:vAlign w:val="bottom"/>
            <w:hideMark/>
          </w:tcPr>
          <w:p w14:paraId="26044C35" w14:textId="5DD5E4E1" w:rsidR="001F7C0A" w:rsidRPr="00D06E2E" w:rsidRDefault="00D3432F" w:rsidP="00556F2C">
            <w:pPr>
              <w:spacing w:after="0"/>
              <w:rPr>
                <w:rFonts w:cs="Times New Roman"/>
                <w:color w:val="000000"/>
                <w:lang w:val="sr-Latn-RS"/>
              </w:rPr>
            </w:pPr>
            <w:r w:rsidRPr="00D06E2E">
              <w:rPr>
                <w:rFonts w:cs="Times New Roman"/>
                <w:color w:val="000000"/>
                <w:lang w:val="sr-Latn-RS"/>
              </w:rPr>
              <w:t>Unaccepted legislative initiatives</w:t>
            </w:r>
          </w:p>
        </w:tc>
        <w:tc>
          <w:tcPr>
            <w:tcW w:w="940" w:type="dxa"/>
            <w:noWrap/>
            <w:vAlign w:val="center"/>
          </w:tcPr>
          <w:p w14:paraId="0DEC53C4" w14:textId="77777777" w:rsidR="001F7C0A" w:rsidRPr="00D06E2E" w:rsidRDefault="001F7C0A" w:rsidP="00556F2C">
            <w:pPr>
              <w:spacing w:after="0"/>
              <w:jc w:val="center"/>
              <w:rPr>
                <w:rFonts w:cs="Times New Roman"/>
                <w:color w:val="000000"/>
                <w:lang w:val="sr-Latn-RS"/>
              </w:rPr>
            </w:pPr>
            <w:r w:rsidRPr="00D06E2E">
              <w:rPr>
                <w:rFonts w:cs="Times New Roman"/>
                <w:color w:val="000000"/>
                <w:lang w:val="sr-Latn-RS"/>
              </w:rPr>
              <w:t>11</w:t>
            </w:r>
          </w:p>
        </w:tc>
      </w:tr>
      <w:tr w:rsidR="001F7C0A" w:rsidRPr="00D06E2E" w14:paraId="1CB61418" w14:textId="77777777" w:rsidTr="00B35AFF">
        <w:trPr>
          <w:trHeight w:val="314"/>
          <w:jc w:val="center"/>
        </w:trPr>
        <w:tc>
          <w:tcPr>
            <w:tcW w:w="5334" w:type="dxa"/>
            <w:noWrap/>
            <w:vAlign w:val="bottom"/>
            <w:hideMark/>
          </w:tcPr>
          <w:p w14:paraId="0C7F7EEE" w14:textId="44714A85" w:rsidR="001F7C0A" w:rsidRPr="00D06E2E" w:rsidRDefault="00D3432F" w:rsidP="00556F2C">
            <w:pPr>
              <w:spacing w:after="0"/>
              <w:rPr>
                <w:rFonts w:cs="Times New Roman"/>
                <w:color w:val="000000"/>
                <w:lang w:val="sr-Latn-RS"/>
              </w:rPr>
            </w:pPr>
            <w:r w:rsidRPr="00D06E2E">
              <w:rPr>
                <w:rFonts w:cs="Times New Roman"/>
                <w:color w:val="000000"/>
                <w:lang w:val="sr-Latn-RS"/>
              </w:rPr>
              <w:t>Initiatives still in progress</w:t>
            </w:r>
          </w:p>
        </w:tc>
        <w:tc>
          <w:tcPr>
            <w:tcW w:w="940" w:type="dxa"/>
            <w:noWrap/>
            <w:vAlign w:val="center"/>
          </w:tcPr>
          <w:p w14:paraId="12352AC2" w14:textId="77777777" w:rsidR="001F7C0A" w:rsidRPr="00D06E2E" w:rsidRDefault="001F7C0A" w:rsidP="00556F2C">
            <w:pPr>
              <w:spacing w:after="0"/>
              <w:jc w:val="center"/>
              <w:rPr>
                <w:rFonts w:cs="Times New Roman"/>
                <w:color w:val="000000"/>
                <w:lang w:val="sr-Latn-RS"/>
              </w:rPr>
            </w:pPr>
            <w:r w:rsidRPr="00D06E2E">
              <w:rPr>
                <w:rFonts w:cs="Times New Roman"/>
                <w:color w:val="000000"/>
                <w:lang w:val="sr-Latn-RS"/>
              </w:rPr>
              <w:t>3</w:t>
            </w:r>
          </w:p>
        </w:tc>
      </w:tr>
      <w:tr w:rsidR="001F7C0A" w:rsidRPr="00D06E2E" w14:paraId="3058C437" w14:textId="77777777" w:rsidTr="00B35AFF">
        <w:trPr>
          <w:trHeight w:hRule="exact" w:val="329"/>
          <w:jc w:val="center"/>
        </w:trPr>
        <w:tc>
          <w:tcPr>
            <w:tcW w:w="5334" w:type="dxa"/>
            <w:noWrap/>
            <w:vAlign w:val="bottom"/>
            <w:hideMark/>
          </w:tcPr>
          <w:p w14:paraId="102D985D" w14:textId="57BA2C48" w:rsidR="001F7C0A" w:rsidRPr="00D06E2E" w:rsidRDefault="00D3432F" w:rsidP="00556F2C">
            <w:pPr>
              <w:spacing w:after="0"/>
              <w:rPr>
                <w:rFonts w:cs="Times New Roman"/>
                <w:b/>
                <w:color w:val="000000"/>
                <w:lang w:val="sr-Latn-RS"/>
              </w:rPr>
            </w:pPr>
            <w:r w:rsidRPr="00D06E2E">
              <w:rPr>
                <w:rFonts w:cs="Times New Roman"/>
                <w:b/>
                <w:color w:val="000000"/>
                <w:lang w:val="sr-Latn-RS"/>
              </w:rPr>
              <w:t>Total</w:t>
            </w:r>
          </w:p>
        </w:tc>
        <w:tc>
          <w:tcPr>
            <w:tcW w:w="940" w:type="dxa"/>
            <w:noWrap/>
            <w:vAlign w:val="center"/>
            <w:hideMark/>
          </w:tcPr>
          <w:p w14:paraId="403AF1BD" w14:textId="77777777" w:rsidR="001F7C0A" w:rsidRPr="00D06E2E" w:rsidRDefault="001F7C0A" w:rsidP="00556F2C">
            <w:pPr>
              <w:spacing w:after="0"/>
              <w:jc w:val="center"/>
              <w:rPr>
                <w:rFonts w:cs="Times New Roman"/>
                <w:b/>
                <w:color w:val="000000"/>
                <w:lang w:val="sr-Latn-RS"/>
              </w:rPr>
            </w:pPr>
            <w:r w:rsidRPr="00D06E2E">
              <w:rPr>
                <w:rFonts w:cs="Times New Roman"/>
                <w:b/>
                <w:color w:val="000000"/>
                <w:lang w:val="sr-Latn-RS"/>
              </w:rPr>
              <w:t>14</w:t>
            </w:r>
          </w:p>
        </w:tc>
      </w:tr>
    </w:tbl>
    <w:p w14:paraId="1969F9C4" w14:textId="7AA83B81" w:rsidR="00BB390C" w:rsidRPr="00D06E2E" w:rsidRDefault="00BB390C" w:rsidP="00C10BAF">
      <w:pPr>
        <w:spacing w:after="0"/>
        <w:rPr>
          <w:rFonts w:cs="Times New Roman"/>
          <w:lang w:val="sr-Latn-RS"/>
        </w:rPr>
      </w:pPr>
    </w:p>
    <w:p w14:paraId="119F9C10" w14:textId="77777777" w:rsidR="00BB390C" w:rsidRPr="00D06E2E" w:rsidRDefault="00BB390C" w:rsidP="00C10BAF">
      <w:pPr>
        <w:spacing w:after="0"/>
        <w:rPr>
          <w:rFonts w:cs="Times New Roman"/>
          <w:lang w:val="sr-Latn-RS"/>
        </w:rPr>
      </w:pPr>
    </w:p>
    <w:p w14:paraId="3332CCB5" w14:textId="14D05765" w:rsidR="00BB390C" w:rsidRPr="00D06E2E" w:rsidRDefault="00BB390C" w:rsidP="00C10BAF">
      <w:pPr>
        <w:spacing w:after="0"/>
        <w:rPr>
          <w:rFonts w:cs="Times New Roman"/>
          <w:lang w:val="sr-Latn-RS"/>
        </w:rPr>
      </w:pPr>
    </w:p>
    <w:p w14:paraId="17B56F72" w14:textId="40EB1EBE" w:rsidR="00A819F3" w:rsidRPr="00D06E2E" w:rsidRDefault="00A819F3" w:rsidP="00C10BAF">
      <w:pPr>
        <w:spacing w:after="0"/>
        <w:rPr>
          <w:rFonts w:cs="Times New Roman"/>
          <w:lang w:val="sr-Latn-RS"/>
        </w:rPr>
      </w:pPr>
    </w:p>
    <w:p w14:paraId="17073412" w14:textId="124CD291" w:rsidR="00A819F3" w:rsidRPr="00D06E2E" w:rsidRDefault="00A819F3" w:rsidP="00C10BAF">
      <w:pPr>
        <w:spacing w:after="0"/>
        <w:rPr>
          <w:rFonts w:cs="Times New Roman"/>
          <w:lang w:val="sr-Latn-RS"/>
        </w:rPr>
      </w:pPr>
    </w:p>
    <w:p w14:paraId="2836D2D4" w14:textId="308B2054" w:rsidR="00A819F3" w:rsidRPr="00D06E2E" w:rsidRDefault="00A819F3" w:rsidP="00C10BAF">
      <w:pPr>
        <w:spacing w:after="0"/>
        <w:rPr>
          <w:rFonts w:cs="Times New Roman"/>
          <w:lang w:val="sr-Latn-RS"/>
        </w:rPr>
      </w:pPr>
    </w:p>
    <w:p w14:paraId="64640903" w14:textId="67D83140" w:rsidR="00A819F3" w:rsidRPr="00D06E2E" w:rsidRDefault="00A819F3" w:rsidP="00C10BAF">
      <w:pPr>
        <w:spacing w:after="0"/>
        <w:rPr>
          <w:rFonts w:cs="Times New Roman"/>
          <w:lang w:val="sr-Latn-RS"/>
        </w:rPr>
      </w:pPr>
    </w:p>
    <w:p w14:paraId="6BE641E8" w14:textId="4FBCA904" w:rsidR="00A819F3" w:rsidRPr="00D06E2E" w:rsidRDefault="00A819F3" w:rsidP="00C10BAF">
      <w:pPr>
        <w:spacing w:after="0"/>
        <w:rPr>
          <w:rFonts w:cs="Times New Roman"/>
          <w:lang w:val="sr-Latn-RS"/>
        </w:rPr>
      </w:pPr>
    </w:p>
    <w:p w14:paraId="13ACE0B0" w14:textId="5733C5E9" w:rsidR="00A819F3" w:rsidRPr="00D06E2E" w:rsidRDefault="00A819F3" w:rsidP="00C10BAF">
      <w:pPr>
        <w:spacing w:after="0"/>
        <w:rPr>
          <w:rFonts w:cs="Times New Roman"/>
          <w:lang w:val="sr-Latn-RS"/>
        </w:rPr>
      </w:pPr>
    </w:p>
    <w:p w14:paraId="783C6631" w14:textId="29D15488" w:rsidR="00A819F3" w:rsidRPr="00D06E2E" w:rsidRDefault="00A819F3" w:rsidP="00C10BAF">
      <w:pPr>
        <w:spacing w:after="0"/>
        <w:rPr>
          <w:rFonts w:cs="Times New Roman"/>
          <w:lang w:val="sr-Latn-RS"/>
        </w:rPr>
      </w:pPr>
    </w:p>
    <w:p w14:paraId="5EA4BFC5" w14:textId="111EFF88" w:rsidR="00A819F3" w:rsidRPr="00D06E2E" w:rsidRDefault="00A819F3" w:rsidP="00C10BAF">
      <w:pPr>
        <w:spacing w:after="0"/>
        <w:rPr>
          <w:rFonts w:cs="Times New Roman"/>
          <w:lang w:val="sr-Latn-RS"/>
        </w:rPr>
      </w:pPr>
    </w:p>
    <w:p w14:paraId="6D3DCA50" w14:textId="3174B962" w:rsidR="00A819F3" w:rsidRPr="00D06E2E" w:rsidRDefault="00A819F3" w:rsidP="00C10BAF">
      <w:pPr>
        <w:spacing w:after="0"/>
        <w:rPr>
          <w:rFonts w:cs="Times New Roman"/>
          <w:lang w:val="sr-Latn-RS"/>
        </w:rPr>
      </w:pPr>
    </w:p>
    <w:p w14:paraId="65F8B73F" w14:textId="03923E31" w:rsidR="00A819F3" w:rsidRPr="00D06E2E" w:rsidRDefault="00A819F3" w:rsidP="00C10BAF">
      <w:pPr>
        <w:spacing w:after="0"/>
        <w:rPr>
          <w:rFonts w:cs="Times New Roman"/>
          <w:lang w:val="sr-Latn-RS"/>
        </w:rPr>
      </w:pPr>
    </w:p>
    <w:p w14:paraId="1C688391" w14:textId="488C21A7" w:rsidR="00A819F3" w:rsidRPr="00D06E2E" w:rsidRDefault="00A819F3" w:rsidP="00C10BAF">
      <w:pPr>
        <w:spacing w:after="0"/>
        <w:rPr>
          <w:rFonts w:cs="Times New Roman"/>
          <w:lang w:val="sr-Latn-RS"/>
        </w:rPr>
      </w:pPr>
    </w:p>
    <w:p w14:paraId="42F3E440" w14:textId="6EDCB9C3" w:rsidR="00A819F3" w:rsidRPr="00D06E2E" w:rsidRDefault="00A819F3" w:rsidP="00C10BAF">
      <w:pPr>
        <w:spacing w:after="0"/>
        <w:rPr>
          <w:rFonts w:cs="Times New Roman"/>
          <w:lang w:val="sr-Latn-RS"/>
        </w:rPr>
      </w:pPr>
    </w:p>
    <w:p w14:paraId="6263264F" w14:textId="1C64A932" w:rsidR="00A819F3" w:rsidRPr="00D06E2E" w:rsidRDefault="00A819F3" w:rsidP="00C10BAF">
      <w:pPr>
        <w:spacing w:after="0"/>
        <w:rPr>
          <w:rFonts w:cs="Times New Roman"/>
          <w:lang w:val="sr-Latn-RS"/>
        </w:rPr>
      </w:pPr>
    </w:p>
    <w:p w14:paraId="5CBB9B22" w14:textId="3D651437" w:rsidR="00623C82" w:rsidRPr="00D06E2E" w:rsidRDefault="00623C82" w:rsidP="00C10BAF">
      <w:pPr>
        <w:spacing w:after="0"/>
        <w:rPr>
          <w:rFonts w:cs="Times New Roman"/>
          <w:lang w:val="sr-Latn-RS"/>
        </w:rPr>
      </w:pPr>
    </w:p>
    <w:p w14:paraId="69C5663B" w14:textId="77777777" w:rsidR="00623C82" w:rsidRPr="00D06E2E" w:rsidRDefault="00623C82" w:rsidP="00C10BAF">
      <w:pPr>
        <w:spacing w:after="0"/>
        <w:rPr>
          <w:rFonts w:cs="Times New Roman"/>
          <w:lang w:val="sr-Latn-RS"/>
        </w:rPr>
      </w:pPr>
    </w:p>
    <w:p w14:paraId="4075A095" w14:textId="06370E38" w:rsidR="00A819F3" w:rsidRPr="00D06E2E" w:rsidRDefault="00A819F3" w:rsidP="00C10BAF">
      <w:pPr>
        <w:spacing w:after="0"/>
        <w:rPr>
          <w:rFonts w:cs="Times New Roman"/>
          <w:lang w:val="sr-Latn-RS"/>
        </w:rPr>
      </w:pPr>
    </w:p>
    <w:p w14:paraId="2777F9BC" w14:textId="7B5E41D1" w:rsidR="00D201B0" w:rsidRPr="00D06E2E" w:rsidRDefault="00D0747C" w:rsidP="007E04AF">
      <w:pPr>
        <w:pStyle w:val="Heading1"/>
        <w:spacing w:before="0" w:after="0"/>
        <w:rPr>
          <w:lang w:val="sr-Latn-RS"/>
        </w:rPr>
      </w:pPr>
      <w:bookmarkStart w:id="48" w:name="_Toc35172751"/>
      <w:bookmarkStart w:id="49" w:name="_Toc161659197"/>
      <w:r w:rsidRPr="00D06E2E">
        <w:rPr>
          <w:lang w:val="sr-Latn-RS"/>
        </w:rPr>
        <w:lastRenderedPageBreak/>
        <w:t>EXERCISE OF THE RIGHS OF PARTICULARLY VULNERABLE GROUPS</w:t>
      </w:r>
      <w:r w:rsidR="00D201B0" w:rsidRPr="00D06E2E">
        <w:rPr>
          <w:lang w:val="sr-Latn-RS"/>
        </w:rPr>
        <w:t xml:space="preserve"> </w:t>
      </w:r>
      <w:bookmarkEnd w:id="48"/>
      <w:bookmarkEnd w:id="49"/>
    </w:p>
    <w:p w14:paraId="60D6A665" w14:textId="77777777" w:rsidR="00C3535D" w:rsidRPr="00D06E2E" w:rsidRDefault="00C3535D" w:rsidP="007E04AF">
      <w:pPr>
        <w:spacing w:after="0"/>
        <w:rPr>
          <w:lang w:val="sr-Latn-RS"/>
        </w:rPr>
      </w:pPr>
    </w:p>
    <w:p w14:paraId="65ED8A82" w14:textId="55AD905A" w:rsidR="00D201B0" w:rsidRPr="00D06E2E" w:rsidRDefault="00D0747C" w:rsidP="00C3535D">
      <w:pPr>
        <w:pStyle w:val="Heading2"/>
        <w:spacing w:before="0" w:after="0"/>
        <w:rPr>
          <w:lang w:val="sr-Latn-RS"/>
        </w:rPr>
      </w:pPr>
      <w:r w:rsidRPr="00D06E2E">
        <w:rPr>
          <w:lang w:val="sr-Latn-RS"/>
        </w:rPr>
        <w:t xml:space="preserve">CHILD RIGHTS </w:t>
      </w:r>
    </w:p>
    <w:p w14:paraId="64E77FC1" w14:textId="77777777" w:rsidR="00197164" w:rsidRPr="00D06E2E" w:rsidRDefault="00197164" w:rsidP="00F6546B">
      <w:pPr>
        <w:spacing w:after="0"/>
        <w:rPr>
          <w:lang w:val="sr-Latn-RS"/>
        </w:rPr>
      </w:pPr>
    </w:p>
    <w:p w14:paraId="201D09D9" w14:textId="6A590E83" w:rsidR="00E5049B" w:rsidRPr="00D06E2E" w:rsidRDefault="00D0747C" w:rsidP="00F61B47">
      <w:pPr>
        <w:jc w:val="center"/>
        <w:rPr>
          <w:sz w:val="24"/>
          <w:szCs w:val="24"/>
          <w:lang w:val="sr-Latn-RS"/>
        </w:rPr>
      </w:pPr>
      <w:r w:rsidRPr="00D06E2E">
        <w:rPr>
          <w:sz w:val="24"/>
          <w:szCs w:val="24"/>
          <w:lang w:val="sr-Latn-RS"/>
        </w:rPr>
        <w:t>STATISTICS</w:t>
      </w:r>
    </w:p>
    <w:p w14:paraId="72F05A01" w14:textId="64D9A133" w:rsidR="003C394A" w:rsidRPr="00D06E2E" w:rsidRDefault="004707CD" w:rsidP="003C394A">
      <w:pPr>
        <w:rPr>
          <w:lang w:val="sr-Latn-RS"/>
        </w:rPr>
      </w:pPr>
      <w:r w:rsidRPr="00D06E2E">
        <w:rPr>
          <w:lang w:val="sr-Latn-RS"/>
        </w:rPr>
        <w:t>In the area of child rights, in 2023</w:t>
      </w:r>
      <w:r w:rsidR="003C394A" w:rsidRPr="00D06E2E">
        <w:rPr>
          <w:lang w:val="sr-Latn-RS"/>
        </w:rPr>
        <w:t xml:space="preserve"> </w:t>
      </w:r>
      <w:r w:rsidRPr="00D06E2E">
        <w:rPr>
          <w:lang w:val="sr-Latn-RS"/>
        </w:rPr>
        <w:t>the Protector of Citizens handled 427 cases</w:t>
      </w:r>
      <w:r w:rsidR="003C394A" w:rsidRPr="00D06E2E">
        <w:rPr>
          <w:rStyle w:val="FootnoteReference"/>
          <w:lang w:val="sr-Latn-RS"/>
        </w:rPr>
        <w:footnoteReference w:id="50"/>
      </w:r>
      <w:r w:rsidR="003C394A" w:rsidRPr="00D06E2E">
        <w:rPr>
          <w:lang w:val="sr-Latn-RS"/>
        </w:rPr>
        <w:t xml:space="preserve">, </w:t>
      </w:r>
      <w:r w:rsidRPr="00D06E2E">
        <w:rPr>
          <w:lang w:val="sr-Latn-RS"/>
        </w:rPr>
        <w:t xml:space="preserve">of which there were </w:t>
      </w:r>
      <w:r w:rsidR="003C394A" w:rsidRPr="00D06E2E">
        <w:rPr>
          <w:lang w:val="sr-Latn-RS"/>
        </w:rPr>
        <w:t xml:space="preserve">489 </w:t>
      </w:r>
      <w:r w:rsidRPr="00D06E2E">
        <w:rPr>
          <w:lang w:val="sr-Latn-RS"/>
        </w:rPr>
        <w:t>citizen complaints and 24 cases initiated upon own initiative</w:t>
      </w:r>
      <w:r w:rsidR="003C394A" w:rsidRPr="00D06E2E">
        <w:rPr>
          <w:lang w:val="sr-Latn-RS"/>
        </w:rPr>
        <w:t xml:space="preserve">. </w:t>
      </w:r>
      <w:r w:rsidRPr="00D06E2E">
        <w:rPr>
          <w:lang w:val="sr-Latn-RS"/>
        </w:rPr>
        <w:t>Cases from this area make</w:t>
      </w:r>
      <w:r w:rsidR="003C394A" w:rsidRPr="00D06E2E">
        <w:rPr>
          <w:lang w:val="sr-Latn-RS"/>
        </w:rPr>
        <w:t xml:space="preserve"> </w:t>
      </w:r>
      <w:r w:rsidRPr="00D06E2E">
        <w:rPr>
          <w:lang w:val="sr-Latn-RS"/>
        </w:rPr>
        <w:t>11.</w:t>
      </w:r>
      <w:r w:rsidR="003C394A" w:rsidRPr="00D06E2E">
        <w:rPr>
          <w:lang w:val="sr-Latn-RS"/>
        </w:rPr>
        <w:t>59</w:t>
      </w:r>
      <w:r w:rsidRPr="00D06E2E">
        <w:rPr>
          <w:lang w:val="sr-Latn-RS"/>
        </w:rPr>
        <w:t xml:space="preserve"> percent of the total number of handled cases in 2023</w:t>
      </w:r>
      <w:r w:rsidR="003C394A" w:rsidRPr="00D06E2E">
        <w:rPr>
          <w:lang w:val="sr-Latn-RS"/>
        </w:rPr>
        <w:t xml:space="preserve">. </w:t>
      </w:r>
      <w:r w:rsidRPr="00D06E2E">
        <w:rPr>
          <w:lang w:val="sr-Latn-RS"/>
        </w:rPr>
        <w:t>Of handled</w:t>
      </w:r>
      <w:r w:rsidR="003C394A" w:rsidRPr="00D06E2E">
        <w:rPr>
          <w:lang w:val="sr-Latn-RS"/>
        </w:rPr>
        <w:t xml:space="preserve"> 513 </w:t>
      </w:r>
      <w:r w:rsidRPr="00D06E2E">
        <w:rPr>
          <w:lang w:val="sr-Latn-RS"/>
        </w:rPr>
        <w:t>cases</w:t>
      </w:r>
      <w:r w:rsidR="003C394A" w:rsidRPr="00D06E2E">
        <w:rPr>
          <w:lang w:val="sr-Latn-RS"/>
        </w:rPr>
        <w:t xml:space="preserve">, </w:t>
      </w:r>
      <w:r w:rsidRPr="00D06E2E">
        <w:rPr>
          <w:lang w:val="sr-Latn-RS"/>
        </w:rPr>
        <w:t xml:space="preserve">the Protector of Citizens completed the work </w:t>
      </w:r>
      <w:r w:rsidR="009D2617" w:rsidRPr="00D06E2E">
        <w:rPr>
          <w:lang w:val="sr-Latn-RS"/>
        </w:rPr>
        <w:t>in</w:t>
      </w:r>
      <w:r w:rsidRPr="00D06E2E">
        <w:rPr>
          <w:lang w:val="sr-Latn-RS"/>
        </w:rPr>
        <w:t xml:space="preserve"> 420 cases.</w:t>
      </w:r>
      <w:r w:rsidR="003C394A" w:rsidRPr="00D06E2E">
        <w:rPr>
          <w:lang w:val="sr-Latn-RS"/>
        </w:rPr>
        <w:t xml:space="preserve"> </w:t>
      </w:r>
      <w:r w:rsidRPr="00D06E2E">
        <w:rPr>
          <w:lang w:val="sr-Latn-RS"/>
        </w:rPr>
        <w:t>In 2023 the work was completed in</w:t>
      </w:r>
      <w:r w:rsidR="003C394A" w:rsidRPr="00D06E2E">
        <w:rPr>
          <w:bCs/>
          <w:iCs/>
          <w:lang w:val="sr-Latn-RS"/>
        </w:rPr>
        <w:t xml:space="preserve"> 79 </w:t>
      </w:r>
      <w:r w:rsidRPr="00D06E2E">
        <w:rPr>
          <w:bCs/>
          <w:iCs/>
          <w:lang w:val="sr-Latn-RS"/>
        </w:rPr>
        <w:t>cases from previous years</w:t>
      </w:r>
      <w:r w:rsidR="003C394A" w:rsidRPr="00D06E2E">
        <w:rPr>
          <w:lang w:val="sr-Latn-RS"/>
        </w:rPr>
        <w:t xml:space="preserve">. </w:t>
      </w:r>
    </w:p>
    <w:p w14:paraId="09B9D5F2" w14:textId="6644CFB0" w:rsidR="003C394A" w:rsidRPr="00D06E2E" w:rsidRDefault="004707CD" w:rsidP="003C394A">
      <w:pPr>
        <w:spacing w:after="0"/>
        <w:rPr>
          <w:lang w:val="sr-Latn-RS"/>
        </w:rPr>
      </w:pPr>
      <w:r w:rsidRPr="00D06E2E">
        <w:rPr>
          <w:lang w:val="sr-Latn-RS"/>
        </w:rPr>
        <w:t>The Protector of Citizens issued 56 recommendations to administrative authorities, of which 33 were due for execution in the reporting period</w:t>
      </w:r>
      <w:r w:rsidR="009D2617" w:rsidRPr="00D06E2E">
        <w:rPr>
          <w:lang w:val="sr-Latn-RS"/>
        </w:rPr>
        <w:t>.</w:t>
      </w:r>
      <w:r w:rsidRPr="00D06E2E">
        <w:rPr>
          <w:lang w:val="sr-Latn-RS"/>
        </w:rPr>
        <w:t xml:space="preserve"> Of this number, the administrative authorities acted upon 29 recommendations, which is 87.</w:t>
      </w:r>
      <w:r w:rsidR="00790B18" w:rsidRPr="00D06E2E">
        <w:rPr>
          <w:lang w:val="sr-Latn-RS"/>
        </w:rPr>
        <w:t>88</w:t>
      </w:r>
      <w:r w:rsidRPr="00D06E2E">
        <w:rPr>
          <w:lang w:val="sr-Latn-RS"/>
        </w:rPr>
        <w:t xml:space="preserve"> percent of accepted recommendations</w:t>
      </w:r>
      <w:r w:rsidR="003C394A" w:rsidRPr="00D06E2E">
        <w:rPr>
          <w:lang w:val="sr-Latn-RS"/>
        </w:rPr>
        <w:t xml:space="preserve">. </w:t>
      </w:r>
      <w:r w:rsidRPr="00D06E2E">
        <w:rPr>
          <w:lang w:val="sr-Latn-RS"/>
        </w:rPr>
        <w:t>The cases handled in the reporting period the outcome of handling of closed cases and outcome of the actions upon recommendations are presented in the tables below.</w:t>
      </w:r>
      <w:r w:rsidR="003C394A" w:rsidRPr="00D06E2E">
        <w:rPr>
          <w:lang w:val="sr-Latn-RS"/>
        </w:rPr>
        <w:t xml:space="preserve"> </w:t>
      </w:r>
    </w:p>
    <w:p w14:paraId="395168E0" w14:textId="77777777" w:rsidR="003C394A" w:rsidRPr="00D06E2E" w:rsidRDefault="003C394A" w:rsidP="003C394A">
      <w:pPr>
        <w:spacing w:after="0"/>
        <w:rPr>
          <w:lang w:val="sr-Latn-RS"/>
        </w:rPr>
      </w:pPr>
    </w:p>
    <w:p w14:paraId="0331298D" w14:textId="4FA1AD96" w:rsidR="003C394A" w:rsidRPr="00D06E2E" w:rsidRDefault="004707CD" w:rsidP="003C394A">
      <w:pPr>
        <w:pStyle w:val="Caption"/>
        <w:keepNext/>
        <w:spacing w:before="0"/>
        <w:jc w:val="center"/>
        <w:rPr>
          <w:lang w:val="sr-Latn-RS"/>
        </w:rPr>
      </w:pPr>
      <w:r w:rsidRPr="00D06E2E">
        <w:rPr>
          <w:lang w:val="sr-Latn-RS"/>
        </w:rPr>
        <w:t>Table</w:t>
      </w:r>
      <w:r w:rsidR="003C394A" w:rsidRPr="00D06E2E">
        <w:rPr>
          <w:lang w:val="sr-Latn-RS"/>
        </w:rPr>
        <w:t xml:space="preserve"> 14 – </w:t>
      </w:r>
      <w:r w:rsidR="00B736F0" w:rsidRPr="00D06E2E">
        <w:rPr>
          <w:lang w:val="sr-Latn-RS"/>
        </w:rPr>
        <w:t xml:space="preserve">The </w:t>
      </w:r>
      <w:r w:rsidRPr="00D06E2E">
        <w:rPr>
          <w:lang w:val="sr-Latn-RS"/>
        </w:rPr>
        <w:t>overview of handing of received cases in 2023</w:t>
      </w:r>
    </w:p>
    <w:tbl>
      <w:tblPr>
        <w:tblW w:w="8934" w:type="dxa"/>
        <w:jc w:val="center"/>
        <w:tblBorders>
          <w:top w:val="single" w:sz="12" w:space="0" w:color="0070C0"/>
          <w:bottom w:val="single" w:sz="8" w:space="0" w:color="0070C0"/>
          <w:insideH w:val="single" w:sz="8" w:space="0" w:color="0070C0"/>
          <w:insideV w:val="single" w:sz="8" w:space="0" w:color="0070C0"/>
        </w:tblBorders>
        <w:tblLook w:val="04A0" w:firstRow="1" w:lastRow="0" w:firstColumn="1" w:lastColumn="0" w:noHBand="0" w:noVBand="1"/>
      </w:tblPr>
      <w:tblGrid>
        <w:gridCol w:w="5117"/>
        <w:gridCol w:w="1923"/>
        <w:gridCol w:w="1894"/>
      </w:tblGrid>
      <w:tr w:rsidR="003C394A" w:rsidRPr="00D06E2E" w14:paraId="5DE0314C" w14:textId="77777777" w:rsidTr="00B35AFF">
        <w:trPr>
          <w:trHeight w:hRule="exact" w:val="329"/>
          <w:jc w:val="center"/>
        </w:trPr>
        <w:tc>
          <w:tcPr>
            <w:tcW w:w="5117" w:type="dxa"/>
            <w:tcBorders>
              <w:top w:val="single" w:sz="2" w:space="0" w:color="0070C0"/>
              <w:left w:val="single" w:sz="2" w:space="0" w:color="0070C0"/>
              <w:bottom w:val="single" w:sz="2" w:space="0" w:color="0070C0"/>
            </w:tcBorders>
            <w:vAlign w:val="center"/>
          </w:tcPr>
          <w:p w14:paraId="1013C757" w14:textId="589DBEBB" w:rsidR="003C394A" w:rsidRPr="00D06E2E" w:rsidRDefault="004707CD" w:rsidP="00556F2C">
            <w:pPr>
              <w:spacing w:after="0"/>
              <w:rPr>
                <w:b/>
                <w:bCs/>
                <w:lang w:val="sr-Latn-RS"/>
              </w:rPr>
            </w:pPr>
            <w:r w:rsidRPr="00D06E2E">
              <w:rPr>
                <w:b/>
                <w:bCs/>
                <w:lang w:val="sr-Latn-RS"/>
              </w:rPr>
              <w:t>Total number of cases in 2023</w:t>
            </w:r>
          </w:p>
        </w:tc>
        <w:tc>
          <w:tcPr>
            <w:tcW w:w="1923" w:type="dxa"/>
            <w:tcBorders>
              <w:top w:val="single" w:sz="2" w:space="0" w:color="0070C0"/>
              <w:bottom w:val="single" w:sz="2" w:space="0" w:color="0070C0"/>
            </w:tcBorders>
            <w:vAlign w:val="center"/>
          </w:tcPr>
          <w:p w14:paraId="61D3022A" w14:textId="77777777" w:rsidR="003C394A" w:rsidRPr="00D06E2E" w:rsidRDefault="003C394A" w:rsidP="00556F2C">
            <w:pPr>
              <w:spacing w:after="0"/>
              <w:jc w:val="center"/>
              <w:rPr>
                <w:b/>
                <w:bCs/>
                <w:lang w:val="sr-Latn-RS"/>
              </w:rPr>
            </w:pPr>
            <w:r w:rsidRPr="00D06E2E">
              <w:rPr>
                <w:b/>
                <w:bCs/>
                <w:lang w:val="sr-Latn-RS"/>
              </w:rPr>
              <w:t>513</w:t>
            </w:r>
          </w:p>
        </w:tc>
        <w:tc>
          <w:tcPr>
            <w:tcW w:w="1894" w:type="dxa"/>
            <w:tcBorders>
              <w:top w:val="single" w:sz="2" w:space="0" w:color="0070C0"/>
              <w:bottom w:val="single" w:sz="2" w:space="0" w:color="0070C0"/>
              <w:right w:val="single" w:sz="2" w:space="0" w:color="0070C0"/>
            </w:tcBorders>
          </w:tcPr>
          <w:p w14:paraId="7706E084" w14:textId="77777777" w:rsidR="003C394A" w:rsidRPr="00D06E2E" w:rsidRDefault="003C394A" w:rsidP="00556F2C">
            <w:pPr>
              <w:spacing w:after="0"/>
              <w:jc w:val="center"/>
              <w:rPr>
                <w:b/>
                <w:bCs/>
                <w:lang w:val="sr-Latn-RS"/>
              </w:rPr>
            </w:pPr>
            <w:r w:rsidRPr="00D06E2E">
              <w:rPr>
                <w:b/>
                <w:bCs/>
                <w:lang w:val="sr-Latn-RS"/>
              </w:rPr>
              <w:t>%</w:t>
            </w:r>
          </w:p>
        </w:tc>
      </w:tr>
      <w:tr w:rsidR="003C394A" w:rsidRPr="00D06E2E" w14:paraId="79702292" w14:textId="77777777" w:rsidTr="00B35AFF">
        <w:trPr>
          <w:trHeight w:hRule="exact" w:val="329"/>
          <w:jc w:val="center"/>
        </w:trPr>
        <w:tc>
          <w:tcPr>
            <w:tcW w:w="5117" w:type="dxa"/>
            <w:tcBorders>
              <w:top w:val="single" w:sz="2" w:space="0" w:color="0070C0"/>
              <w:left w:val="single" w:sz="2" w:space="0" w:color="0070C0"/>
              <w:bottom w:val="single" w:sz="8" w:space="0" w:color="0070C0"/>
            </w:tcBorders>
            <w:vAlign w:val="center"/>
          </w:tcPr>
          <w:p w14:paraId="7CD0087F" w14:textId="297DF5D3" w:rsidR="003C394A" w:rsidRPr="00D06E2E" w:rsidRDefault="007016A2" w:rsidP="00556F2C">
            <w:pPr>
              <w:spacing w:after="0"/>
              <w:rPr>
                <w:lang w:val="sr-Latn-RS"/>
              </w:rPr>
            </w:pPr>
            <w:r w:rsidRPr="00D06E2E">
              <w:rPr>
                <w:lang w:val="sr-Latn-RS"/>
              </w:rPr>
              <w:t>Number of closed cases in 2023</w:t>
            </w:r>
          </w:p>
        </w:tc>
        <w:tc>
          <w:tcPr>
            <w:tcW w:w="1923" w:type="dxa"/>
            <w:tcBorders>
              <w:top w:val="single" w:sz="2" w:space="0" w:color="0070C0"/>
              <w:bottom w:val="single" w:sz="8" w:space="0" w:color="0070C0"/>
            </w:tcBorders>
            <w:vAlign w:val="center"/>
          </w:tcPr>
          <w:p w14:paraId="53E2F2D0" w14:textId="77777777" w:rsidR="003C394A" w:rsidRPr="00D06E2E" w:rsidRDefault="003C394A" w:rsidP="00556F2C">
            <w:pPr>
              <w:spacing w:after="0"/>
              <w:jc w:val="center"/>
              <w:rPr>
                <w:lang w:val="sr-Latn-RS"/>
              </w:rPr>
            </w:pPr>
            <w:r w:rsidRPr="00D06E2E">
              <w:rPr>
                <w:lang w:val="sr-Latn-RS"/>
              </w:rPr>
              <w:t>420</w:t>
            </w:r>
          </w:p>
        </w:tc>
        <w:tc>
          <w:tcPr>
            <w:tcW w:w="1894" w:type="dxa"/>
            <w:tcBorders>
              <w:top w:val="single" w:sz="2" w:space="0" w:color="0070C0"/>
              <w:bottom w:val="single" w:sz="8" w:space="0" w:color="0070C0"/>
              <w:right w:val="single" w:sz="2" w:space="0" w:color="0070C0"/>
            </w:tcBorders>
          </w:tcPr>
          <w:p w14:paraId="4489E702" w14:textId="538668AE" w:rsidR="003C394A" w:rsidRPr="00D06E2E" w:rsidRDefault="007016A2" w:rsidP="00556F2C">
            <w:pPr>
              <w:spacing w:after="0"/>
              <w:jc w:val="center"/>
              <w:rPr>
                <w:lang w:val="sr-Latn-RS"/>
              </w:rPr>
            </w:pPr>
            <w:r w:rsidRPr="00D06E2E">
              <w:rPr>
                <w:lang w:val="sr-Latn-RS"/>
              </w:rPr>
              <w:t>81.</w:t>
            </w:r>
            <w:r w:rsidR="003C394A" w:rsidRPr="00D06E2E">
              <w:rPr>
                <w:lang w:val="sr-Latn-RS"/>
              </w:rPr>
              <w:t>87%</w:t>
            </w:r>
          </w:p>
        </w:tc>
      </w:tr>
      <w:tr w:rsidR="003C394A" w:rsidRPr="00D06E2E" w14:paraId="3D695FBB" w14:textId="77777777" w:rsidTr="00B35AFF">
        <w:trPr>
          <w:trHeight w:hRule="exact" w:val="329"/>
          <w:jc w:val="center"/>
        </w:trPr>
        <w:tc>
          <w:tcPr>
            <w:tcW w:w="5117" w:type="dxa"/>
            <w:tcBorders>
              <w:top w:val="single" w:sz="8" w:space="0" w:color="0070C0"/>
              <w:left w:val="single" w:sz="2" w:space="0" w:color="0070C0"/>
              <w:bottom w:val="single" w:sz="2" w:space="0" w:color="0070C0"/>
            </w:tcBorders>
            <w:vAlign w:val="center"/>
          </w:tcPr>
          <w:p w14:paraId="5DEB3BFD" w14:textId="69ACC0FD" w:rsidR="003C394A" w:rsidRPr="00D06E2E" w:rsidRDefault="007016A2" w:rsidP="0012192F">
            <w:pPr>
              <w:spacing w:after="0"/>
              <w:rPr>
                <w:lang w:val="sr-Latn-RS"/>
              </w:rPr>
            </w:pPr>
            <w:r w:rsidRPr="00D06E2E">
              <w:rPr>
                <w:lang w:val="sr-Latn-RS"/>
              </w:rPr>
              <w:t>Number of cases</w:t>
            </w:r>
            <w:r w:rsidR="0012192F" w:rsidRPr="00D06E2E">
              <w:rPr>
                <w:lang w:val="sr-Latn-RS"/>
              </w:rPr>
              <w:t xml:space="preserve"> in progress</w:t>
            </w:r>
            <w:r w:rsidRPr="00D06E2E">
              <w:rPr>
                <w:lang w:val="sr-Latn-RS"/>
              </w:rPr>
              <w:t xml:space="preserve"> in 2023</w:t>
            </w:r>
          </w:p>
        </w:tc>
        <w:tc>
          <w:tcPr>
            <w:tcW w:w="1923" w:type="dxa"/>
            <w:tcBorders>
              <w:top w:val="single" w:sz="8" w:space="0" w:color="0070C0"/>
              <w:bottom w:val="single" w:sz="2" w:space="0" w:color="0070C0"/>
            </w:tcBorders>
            <w:vAlign w:val="center"/>
          </w:tcPr>
          <w:p w14:paraId="246949FB" w14:textId="77777777" w:rsidR="003C394A" w:rsidRPr="00D06E2E" w:rsidRDefault="003C394A" w:rsidP="00556F2C">
            <w:pPr>
              <w:spacing w:after="0"/>
              <w:jc w:val="center"/>
              <w:rPr>
                <w:lang w:val="sr-Latn-RS"/>
              </w:rPr>
            </w:pPr>
            <w:r w:rsidRPr="00D06E2E">
              <w:rPr>
                <w:lang w:val="sr-Latn-RS"/>
              </w:rPr>
              <w:t>93</w:t>
            </w:r>
          </w:p>
        </w:tc>
        <w:tc>
          <w:tcPr>
            <w:tcW w:w="1894" w:type="dxa"/>
            <w:tcBorders>
              <w:top w:val="single" w:sz="8" w:space="0" w:color="0070C0"/>
              <w:bottom w:val="single" w:sz="2" w:space="0" w:color="0070C0"/>
              <w:right w:val="single" w:sz="2" w:space="0" w:color="0070C0"/>
            </w:tcBorders>
          </w:tcPr>
          <w:p w14:paraId="7647D954" w14:textId="678EF1B4" w:rsidR="003C394A" w:rsidRPr="00D06E2E" w:rsidRDefault="007016A2" w:rsidP="00556F2C">
            <w:pPr>
              <w:spacing w:after="0"/>
              <w:jc w:val="center"/>
              <w:rPr>
                <w:lang w:val="sr-Latn-RS"/>
              </w:rPr>
            </w:pPr>
            <w:r w:rsidRPr="00D06E2E">
              <w:rPr>
                <w:lang w:val="sr-Latn-RS"/>
              </w:rPr>
              <w:t>18.</w:t>
            </w:r>
            <w:r w:rsidR="003C394A" w:rsidRPr="00D06E2E">
              <w:rPr>
                <w:lang w:val="sr-Latn-RS"/>
              </w:rPr>
              <w:t>13%</w:t>
            </w:r>
          </w:p>
        </w:tc>
      </w:tr>
    </w:tbl>
    <w:p w14:paraId="0E8A5849" w14:textId="77777777" w:rsidR="003C394A" w:rsidRPr="00D06E2E" w:rsidRDefault="003C394A" w:rsidP="003C394A">
      <w:pPr>
        <w:spacing w:after="0"/>
        <w:jc w:val="center"/>
        <w:rPr>
          <w:b/>
          <w:bCs/>
          <w:lang w:val="sr-Latn-RS"/>
        </w:rPr>
      </w:pPr>
    </w:p>
    <w:p w14:paraId="6C69A9B4" w14:textId="13A1B288" w:rsidR="003C394A" w:rsidRPr="00D06E2E" w:rsidRDefault="007016A2" w:rsidP="003C394A">
      <w:pPr>
        <w:pStyle w:val="Caption"/>
        <w:keepNext/>
        <w:spacing w:before="0"/>
        <w:jc w:val="center"/>
        <w:rPr>
          <w:lang w:val="sr-Latn-RS"/>
        </w:rPr>
      </w:pPr>
      <w:r w:rsidRPr="00D06E2E">
        <w:rPr>
          <w:lang w:val="sr-Latn-RS"/>
        </w:rPr>
        <w:t>Таble</w:t>
      </w:r>
      <w:r w:rsidR="003C394A" w:rsidRPr="00D06E2E">
        <w:rPr>
          <w:lang w:val="sr-Latn-RS"/>
        </w:rPr>
        <w:t xml:space="preserve"> 15 – </w:t>
      </w:r>
      <w:r w:rsidR="00B736F0" w:rsidRPr="00D06E2E">
        <w:rPr>
          <w:lang w:val="sr-Latn-RS"/>
        </w:rPr>
        <w:t>The o</w:t>
      </w:r>
      <w:r w:rsidRPr="00D06E2E">
        <w:rPr>
          <w:lang w:val="sr-Latn-RS"/>
        </w:rPr>
        <w:t>utcome of acting upon recommendations</w:t>
      </w:r>
      <w:r w:rsidR="003C394A" w:rsidRPr="00D06E2E">
        <w:rPr>
          <w:lang w:val="sr-Latn-RS"/>
        </w:rPr>
        <w:t xml:space="preserve"> </w:t>
      </w:r>
    </w:p>
    <w:tbl>
      <w:tblPr>
        <w:tblW w:w="8934"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4A0" w:firstRow="1" w:lastRow="0" w:firstColumn="1" w:lastColumn="0" w:noHBand="0" w:noVBand="1"/>
      </w:tblPr>
      <w:tblGrid>
        <w:gridCol w:w="2660"/>
        <w:gridCol w:w="2344"/>
        <w:gridCol w:w="2196"/>
        <w:gridCol w:w="1734"/>
      </w:tblGrid>
      <w:tr w:rsidR="003C394A" w:rsidRPr="00D06E2E" w14:paraId="3A390CF4" w14:textId="77777777" w:rsidTr="00B35AFF">
        <w:trPr>
          <w:trHeight w:hRule="exact" w:val="898"/>
          <w:jc w:val="center"/>
        </w:trPr>
        <w:tc>
          <w:tcPr>
            <w:tcW w:w="2660" w:type="dxa"/>
            <w:vAlign w:val="center"/>
          </w:tcPr>
          <w:p w14:paraId="2CA05FA5" w14:textId="015A1164" w:rsidR="003C394A" w:rsidRPr="00D06E2E" w:rsidRDefault="007016A2" w:rsidP="00556F2C">
            <w:pPr>
              <w:spacing w:after="0"/>
              <w:jc w:val="center"/>
              <w:rPr>
                <w:b/>
                <w:bCs/>
                <w:lang w:val="sr-Latn-RS"/>
              </w:rPr>
            </w:pPr>
            <w:r w:rsidRPr="00D06E2E">
              <w:rPr>
                <w:b/>
                <w:bCs/>
                <w:lang w:val="sr-Latn-RS"/>
              </w:rPr>
              <w:t>Number of issued recommendations</w:t>
            </w:r>
          </w:p>
        </w:tc>
        <w:tc>
          <w:tcPr>
            <w:tcW w:w="2344" w:type="dxa"/>
          </w:tcPr>
          <w:p w14:paraId="1F81FD28" w14:textId="77777777" w:rsidR="003C394A" w:rsidRPr="00D06E2E" w:rsidRDefault="003C394A" w:rsidP="00556F2C">
            <w:pPr>
              <w:spacing w:after="0"/>
              <w:jc w:val="center"/>
              <w:rPr>
                <w:b/>
                <w:bCs/>
                <w:lang w:val="sr-Latn-RS"/>
              </w:rPr>
            </w:pPr>
          </w:p>
          <w:p w14:paraId="58D9B48E" w14:textId="2FEFD349" w:rsidR="003C394A" w:rsidRPr="00D06E2E" w:rsidRDefault="007016A2" w:rsidP="00556F2C">
            <w:pPr>
              <w:spacing w:after="0"/>
              <w:jc w:val="center"/>
              <w:rPr>
                <w:b/>
                <w:bCs/>
                <w:lang w:val="sr-Latn-RS"/>
              </w:rPr>
            </w:pPr>
            <w:r w:rsidRPr="00D06E2E">
              <w:rPr>
                <w:b/>
                <w:bCs/>
                <w:lang w:val="sr-Latn-RS"/>
              </w:rPr>
              <w:t>Number of due recommendations</w:t>
            </w:r>
          </w:p>
        </w:tc>
        <w:tc>
          <w:tcPr>
            <w:tcW w:w="2196" w:type="dxa"/>
            <w:vAlign w:val="center"/>
          </w:tcPr>
          <w:p w14:paraId="32F0A14D" w14:textId="00864C01" w:rsidR="003C394A" w:rsidRPr="00D06E2E" w:rsidRDefault="007016A2" w:rsidP="00556F2C">
            <w:pPr>
              <w:spacing w:after="0"/>
              <w:jc w:val="center"/>
              <w:rPr>
                <w:b/>
                <w:bCs/>
                <w:lang w:val="sr-Latn-RS"/>
              </w:rPr>
            </w:pPr>
            <w:r w:rsidRPr="00D06E2E">
              <w:rPr>
                <w:b/>
                <w:bCs/>
                <w:lang w:val="sr-Latn-RS"/>
              </w:rPr>
              <w:t>Number of accepted recommendations</w:t>
            </w:r>
          </w:p>
        </w:tc>
        <w:tc>
          <w:tcPr>
            <w:tcW w:w="1734" w:type="dxa"/>
          </w:tcPr>
          <w:p w14:paraId="5468C829" w14:textId="77777777" w:rsidR="003C394A" w:rsidRPr="00D06E2E" w:rsidRDefault="003C394A" w:rsidP="00556F2C">
            <w:pPr>
              <w:spacing w:after="0"/>
              <w:jc w:val="center"/>
              <w:rPr>
                <w:b/>
                <w:bCs/>
                <w:lang w:val="sr-Latn-RS"/>
              </w:rPr>
            </w:pPr>
          </w:p>
          <w:p w14:paraId="52D3A7C8" w14:textId="77777777" w:rsidR="003C394A" w:rsidRPr="00D06E2E" w:rsidRDefault="003C394A" w:rsidP="00556F2C">
            <w:pPr>
              <w:spacing w:after="0"/>
              <w:jc w:val="center"/>
              <w:rPr>
                <w:b/>
                <w:bCs/>
                <w:lang w:val="sr-Latn-RS"/>
              </w:rPr>
            </w:pPr>
          </w:p>
          <w:p w14:paraId="1CD88A29" w14:textId="6E1E7EE1" w:rsidR="003C394A" w:rsidRPr="00D06E2E" w:rsidRDefault="003C394A" w:rsidP="007016A2">
            <w:pPr>
              <w:spacing w:after="0"/>
              <w:jc w:val="center"/>
              <w:rPr>
                <w:b/>
                <w:bCs/>
                <w:lang w:val="sr-Latn-RS"/>
              </w:rPr>
            </w:pPr>
            <w:r w:rsidRPr="00D06E2E">
              <w:rPr>
                <w:b/>
                <w:bCs/>
                <w:lang w:val="sr-Latn-RS"/>
              </w:rPr>
              <w:t xml:space="preserve">% </w:t>
            </w:r>
            <w:r w:rsidR="007016A2" w:rsidRPr="00D06E2E">
              <w:rPr>
                <w:b/>
                <w:bCs/>
                <w:lang w:val="sr-Latn-RS"/>
              </w:rPr>
              <w:t>оf accepted</w:t>
            </w:r>
          </w:p>
        </w:tc>
      </w:tr>
      <w:tr w:rsidR="003C394A" w:rsidRPr="00D06E2E" w14:paraId="0A9C53D4" w14:textId="77777777" w:rsidTr="00B35AFF">
        <w:trPr>
          <w:trHeight w:hRule="exact" w:val="329"/>
          <w:jc w:val="center"/>
        </w:trPr>
        <w:tc>
          <w:tcPr>
            <w:tcW w:w="2660" w:type="dxa"/>
            <w:vAlign w:val="center"/>
          </w:tcPr>
          <w:p w14:paraId="39B2C01D" w14:textId="77777777" w:rsidR="003C394A" w:rsidRPr="00D06E2E" w:rsidRDefault="003C394A" w:rsidP="00556F2C">
            <w:pPr>
              <w:spacing w:after="0"/>
              <w:jc w:val="center"/>
              <w:rPr>
                <w:b/>
                <w:bCs/>
                <w:lang w:val="sr-Latn-RS"/>
              </w:rPr>
            </w:pPr>
            <w:r w:rsidRPr="00D06E2E">
              <w:rPr>
                <w:b/>
                <w:bCs/>
                <w:lang w:val="sr-Latn-RS"/>
              </w:rPr>
              <w:t>56</w:t>
            </w:r>
          </w:p>
        </w:tc>
        <w:tc>
          <w:tcPr>
            <w:tcW w:w="2344" w:type="dxa"/>
          </w:tcPr>
          <w:p w14:paraId="1980D95A" w14:textId="77777777" w:rsidR="003C394A" w:rsidRPr="00D06E2E" w:rsidRDefault="003C394A" w:rsidP="00556F2C">
            <w:pPr>
              <w:spacing w:after="0"/>
              <w:jc w:val="center"/>
              <w:rPr>
                <w:b/>
                <w:bCs/>
                <w:lang w:val="sr-Latn-RS"/>
              </w:rPr>
            </w:pPr>
            <w:r w:rsidRPr="00D06E2E">
              <w:rPr>
                <w:b/>
                <w:bCs/>
                <w:lang w:val="sr-Latn-RS"/>
              </w:rPr>
              <w:t>33</w:t>
            </w:r>
          </w:p>
        </w:tc>
        <w:tc>
          <w:tcPr>
            <w:tcW w:w="2196" w:type="dxa"/>
            <w:vAlign w:val="center"/>
          </w:tcPr>
          <w:p w14:paraId="7F1F09BD" w14:textId="77777777" w:rsidR="003C394A" w:rsidRPr="00D06E2E" w:rsidRDefault="003C394A" w:rsidP="00556F2C">
            <w:pPr>
              <w:spacing w:after="0"/>
              <w:jc w:val="center"/>
              <w:rPr>
                <w:b/>
                <w:bCs/>
                <w:lang w:val="sr-Latn-RS"/>
              </w:rPr>
            </w:pPr>
            <w:r w:rsidRPr="00D06E2E">
              <w:rPr>
                <w:b/>
                <w:bCs/>
                <w:lang w:val="sr-Latn-RS"/>
              </w:rPr>
              <w:t>29</w:t>
            </w:r>
          </w:p>
        </w:tc>
        <w:tc>
          <w:tcPr>
            <w:tcW w:w="1734" w:type="dxa"/>
          </w:tcPr>
          <w:p w14:paraId="64C592C4" w14:textId="7364F89E" w:rsidR="003C394A" w:rsidRPr="00D06E2E" w:rsidRDefault="003C394A" w:rsidP="00556F2C">
            <w:pPr>
              <w:spacing w:after="0"/>
              <w:jc w:val="center"/>
              <w:rPr>
                <w:b/>
                <w:bCs/>
                <w:lang w:val="sr-Latn-RS"/>
              </w:rPr>
            </w:pPr>
            <w:r w:rsidRPr="00D06E2E">
              <w:rPr>
                <w:b/>
                <w:bCs/>
                <w:lang w:val="sr-Latn-RS"/>
              </w:rPr>
              <w:t>87</w:t>
            </w:r>
            <w:r w:rsidR="007016A2" w:rsidRPr="00D06E2E">
              <w:rPr>
                <w:b/>
                <w:bCs/>
                <w:lang w:val="sr-Latn-RS"/>
              </w:rPr>
              <w:t>.</w:t>
            </w:r>
            <w:r w:rsidR="00C540E9" w:rsidRPr="00D06E2E">
              <w:rPr>
                <w:b/>
                <w:bCs/>
                <w:lang w:val="sr-Latn-RS"/>
              </w:rPr>
              <w:t>88</w:t>
            </w:r>
            <w:r w:rsidRPr="00D06E2E">
              <w:rPr>
                <w:b/>
                <w:bCs/>
                <w:lang w:val="sr-Latn-RS"/>
              </w:rPr>
              <w:t xml:space="preserve"> %</w:t>
            </w:r>
          </w:p>
        </w:tc>
      </w:tr>
    </w:tbl>
    <w:p w14:paraId="2A48B1B3" w14:textId="77777777" w:rsidR="003C394A" w:rsidRPr="00D06E2E" w:rsidRDefault="003C394A" w:rsidP="003C394A">
      <w:pPr>
        <w:spacing w:after="0"/>
        <w:ind w:firstLine="720"/>
        <w:rPr>
          <w:b/>
          <w:lang w:val="sr-Latn-RS"/>
        </w:rPr>
      </w:pPr>
    </w:p>
    <w:p w14:paraId="41D5F705" w14:textId="179324CC" w:rsidR="007016A2" w:rsidRPr="00D06E2E" w:rsidRDefault="007016A2" w:rsidP="007016A2">
      <w:pPr>
        <w:spacing w:after="0"/>
        <w:ind w:firstLine="720"/>
        <w:jc w:val="center"/>
        <w:rPr>
          <w:b/>
          <w:lang w:val="sr-Latn-RS"/>
        </w:rPr>
      </w:pPr>
      <w:r w:rsidRPr="00D06E2E">
        <w:rPr>
          <w:b/>
          <w:lang w:val="sr-Latn-RS"/>
        </w:rPr>
        <w:t>Table</w:t>
      </w:r>
      <w:r w:rsidR="003C394A" w:rsidRPr="00D06E2E">
        <w:rPr>
          <w:b/>
          <w:lang w:val="sr-Latn-RS"/>
        </w:rPr>
        <w:t xml:space="preserve"> 16 </w:t>
      </w:r>
      <w:r w:rsidRPr="00D06E2E">
        <w:rPr>
          <w:b/>
          <w:lang w:val="sr-Latn-RS"/>
        </w:rPr>
        <w:t>–</w:t>
      </w:r>
      <w:r w:rsidR="003C394A" w:rsidRPr="00D06E2E">
        <w:rPr>
          <w:b/>
          <w:lang w:val="sr-Latn-RS"/>
        </w:rPr>
        <w:t xml:space="preserve"> </w:t>
      </w:r>
      <w:r w:rsidRPr="00D06E2E">
        <w:rPr>
          <w:b/>
          <w:lang w:val="sr-Latn-RS"/>
        </w:rPr>
        <w:t xml:space="preserve">Comparative overview of </w:t>
      </w:r>
      <w:r w:rsidR="00934219" w:rsidRPr="00D06E2E">
        <w:rPr>
          <w:b/>
          <w:lang w:val="sr-Latn-RS"/>
        </w:rPr>
        <w:t>handled</w:t>
      </w:r>
      <w:r w:rsidRPr="00D06E2E">
        <w:rPr>
          <w:b/>
          <w:lang w:val="sr-Latn-RS"/>
        </w:rPr>
        <w:t xml:space="preserve"> cases and issued recommendations in 2023 and 2022</w:t>
      </w:r>
    </w:p>
    <w:p w14:paraId="4872503C" w14:textId="2DF9DB5F" w:rsidR="003C394A" w:rsidRPr="00D06E2E" w:rsidRDefault="003C394A" w:rsidP="003C394A">
      <w:pPr>
        <w:ind w:firstLine="720"/>
        <w:jc w:val="center"/>
        <w:rPr>
          <w:b/>
          <w:lang w:val="sr-Latn-RS"/>
        </w:rPr>
      </w:pPr>
    </w:p>
    <w:tbl>
      <w:tblPr>
        <w:tblW w:w="8934"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4A0" w:firstRow="1" w:lastRow="0" w:firstColumn="1" w:lastColumn="0" w:noHBand="0" w:noVBand="1"/>
      </w:tblPr>
      <w:tblGrid>
        <w:gridCol w:w="5117"/>
        <w:gridCol w:w="1923"/>
        <w:gridCol w:w="1894"/>
      </w:tblGrid>
      <w:tr w:rsidR="003C394A" w:rsidRPr="00D06E2E" w14:paraId="67A96115" w14:textId="77777777" w:rsidTr="00B35AFF">
        <w:trPr>
          <w:trHeight w:hRule="exact" w:val="329"/>
          <w:jc w:val="center"/>
        </w:trPr>
        <w:tc>
          <w:tcPr>
            <w:tcW w:w="5117" w:type="dxa"/>
            <w:vAlign w:val="center"/>
          </w:tcPr>
          <w:p w14:paraId="647CEA55" w14:textId="77777777" w:rsidR="003C394A" w:rsidRPr="00D06E2E" w:rsidRDefault="003C394A" w:rsidP="00556F2C">
            <w:pPr>
              <w:spacing w:after="0"/>
              <w:rPr>
                <w:b/>
                <w:bCs/>
                <w:lang w:val="sr-Latn-RS"/>
              </w:rPr>
            </w:pPr>
          </w:p>
        </w:tc>
        <w:tc>
          <w:tcPr>
            <w:tcW w:w="1923" w:type="dxa"/>
            <w:vAlign w:val="center"/>
          </w:tcPr>
          <w:p w14:paraId="2736A53C" w14:textId="7AAE3D11" w:rsidR="003C394A" w:rsidRPr="00D06E2E" w:rsidRDefault="007016A2" w:rsidP="00556F2C">
            <w:pPr>
              <w:spacing w:after="0"/>
              <w:jc w:val="center"/>
              <w:rPr>
                <w:b/>
                <w:bCs/>
                <w:lang w:val="sr-Latn-RS"/>
              </w:rPr>
            </w:pPr>
            <w:r w:rsidRPr="00D06E2E">
              <w:rPr>
                <w:b/>
                <w:bCs/>
                <w:lang w:val="sr-Latn-RS"/>
              </w:rPr>
              <w:t>2023</w:t>
            </w:r>
          </w:p>
        </w:tc>
        <w:tc>
          <w:tcPr>
            <w:tcW w:w="1894" w:type="dxa"/>
          </w:tcPr>
          <w:p w14:paraId="766DA6EA" w14:textId="7238F8CE" w:rsidR="003C394A" w:rsidRPr="00D06E2E" w:rsidRDefault="007016A2" w:rsidP="00556F2C">
            <w:pPr>
              <w:spacing w:after="0"/>
              <w:jc w:val="center"/>
              <w:rPr>
                <w:b/>
                <w:bCs/>
                <w:lang w:val="sr-Latn-RS"/>
              </w:rPr>
            </w:pPr>
            <w:r w:rsidRPr="00D06E2E">
              <w:rPr>
                <w:b/>
                <w:bCs/>
                <w:lang w:val="sr-Latn-RS"/>
              </w:rPr>
              <w:t>2022</w:t>
            </w:r>
          </w:p>
        </w:tc>
      </w:tr>
      <w:tr w:rsidR="003C394A" w:rsidRPr="00D06E2E" w14:paraId="1E5ECC03" w14:textId="77777777" w:rsidTr="00B35AFF">
        <w:trPr>
          <w:trHeight w:hRule="exact" w:val="329"/>
          <w:jc w:val="center"/>
        </w:trPr>
        <w:tc>
          <w:tcPr>
            <w:tcW w:w="5117" w:type="dxa"/>
            <w:vAlign w:val="center"/>
          </w:tcPr>
          <w:p w14:paraId="67FE490E" w14:textId="52CFCA36" w:rsidR="003C394A" w:rsidRPr="00D06E2E" w:rsidRDefault="007016A2" w:rsidP="00556F2C">
            <w:pPr>
              <w:spacing w:after="0"/>
              <w:rPr>
                <w:lang w:val="sr-Latn-RS"/>
              </w:rPr>
            </w:pPr>
            <w:r w:rsidRPr="00D06E2E">
              <w:rPr>
                <w:lang w:val="sr-Latn-RS"/>
              </w:rPr>
              <w:t>Handled cases</w:t>
            </w:r>
          </w:p>
        </w:tc>
        <w:tc>
          <w:tcPr>
            <w:tcW w:w="1923" w:type="dxa"/>
            <w:vAlign w:val="center"/>
          </w:tcPr>
          <w:p w14:paraId="2145838B" w14:textId="77777777" w:rsidR="003C394A" w:rsidRPr="00D06E2E" w:rsidRDefault="003C394A" w:rsidP="00556F2C">
            <w:pPr>
              <w:spacing w:after="0"/>
              <w:jc w:val="center"/>
              <w:rPr>
                <w:lang w:val="sr-Latn-RS"/>
              </w:rPr>
            </w:pPr>
            <w:r w:rsidRPr="00D06E2E">
              <w:rPr>
                <w:lang w:val="sr-Latn-RS"/>
              </w:rPr>
              <w:t>513</w:t>
            </w:r>
          </w:p>
        </w:tc>
        <w:tc>
          <w:tcPr>
            <w:tcW w:w="1894" w:type="dxa"/>
          </w:tcPr>
          <w:p w14:paraId="02D41CBA" w14:textId="52FBBF06" w:rsidR="003C394A" w:rsidRPr="00D06E2E" w:rsidRDefault="003C20CF" w:rsidP="00556F2C">
            <w:pPr>
              <w:spacing w:after="0"/>
              <w:jc w:val="center"/>
              <w:rPr>
                <w:lang w:val="sr-Latn-RS"/>
              </w:rPr>
            </w:pPr>
            <w:r w:rsidRPr="00D06E2E">
              <w:rPr>
                <w:lang w:val="sr-Latn-RS"/>
              </w:rPr>
              <w:t>323</w:t>
            </w:r>
          </w:p>
        </w:tc>
      </w:tr>
      <w:tr w:rsidR="003C394A" w:rsidRPr="00D06E2E" w14:paraId="4B2EA2C4" w14:textId="77777777" w:rsidTr="00B35AFF">
        <w:trPr>
          <w:trHeight w:hRule="exact" w:val="329"/>
          <w:jc w:val="center"/>
        </w:trPr>
        <w:tc>
          <w:tcPr>
            <w:tcW w:w="5117" w:type="dxa"/>
            <w:vAlign w:val="center"/>
          </w:tcPr>
          <w:p w14:paraId="35C54AA9" w14:textId="6E050396" w:rsidR="003C394A" w:rsidRPr="00D06E2E" w:rsidRDefault="007016A2" w:rsidP="00556F2C">
            <w:pPr>
              <w:spacing w:after="0"/>
              <w:rPr>
                <w:lang w:val="sr-Latn-RS"/>
              </w:rPr>
            </w:pPr>
            <w:r w:rsidRPr="00D06E2E">
              <w:rPr>
                <w:lang w:val="sr-Latn-RS"/>
              </w:rPr>
              <w:t>Issued recommendations</w:t>
            </w:r>
            <w:r w:rsidR="003C394A" w:rsidRPr="00D06E2E">
              <w:rPr>
                <w:lang w:val="sr-Latn-RS"/>
              </w:rPr>
              <w:t xml:space="preserve"> </w:t>
            </w:r>
          </w:p>
        </w:tc>
        <w:tc>
          <w:tcPr>
            <w:tcW w:w="1923" w:type="dxa"/>
            <w:vAlign w:val="center"/>
          </w:tcPr>
          <w:p w14:paraId="6CCE0F62" w14:textId="77777777" w:rsidR="003C394A" w:rsidRPr="00D06E2E" w:rsidRDefault="003C394A" w:rsidP="00556F2C">
            <w:pPr>
              <w:spacing w:after="0"/>
              <w:jc w:val="center"/>
              <w:rPr>
                <w:lang w:val="sr-Latn-RS"/>
              </w:rPr>
            </w:pPr>
            <w:r w:rsidRPr="00D06E2E">
              <w:rPr>
                <w:lang w:val="sr-Latn-RS"/>
              </w:rPr>
              <w:t>56</w:t>
            </w:r>
          </w:p>
        </w:tc>
        <w:tc>
          <w:tcPr>
            <w:tcW w:w="1894" w:type="dxa"/>
          </w:tcPr>
          <w:p w14:paraId="38310236" w14:textId="77777777" w:rsidR="003C394A" w:rsidRPr="00D06E2E" w:rsidRDefault="003C394A" w:rsidP="00556F2C">
            <w:pPr>
              <w:spacing w:after="0"/>
              <w:jc w:val="center"/>
              <w:rPr>
                <w:lang w:val="sr-Latn-RS"/>
              </w:rPr>
            </w:pPr>
            <w:r w:rsidRPr="00D06E2E">
              <w:rPr>
                <w:lang w:val="sr-Latn-RS"/>
              </w:rPr>
              <w:t>16</w:t>
            </w:r>
          </w:p>
        </w:tc>
      </w:tr>
    </w:tbl>
    <w:p w14:paraId="5727082D" w14:textId="77777777" w:rsidR="003C394A" w:rsidRPr="00D06E2E" w:rsidRDefault="003C394A" w:rsidP="003C394A">
      <w:pPr>
        <w:spacing w:after="0"/>
        <w:ind w:firstLine="720"/>
        <w:jc w:val="center"/>
        <w:rPr>
          <w:b/>
          <w:lang w:val="sr-Latn-RS"/>
        </w:rPr>
      </w:pPr>
    </w:p>
    <w:p w14:paraId="0F71916C" w14:textId="37197307" w:rsidR="003C394A" w:rsidRPr="00D06E2E" w:rsidRDefault="007016A2" w:rsidP="003C394A">
      <w:pPr>
        <w:spacing w:after="0"/>
        <w:rPr>
          <w:lang w:val="sr-Latn-RS"/>
        </w:rPr>
      </w:pPr>
      <w:r w:rsidRPr="00D06E2E">
        <w:rPr>
          <w:lang w:val="sr-Latn-RS"/>
        </w:rPr>
        <w:t>The increase of the number of handled cases in the area of child rights by almost 60 percent in the reporting period reflected also to the increase of the number of issued recommendations by three and a half times.</w:t>
      </w:r>
      <w:r w:rsidR="003C394A" w:rsidRPr="00D06E2E">
        <w:rPr>
          <w:lang w:val="sr-Latn-RS"/>
        </w:rPr>
        <w:t xml:space="preserve"> </w:t>
      </w:r>
    </w:p>
    <w:p w14:paraId="12E4A55E" w14:textId="77777777" w:rsidR="003C394A" w:rsidRPr="00D06E2E" w:rsidRDefault="003C394A" w:rsidP="003C394A">
      <w:pPr>
        <w:spacing w:after="0"/>
        <w:ind w:firstLine="720"/>
        <w:jc w:val="center"/>
        <w:rPr>
          <w:lang w:val="sr-Latn-RS"/>
        </w:rPr>
      </w:pPr>
    </w:p>
    <w:p w14:paraId="68A8C569" w14:textId="77777777" w:rsidR="003C394A" w:rsidRPr="00D06E2E" w:rsidRDefault="003C394A" w:rsidP="003C394A">
      <w:pPr>
        <w:spacing w:after="0"/>
        <w:ind w:firstLine="720"/>
        <w:jc w:val="center"/>
        <w:rPr>
          <w:b/>
          <w:lang w:val="sr-Latn-RS"/>
        </w:rPr>
      </w:pPr>
    </w:p>
    <w:p w14:paraId="2DAA4B2D" w14:textId="77777777" w:rsidR="003C394A" w:rsidRPr="00D06E2E" w:rsidRDefault="003C394A" w:rsidP="003C394A">
      <w:pPr>
        <w:spacing w:after="0"/>
        <w:ind w:firstLine="720"/>
        <w:jc w:val="center"/>
        <w:rPr>
          <w:b/>
          <w:lang w:val="sr-Latn-RS"/>
        </w:rPr>
      </w:pPr>
    </w:p>
    <w:p w14:paraId="7912C4C0" w14:textId="77777777" w:rsidR="003C394A" w:rsidRPr="00D06E2E" w:rsidRDefault="003C394A" w:rsidP="003C394A">
      <w:pPr>
        <w:spacing w:after="0"/>
        <w:ind w:firstLine="720"/>
        <w:jc w:val="center"/>
        <w:rPr>
          <w:b/>
          <w:lang w:val="sr-Latn-RS"/>
        </w:rPr>
      </w:pPr>
    </w:p>
    <w:p w14:paraId="6012FDEC" w14:textId="77777777" w:rsidR="003C394A" w:rsidRPr="00D06E2E" w:rsidRDefault="003C394A" w:rsidP="003C394A">
      <w:pPr>
        <w:spacing w:after="0"/>
        <w:ind w:firstLine="720"/>
        <w:jc w:val="center"/>
        <w:rPr>
          <w:b/>
          <w:lang w:val="sr-Latn-RS"/>
        </w:rPr>
      </w:pPr>
    </w:p>
    <w:p w14:paraId="5CE3DDA8" w14:textId="540F859A" w:rsidR="003C394A" w:rsidRPr="00D06E2E" w:rsidRDefault="007016A2" w:rsidP="003C394A">
      <w:pPr>
        <w:pStyle w:val="Caption"/>
        <w:keepNext/>
        <w:spacing w:before="0"/>
        <w:jc w:val="center"/>
        <w:rPr>
          <w:highlight w:val="yellow"/>
          <w:lang w:val="sr-Latn-RS"/>
        </w:rPr>
      </w:pPr>
      <w:r w:rsidRPr="00D06E2E">
        <w:rPr>
          <w:lang w:val="sr-Latn-RS"/>
        </w:rPr>
        <w:t xml:space="preserve">Table </w:t>
      </w:r>
      <w:r w:rsidR="003C394A" w:rsidRPr="00D06E2E">
        <w:rPr>
          <w:lang w:val="sr-Latn-RS"/>
        </w:rPr>
        <w:t xml:space="preserve">17 – </w:t>
      </w:r>
      <w:r w:rsidRPr="00D06E2E">
        <w:rPr>
          <w:lang w:val="sr-Latn-RS"/>
        </w:rPr>
        <w:t>The outcome of acting upon closed cases in 2020</w:t>
      </w:r>
    </w:p>
    <w:tbl>
      <w:tblPr>
        <w:tblW w:w="8930"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4A0" w:firstRow="1" w:lastRow="0" w:firstColumn="1" w:lastColumn="0" w:noHBand="0" w:noVBand="1"/>
      </w:tblPr>
      <w:tblGrid>
        <w:gridCol w:w="6615"/>
        <w:gridCol w:w="1011"/>
        <w:gridCol w:w="1304"/>
      </w:tblGrid>
      <w:tr w:rsidR="003C394A" w:rsidRPr="00D06E2E" w14:paraId="3FD37943" w14:textId="77777777" w:rsidTr="009433ED">
        <w:trPr>
          <w:trHeight w:hRule="exact" w:val="329"/>
          <w:jc w:val="center"/>
        </w:trPr>
        <w:tc>
          <w:tcPr>
            <w:tcW w:w="6880" w:type="dxa"/>
            <w:vAlign w:val="center"/>
          </w:tcPr>
          <w:p w14:paraId="2CBB581D" w14:textId="77777777" w:rsidR="003C394A" w:rsidRPr="00D06E2E" w:rsidRDefault="003C394A" w:rsidP="00556F2C">
            <w:pPr>
              <w:spacing w:after="0"/>
              <w:rPr>
                <w:b/>
                <w:bCs/>
                <w:highlight w:val="yellow"/>
                <w:lang w:val="sr-Latn-RS"/>
              </w:rPr>
            </w:pPr>
          </w:p>
        </w:tc>
        <w:tc>
          <w:tcPr>
            <w:tcW w:w="813" w:type="dxa"/>
            <w:vAlign w:val="center"/>
          </w:tcPr>
          <w:p w14:paraId="2A302176" w14:textId="4472E10F" w:rsidR="003C394A" w:rsidRPr="00D06E2E" w:rsidRDefault="007016A2" w:rsidP="00556F2C">
            <w:pPr>
              <w:jc w:val="center"/>
              <w:rPr>
                <w:b/>
                <w:bCs/>
                <w:lang w:val="sr-Latn-RS"/>
              </w:rPr>
            </w:pPr>
            <w:r w:rsidRPr="00D06E2E">
              <w:rPr>
                <w:b/>
                <w:bCs/>
                <w:lang w:val="sr-Latn-RS"/>
              </w:rPr>
              <w:t>number</w:t>
            </w:r>
          </w:p>
        </w:tc>
        <w:tc>
          <w:tcPr>
            <w:tcW w:w="1237" w:type="dxa"/>
            <w:noWrap/>
            <w:vAlign w:val="center"/>
          </w:tcPr>
          <w:p w14:paraId="138065F1" w14:textId="1A7BA381" w:rsidR="003C394A" w:rsidRPr="00D06E2E" w:rsidRDefault="007016A2" w:rsidP="00556F2C">
            <w:pPr>
              <w:jc w:val="center"/>
              <w:rPr>
                <w:b/>
                <w:bCs/>
                <w:lang w:val="sr-Latn-RS"/>
              </w:rPr>
            </w:pPr>
            <w:r w:rsidRPr="00D06E2E">
              <w:rPr>
                <w:b/>
                <w:bCs/>
                <w:lang w:val="sr-Latn-RS"/>
              </w:rPr>
              <w:t>percentage</w:t>
            </w:r>
          </w:p>
        </w:tc>
      </w:tr>
      <w:tr w:rsidR="003C394A" w:rsidRPr="00D06E2E" w14:paraId="3A2FD93E" w14:textId="77777777" w:rsidTr="009433ED">
        <w:trPr>
          <w:trHeight w:hRule="exact" w:val="329"/>
          <w:jc w:val="center"/>
        </w:trPr>
        <w:tc>
          <w:tcPr>
            <w:tcW w:w="6880" w:type="dxa"/>
            <w:vAlign w:val="center"/>
          </w:tcPr>
          <w:p w14:paraId="2EDFC759" w14:textId="54C0ECFF" w:rsidR="003C394A" w:rsidRPr="00D06E2E" w:rsidRDefault="007016A2" w:rsidP="008F61B3">
            <w:pPr>
              <w:pStyle w:val="ListParagraph"/>
              <w:numPr>
                <w:ilvl w:val="0"/>
                <w:numId w:val="19"/>
              </w:numPr>
              <w:spacing w:after="0"/>
              <w:ind w:left="318" w:hanging="318"/>
              <w:contextualSpacing/>
              <w:rPr>
                <w:b/>
                <w:lang w:val="sr-Latn-RS"/>
              </w:rPr>
            </w:pPr>
            <w:r w:rsidRPr="00D06E2E">
              <w:rPr>
                <w:b/>
                <w:lang w:val="sr-Latn-RS"/>
              </w:rPr>
              <w:t>Inadmissible complaints</w:t>
            </w:r>
          </w:p>
        </w:tc>
        <w:tc>
          <w:tcPr>
            <w:tcW w:w="813" w:type="dxa"/>
            <w:vAlign w:val="center"/>
          </w:tcPr>
          <w:p w14:paraId="59EF6A29" w14:textId="77777777" w:rsidR="003C394A" w:rsidRPr="00D06E2E" w:rsidRDefault="003C394A" w:rsidP="00556F2C">
            <w:pPr>
              <w:spacing w:after="0"/>
              <w:jc w:val="center"/>
              <w:rPr>
                <w:rFonts w:cs="Calibri"/>
                <w:b/>
                <w:color w:val="000000"/>
                <w:lang w:val="sr-Latn-RS"/>
              </w:rPr>
            </w:pPr>
            <w:r w:rsidRPr="00D06E2E">
              <w:rPr>
                <w:rFonts w:cs="Calibri"/>
                <w:b/>
                <w:color w:val="000000"/>
                <w:lang w:val="sr-Latn-RS"/>
              </w:rPr>
              <w:t>191</w:t>
            </w:r>
          </w:p>
        </w:tc>
        <w:tc>
          <w:tcPr>
            <w:tcW w:w="1237" w:type="dxa"/>
            <w:noWrap/>
            <w:vAlign w:val="center"/>
          </w:tcPr>
          <w:p w14:paraId="50C89603" w14:textId="2773B30F" w:rsidR="003C394A" w:rsidRPr="00D06E2E" w:rsidRDefault="00F22B7C" w:rsidP="00556F2C">
            <w:pPr>
              <w:spacing w:after="0"/>
              <w:jc w:val="center"/>
              <w:rPr>
                <w:rFonts w:cs="Calibri"/>
                <w:b/>
                <w:color w:val="000000"/>
                <w:lang w:val="sr-Latn-RS"/>
              </w:rPr>
            </w:pPr>
            <w:r w:rsidRPr="00D06E2E">
              <w:rPr>
                <w:rFonts w:cs="Calibri"/>
                <w:b/>
                <w:color w:val="000000"/>
                <w:lang w:val="sr-Latn-RS"/>
              </w:rPr>
              <w:t>45.</w:t>
            </w:r>
            <w:r w:rsidR="003046DA" w:rsidRPr="00D06E2E">
              <w:rPr>
                <w:rFonts w:cs="Calibri"/>
                <w:b/>
                <w:color w:val="000000"/>
                <w:lang w:val="sr-Latn-RS"/>
              </w:rPr>
              <w:t>48</w:t>
            </w:r>
            <w:r w:rsidR="003C394A" w:rsidRPr="00D06E2E">
              <w:rPr>
                <w:rFonts w:cs="Calibri"/>
                <w:b/>
                <w:color w:val="000000"/>
                <w:lang w:val="sr-Latn-RS"/>
              </w:rPr>
              <w:t>%</w:t>
            </w:r>
          </w:p>
        </w:tc>
      </w:tr>
      <w:tr w:rsidR="003C394A" w:rsidRPr="00D06E2E" w14:paraId="72BF6C7A" w14:textId="77777777" w:rsidTr="009433ED">
        <w:trPr>
          <w:trHeight w:hRule="exact" w:val="329"/>
          <w:jc w:val="center"/>
        </w:trPr>
        <w:tc>
          <w:tcPr>
            <w:tcW w:w="6880" w:type="dxa"/>
            <w:vAlign w:val="center"/>
          </w:tcPr>
          <w:p w14:paraId="58ADE56E" w14:textId="34C1BA4F" w:rsidR="003C394A" w:rsidRPr="00D06E2E" w:rsidRDefault="007016A2" w:rsidP="008F61B3">
            <w:pPr>
              <w:pStyle w:val="ListParagraph"/>
              <w:numPr>
                <w:ilvl w:val="1"/>
                <w:numId w:val="19"/>
              </w:numPr>
              <w:tabs>
                <w:tab w:val="left" w:pos="601"/>
              </w:tabs>
              <w:spacing w:after="0"/>
              <w:ind w:left="453" w:hanging="453"/>
              <w:contextualSpacing/>
              <w:rPr>
                <w:lang w:val="sr-Latn-RS"/>
              </w:rPr>
            </w:pPr>
            <w:r w:rsidRPr="00D06E2E">
              <w:rPr>
                <w:lang w:val="sr-Latn-RS"/>
              </w:rPr>
              <w:t>Unused legal remedies</w:t>
            </w:r>
            <w:r w:rsidR="003C394A" w:rsidRPr="00D06E2E">
              <w:rPr>
                <w:lang w:val="sr-Latn-RS"/>
              </w:rPr>
              <w:t xml:space="preserve">  </w:t>
            </w:r>
          </w:p>
        </w:tc>
        <w:tc>
          <w:tcPr>
            <w:tcW w:w="813" w:type="dxa"/>
            <w:vAlign w:val="center"/>
          </w:tcPr>
          <w:p w14:paraId="224798DC" w14:textId="77777777" w:rsidR="003C394A" w:rsidRPr="00D06E2E" w:rsidRDefault="003C394A" w:rsidP="00556F2C">
            <w:pPr>
              <w:spacing w:after="0"/>
              <w:jc w:val="center"/>
              <w:rPr>
                <w:rFonts w:cs="Calibri"/>
                <w:color w:val="000000"/>
                <w:lang w:val="sr-Latn-RS"/>
              </w:rPr>
            </w:pPr>
            <w:r w:rsidRPr="00D06E2E">
              <w:rPr>
                <w:rFonts w:cs="Calibri"/>
                <w:color w:val="000000"/>
                <w:lang w:val="sr-Latn-RS"/>
              </w:rPr>
              <w:t>112</w:t>
            </w:r>
          </w:p>
        </w:tc>
        <w:tc>
          <w:tcPr>
            <w:tcW w:w="1237" w:type="dxa"/>
            <w:noWrap/>
            <w:vAlign w:val="center"/>
          </w:tcPr>
          <w:p w14:paraId="2FBFF8FA" w14:textId="1DAA0FDE" w:rsidR="003C394A" w:rsidRPr="00D06E2E" w:rsidRDefault="00F22B7C" w:rsidP="00556F2C">
            <w:pPr>
              <w:spacing w:after="0"/>
              <w:jc w:val="center"/>
              <w:rPr>
                <w:rFonts w:cs="Calibri"/>
                <w:color w:val="000000"/>
                <w:lang w:val="sr-Latn-RS"/>
              </w:rPr>
            </w:pPr>
            <w:r w:rsidRPr="00D06E2E">
              <w:rPr>
                <w:rFonts w:cs="Calibri"/>
                <w:color w:val="000000"/>
                <w:lang w:val="sr-Latn-RS"/>
              </w:rPr>
              <w:t>58.</w:t>
            </w:r>
            <w:r w:rsidR="003C394A" w:rsidRPr="00D06E2E">
              <w:rPr>
                <w:rFonts w:cs="Calibri"/>
                <w:color w:val="000000"/>
                <w:lang w:val="sr-Latn-RS"/>
              </w:rPr>
              <w:t>64%</w:t>
            </w:r>
          </w:p>
        </w:tc>
      </w:tr>
      <w:tr w:rsidR="003C394A" w:rsidRPr="00D06E2E" w14:paraId="53A61161" w14:textId="77777777" w:rsidTr="009433ED">
        <w:trPr>
          <w:trHeight w:hRule="exact" w:val="329"/>
          <w:jc w:val="center"/>
        </w:trPr>
        <w:tc>
          <w:tcPr>
            <w:tcW w:w="6880" w:type="dxa"/>
            <w:vAlign w:val="center"/>
          </w:tcPr>
          <w:p w14:paraId="34B18679" w14:textId="0D93BD2F" w:rsidR="003C394A" w:rsidRPr="00D06E2E" w:rsidRDefault="007016A2" w:rsidP="008F61B3">
            <w:pPr>
              <w:pStyle w:val="ListParagraph"/>
              <w:numPr>
                <w:ilvl w:val="1"/>
                <w:numId w:val="19"/>
              </w:numPr>
              <w:tabs>
                <w:tab w:val="left" w:pos="601"/>
              </w:tabs>
              <w:spacing w:after="0"/>
              <w:ind w:left="453" w:hanging="453"/>
              <w:contextualSpacing/>
              <w:rPr>
                <w:lang w:val="sr-Latn-RS"/>
              </w:rPr>
            </w:pPr>
            <w:r w:rsidRPr="00D06E2E">
              <w:rPr>
                <w:lang w:val="sr-Latn-RS"/>
              </w:rPr>
              <w:t>Incompetence</w:t>
            </w:r>
          </w:p>
        </w:tc>
        <w:tc>
          <w:tcPr>
            <w:tcW w:w="813" w:type="dxa"/>
            <w:vAlign w:val="center"/>
          </w:tcPr>
          <w:p w14:paraId="19809711" w14:textId="77777777" w:rsidR="003C394A" w:rsidRPr="00D06E2E" w:rsidRDefault="003C394A" w:rsidP="00556F2C">
            <w:pPr>
              <w:spacing w:after="0"/>
              <w:jc w:val="center"/>
              <w:rPr>
                <w:rFonts w:cs="Calibri"/>
                <w:color w:val="000000"/>
                <w:lang w:val="sr-Latn-RS"/>
              </w:rPr>
            </w:pPr>
            <w:r w:rsidRPr="00D06E2E">
              <w:rPr>
                <w:rFonts w:cs="Calibri"/>
                <w:color w:val="000000"/>
                <w:lang w:val="sr-Latn-RS"/>
              </w:rPr>
              <w:t>35</w:t>
            </w:r>
          </w:p>
        </w:tc>
        <w:tc>
          <w:tcPr>
            <w:tcW w:w="1237" w:type="dxa"/>
            <w:noWrap/>
            <w:vAlign w:val="center"/>
          </w:tcPr>
          <w:p w14:paraId="7530291C" w14:textId="5048AC57" w:rsidR="003C394A" w:rsidRPr="00D06E2E" w:rsidRDefault="00F22B7C" w:rsidP="00556F2C">
            <w:pPr>
              <w:spacing w:after="0"/>
              <w:jc w:val="center"/>
              <w:rPr>
                <w:rFonts w:cs="Calibri"/>
                <w:color w:val="000000"/>
                <w:lang w:val="sr-Latn-RS"/>
              </w:rPr>
            </w:pPr>
            <w:r w:rsidRPr="00D06E2E">
              <w:rPr>
                <w:rFonts w:cs="Calibri"/>
                <w:color w:val="000000"/>
                <w:lang w:val="sr-Latn-RS"/>
              </w:rPr>
              <w:t>18.</w:t>
            </w:r>
            <w:r w:rsidR="003C394A" w:rsidRPr="00D06E2E">
              <w:rPr>
                <w:rFonts w:cs="Calibri"/>
                <w:color w:val="000000"/>
                <w:lang w:val="sr-Latn-RS"/>
              </w:rPr>
              <w:t>32%</w:t>
            </w:r>
          </w:p>
        </w:tc>
      </w:tr>
      <w:tr w:rsidR="003C394A" w:rsidRPr="00D06E2E" w14:paraId="4B5E06D5" w14:textId="77777777" w:rsidTr="009433ED">
        <w:trPr>
          <w:trHeight w:hRule="exact" w:val="329"/>
          <w:jc w:val="center"/>
        </w:trPr>
        <w:tc>
          <w:tcPr>
            <w:tcW w:w="6880" w:type="dxa"/>
            <w:vAlign w:val="center"/>
          </w:tcPr>
          <w:p w14:paraId="24F599F8" w14:textId="700A612A" w:rsidR="003C394A" w:rsidRPr="00D06E2E" w:rsidRDefault="00F22B7C" w:rsidP="00F22B7C">
            <w:pPr>
              <w:pStyle w:val="ListParagraph"/>
              <w:numPr>
                <w:ilvl w:val="1"/>
                <w:numId w:val="19"/>
              </w:numPr>
              <w:tabs>
                <w:tab w:val="left" w:pos="601"/>
              </w:tabs>
              <w:spacing w:after="0"/>
              <w:ind w:left="453" w:hanging="453"/>
              <w:contextualSpacing/>
              <w:rPr>
                <w:lang w:val="sr-Latn-RS"/>
              </w:rPr>
            </w:pPr>
            <w:r w:rsidRPr="00D06E2E">
              <w:rPr>
                <w:lang w:val="sr-Latn-RS"/>
              </w:rPr>
              <w:t>Formally deficient complaint</w:t>
            </w:r>
            <w:r w:rsidR="003C394A" w:rsidRPr="00D06E2E">
              <w:rPr>
                <w:lang w:val="sr-Latn-RS"/>
              </w:rPr>
              <w:t xml:space="preserve"> </w:t>
            </w:r>
          </w:p>
        </w:tc>
        <w:tc>
          <w:tcPr>
            <w:tcW w:w="813" w:type="dxa"/>
            <w:vAlign w:val="center"/>
          </w:tcPr>
          <w:p w14:paraId="7D208FDD" w14:textId="77777777" w:rsidR="003C394A" w:rsidRPr="00D06E2E" w:rsidRDefault="003C394A" w:rsidP="00556F2C">
            <w:pPr>
              <w:spacing w:after="0"/>
              <w:jc w:val="center"/>
              <w:rPr>
                <w:rFonts w:cs="Calibri"/>
                <w:color w:val="000000"/>
                <w:lang w:val="sr-Latn-RS"/>
              </w:rPr>
            </w:pPr>
            <w:r w:rsidRPr="00D06E2E">
              <w:rPr>
                <w:rFonts w:cs="Calibri"/>
                <w:color w:val="000000"/>
                <w:lang w:val="sr-Latn-RS"/>
              </w:rPr>
              <w:t>22</w:t>
            </w:r>
          </w:p>
        </w:tc>
        <w:tc>
          <w:tcPr>
            <w:tcW w:w="1237" w:type="dxa"/>
            <w:noWrap/>
            <w:vAlign w:val="center"/>
          </w:tcPr>
          <w:p w14:paraId="653C0A24" w14:textId="26D55819" w:rsidR="003C394A" w:rsidRPr="00D06E2E" w:rsidRDefault="00F22B7C" w:rsidP="00556F2C">
            <w:pPr>
              <w:spacing w:after="0"/>
              <w:jc w:val="center"/>
              <w:rPr>
                <w:rFonts w:cs="Calibri"/>
                <w:color w:val="000000"/>
                <w:lang w:val="sr-Latn-RS"/>
              </w:rPr>
            </w:pPr>
            <w:r w:rsidRPr="00D06E2E">
              <w:rPr>
                <w:rFonts w:cs="Calibri"/>
                <w:color w:val="000000"/>
                <w:lang w:val="sr-Latn-RS"/>
              </w:rPr>
              <w:t>11.</w:t>
            </w:r>
            <w:r w:rsidR="003C394A" w:rsidRPr="00D06E2E">
              <w:rPr>
                <w:rFonts w:cs="Calibri"/>
                <w:color w:val="000000"/>
                <w:lang w:val="sr-Latn-RS"/>
              </w:rPr>
              <w:t>52%</w:t>
            </w:r>
          </w:p>
        </w:tc>
      </w:tr>
      <w:tr w:rsidR="003C394A" w:rsidRPr="00D06E2E" w14:paraId="22440C23" w14:textId="77777777" w:rsidTr="009433ED">
        <w:trPr>
          <w:trHeight w:hRule="exact" w:val="329"/>
          <w:jc w:val="center"/>
        </w:trPr>
        <w:tc>
          <w:tcPr>
            <w:tcW w:w="6880" w:type="dxa"/>
            <w:vAlign w:val="center"/>
          </w:tcPr>
          <w:p w14:paraId="7138E79A" w14:textId="26600CDC" w:rsidR="003C394A" w:rsidRPr="00D06E2E" w:rsidRDefault="00F22B7C" w:rsidP="008F61B3">
            <w:pPr>
              <w:pStyle w:val="ListParagraph"/>
              <w:numPr>
                <w:ilvl w:val="1"/>
                <w:numId w:val="19"/>
              </w:numPr>
              <w:tabs>
                <w:tab w:val="left" w:pos="601"/>
              </w:tabs>
              <w:spacing w:after="0"/>
              <w:ind w:left="453" w:hanging="453"/>
              <w:contextualSpacing/>
              <w:rPr>
                <w:lang w:val="sr-Latn-RS"/>
              </w:rPr>
            </w:pPr>
            <w:r w:rsidRPr="00D06E2E">
              <w:rPr>
                <w:lang w:val="sr-Latn-RS"/>
              </w:rPr>
              <w:t>Unauthorized applicant</w:t>
            </w:r>
          </w:p>
        </w:tc>
        <w:tc>
          <w:tcPr>
            <w:tcW w:w="813" w:type="dxa"/>
            <w:vAlign w:val="center"/>
          </w:tcPr>
          <w:p w14:paraId="2F19F110" w14:textId="77777777" w:rsidR="003C394A" w:rsidRPr="00D06E2E" w:rsidRDefault="003C394A" w:rsidP="00556F2C">
            <w:pPr>
              <w:spacing w:after="0"/>
              <w:jc w:val="center"/>
              <w:rPr>
                <w:rFonts w:cs="Calibri"/>
                <w:color w:val="000000"/>
                <w:lang w:val="sr-Latn-RS"/>
              </w:rPr>
            </w:pPr>
            <w:r w:rsidRPr="00D06E2E">
              <w:rPr>
                <w:rFonts w:cs="Calibri"/>
                <w:color w:val="000000"/>
                <w:lang w:val="sr-Latn-RS"/>
              </w:rPr>
              <w:t>18</w:t>
            </w:r>
          </w:p>
        </w:tc>
        <w:tc>
          <w:tcPr>
            <w:tcW w:w="1237" w:type="dxa"/>
            <w:noWrap/>
            <w:vAlign w:val="center"/>
          </w:tcPr>
          <w:p w14:paraId="1141BEDE" w14:textId="763F2A12" w:rsidR="003C394A" w:rsidRPr="00D06E2E" w:rsidRDefault="00F22B7C" w:rsidP="00556F2C">
            <w:pPr>
              <w:spacing w:after="0"/>
              <w:jc w:val="center"/>
              <w:rPr>
                <w:rFonts w:cs="Calibri"/>
                <w:color w:val="000000"/>
                <w:lang w:val="sr-Latn-RS"/>
              </w:rPr>
            </w:pPr>
            <w:r w:rsidRPr="00D06E2E">
              <w:rPr>
                <w:rFonts w:cs="Calibri"/>
                <w:color w:val="000000"/>
                <w:lang w:val="sr-Latn-RS"/>
              </w:rPr>
              <w:t>9.</w:t>
            </w:r>
            <w:r w:rsidR="003C394A" w:rsidRPr="00D06E2E">
              <w:rPr>
                <w:rFonts w:cs="Calibri"/>
                <w:color w:val="000000"/>
                <w:lang w:val="sr-Latn-RS"/>
              </w:rPr>
              <w:t>42%</w:t>
            </w:r>
          </w:p>
        </w:tc>
      </w:tr>
      <w:tr w:rsidR="003C394A" w:rsidRPr="00D06E2E" w14:paraId="2092F8D4" w14:textId="77777777" w:rsidTr="009433ED">
        <w:trPr>
          <w:trHeight w:hRule="exact" w:val="329"/>
          <w:jc w:val="center"/>
        </w:trPr>
        <w:tc>
          <w:tcPr>
            <w:tcW w:w="6880" w:type="dxa"/>
            <w:vAlign w:val="center"/>
          </w:tcPr>
          <w:p w14:paraId="27926B1D" w14:textId="26229044" w:rsidR="003C394A" w:rsidRPr="00D06E2E" w:rsidRDefault="00F22B7C" w:rsidP="008F61B3">
            <w:pPr>
              <w:pStyle w:val="ListParagraph"/>
              <w:numPr>
                <w:ilvl w:val="1"/>
                <w:numId w:val="19"/>
              </w:numPr>
              <w:tabs>
                <w:tab w:val="left" w:pos="601"/>
              </w:tabs>
              <w:spacing w:after="0"/>
              <w:ind w:left="453" w:hanging="453"/>
              <w:contextualSpacing/>
              <w:rPr>
                <w:lang w:val="sr-Latn-RS"/>
              </w:rPr>
            </w:pPr>
            <w:r w:rsidRPr="00D06E2E">
              <w:rPr>
                <w:lang w:val="sr-Latn-RS"/>
              </w:rPr>
              <w:t>Anonymous complaint</w:t>
            </w:r>
          </w:p>
        </w:tc>
        <w:tc>
          <w:tcPr>
            <w:tcW w:w="813" w:type="dxa"/>
            <w:vAlign w:val="center"/>
          </w:tcPr>
          <w:p w14:paraId="37240D8E" w14:textId="77777777" w:rsidR="003C394A" w:rsidRPr="00D06E2E" w:rsidRDefault="003C394A" w:rsidP="00556F2C">
            <w:pPr>
              <w:spacing w:after="0"/>
              <w:jc w:val="center"/>
              <w:rPr>
                <w:rFonts w:cs="Calibri"/>
                <w:color w:val="000000"/>
                <w:lang w:val="sr-Latn-RS"/>
              </w:rPr>
            </w:pPr>
            <w:r w:rsidRPr="00D06E2E">
              <w:rPr>
                <w:rFonts w:cs="Calibri"/>
                <w:color w:val="000000"/>
                <w:lang w:val="sr-Latn-RS"/>
              </w:rPr>
              <w:t>4</w:t>
            </w:r>
          </w:p>
        </w:tc>
        <w:tc>
          <w:tcPr>
            <w:tcW w:w="1237" w:type="dxa"/>
            <w:noWrap/>
            <w:vAlign w:val="center"/>
          </w:tcPr>
          <w:p w14:paraId="7D28C824" w14:textId="560BE81D" w:rsidR="003C394A" w:rsidRPr="00D06E2E" w:rsidRDefault="00F22B7C" w:rsidP="00556F2C">
            <w:pPr>
              <w:spacing w:after="0"/>
              <w:jc w:val="center"/>
              <w:rPr>
                <w:rFonts w:cs="Calibri"/>
                <w:color w:val="000000"/>
                <w:lang w:val="sr-Latn-RS"/>
              </w:rPr>
            </w:pPr>
            <w:r w:rsidRPr="00D06E2E">
              <w:rPr>
                <w:rFonts w:cs="Calibri"/>
                <w:color w:val="000000"/>
                <w:lang w:val="sr-Latn-RS"/>
              </w:rPr>
              <w:t>2.</w:t>
            </w:r>
            <w:r w:rsidR="003C394A" w:rsidRPr="00D06E2E">
              <w:rPr>
                <w:rFonts w:cs="Calibri"/>
                <w:color w:val="000000"/>
                <w:lang w:val="sr-Latn-RS"/>
              </w:rPr>
              <w:t>09%</w:t>
            </w:r>
          </w:p>
        </w:tc>
      </w:tr>
      <w:tr w:rsidR="003C394A" w:rsidRPr="00D06E2E" w14:paraId="64CD1326" w14:textId="77777777" w:rsidTr="009433ED">
        <w:trPr>
          <w:trHeight w:hRule="exact" w:val="329"/>
          <w:jc w:val="center"/>
        </w:trPr>
        <w:tc>
          <w:tcPr>
            <w:tcW w:w="6880" w:type="dxa"/>
            <w:vAlign w:val="center"/>
          </w:tcPr>
          <w:p w14:paraId="41609849" w14:textId="507149C4" w:rsidR="003C394A" w:rsidRPr="00D06E2E" w:rsidRDefault="00F22B7C" w:rsidP="008F61B3">
            <w:pPr>
              <w:pStyle w:val="ListParagraph"/>
              <w:numPr>
                <w:ilvl w:val="0"/>
                <w:numId w:val="19"/>
              </w:numPr>
              <w:spacing w:after="0"/>
              <w:ind w:left="284" w:hanging="284"/>
              <w:contextualSpacing/>
              <w:rPr>
                <w:b/>
                <w:lang w:val="sr-Latn-RS"/>
              </w:rPr>
            </w:pPr>
            <w:r w:rsidRPr="00D06E2E">
              <w:rPr>
                <w:b/>
                <w:lang w:val="sr-Latn-RS"/>
              </w:rPr>
              <w:t>Informed and advised complainant</w:t>
            </w:r>
          </w:p>
        </w:tc>
        <w:tc>
          <w:tcPr>
            <w:tcW w:w="813" w:type="dxa"/>
            <w:vAlign w:val="center"/>
          </w:tcPr>
          <w:p w14:paraId="31BEF5FF" w14:textId="77777777" w:rsidR="003C394A" w:rsidRPr="00D06E2E" w:rsidRDefault="003C394A" w:rsidP="00556F2C">
            <w:pPr>
              <w:spacing w:after="0"/>
              <w:jc w:val="center"/>
              <w:rPr>
                <w:rFonts w:cs="Calibri"/>
                <w:b/>
                <w:color w:val="000000"/>
                <w:lang w:val="sr-Latn-RS"/>
              </w:rPr>
            </w:pPr>
            <w:r w:rsidRPr="00D06E2E">
              <w:rPr>
                <w:rFonts w:cs="Calibri"/>
                <w:b/>
                <w:color w:val="000000"/>
                <w:lang w:val="sr-Latn-RS"/>
              </w:rPr>
              <w:t>91</w:t>
            </w:r>
          </w:p>
        </w:tc>
        <w:tc>
          <w:tcPr>
            <w:tcW w:w="1237" w:type="dxa"/>
            <w:noWrap/>
            <w:vAlign w:val="center"/>
          </w:tcPr>
          <w:p w14:paraId="05F00A70" w14:textId="6F3C1665" w:rsidR="003C394A" w:rsidRPr="00D06E2E" w:rsidRDefault="00F22B7C" w:rsidP="00556F2C">
            <w:pPr>
              <w:spacing w:after="0"/>
              <w:jc w:val="center"/>
              <w:rPr>
                <w:rFonts w:cs="Calibri"/>
                <w:b/>
                <w:color w:val="000000"/>
                <w:lang w:val="sr-Latn-RS"/>
              </w:rPr>
            </w:pPr>
            <w:r w:rsidRPr="00D06E2E">
              <w:rPr>
                <w:rFonts w:cs="Calibri"/>
                <w:b/>
                <w:color w:val="000000"/>
                <w:lang w:val="sr-Latn-RS"/>
              </w:rPr>
              <w:t>21.</w:t>
            </w:r>
            <w:r w:rsidR="003046DA" w:rsidRPr="00D06E2E">
              <w:rPr>
                <w:rFonts w:cs="Calibri"/>
                <w:b/>
                <w:color w:val="000000"/>
                <w:lang w:val="sr-Latn-RS"/>
              </w:rPr>
              <w:t>67</w:t>
            </w:r>
            <w:r w:rsidR="003C394A" w:rsidRPr="00D06E2E">
              <w:rPr>
                <w:rFonts w:cs="Calibri"/>
                <w:b/>
                <w:color w:val="000000"/>
                <w:lang w:val="sr-Latn-RS"/>
              </w:rPr>
              <w:t>%</w:t>
            </w:r>
          </w:p>
        </w:tc>
      </w:tr>
      <w:tr w:rsidR="003C394A" w:rsidRPr="00D06E2E" w14:paraId="6ED129D1" w14:textId="77777777" w:rsidTr="009433ED">
        <w:trPr>
          <w:trHeight w:hRule="exact" w:val="329"/>
          <w:jc w:val="center"/>
        </w:trPr>
        <w:tc>
          <w:tcPr>
            <w:tcW w:w="6880" w:type="dxa"/>
            <w:vAlign w:val="center"/>
          </w:tcPr>
          <w:p w14:paraId="2A6475F1" w14:textId="4953AB9E" w:rsidR="003C394A" w:rsidRPr="00D06E2E" w:rsidRDefault="00F22B7C" w:rsidP="008F61B3">
            <w:pPr>
              <w:pStyle w:val="ListParagraph"/>
              <w:numPr>
                <w:ilvl w:val="0"/>
                <w:numId w:val="19"/>
              </w:numPr>
              <w:spacing w:after="0"/>
              <w:ind w:left="284" w:hanging="284"/>
              <w:contextualSpacing/>
              <w:rPr>
                <w:b/>
                <w:lang w:val="sr-Latn-RS"/>
              </w:rPr>
            </w:pPr>
            <w:r w:rsidRPr="00D06E2E">
              <w:rPr>
                <w:b/>
                <w:lang w:val="sr-Latn-RS"/>
              </w:rPr>
              <w:t>Unfounded complaints</w:t>
            </w:r>
            <w:r w:rsidR="003C394A" w:rsidRPr="00D06E2E">
              <w:rPr>
                <w:b/>
                <w:lang w:val="sr-Latn-RS"/>
              </w:rPr>
              <w:t xml:space="preserve">  </w:t>
            </w:r>
          </w:p>
        </w:tc>
        <w:tc>
          <w:tcPr>
            <w:tcW w:w="813" w:type="dxa"/>
            <w:vAlign w:val="center"/>
          </w:tcPr>
          <w:p w14:paraId="6B0D6FEC" w14:textId="77777777" w:rsidR="003C394A" w:rsidRPr="00D06E2E" w:rsidRDefault="003C394A" w:rsidP="00556F2C">
            <w:pPr>
              <w:spacing w:after="0"/>
              <w:jc w:val="center"/>
              <w:rPr>
                <w:rFonts w:cs="Calibri"/>
                <w:b/>
                <w:color w:val="000000"/>
                <w:lang w:val="sr-Latn-RS"/>
              </w:rPr>
            </w:pPr>
            <w:r w:rsidRPr="00D06E2E">
              <w:rPr>
                <w:rFonts w:cs="Calibri"/>
                <w:b/>
                <w:color w:val="000000"/>
                <w:lang w:val="sr-Latn-RS"/>
              </w:rPr>
              <w:t>59</w:t>
            </w:r>
          </w:p>
        </w:tc>
        <w:tc>
          <w:tcPr>
            <w:tcW w:w="1237" w:type="dxa"/>
            <w:noWrap/>
            <w:vAlign w:val="center"/>
          </w:tcPr>
          <w:p w14:paraId="7D8B949C" w14:textId="0C5AD27A" w:rsidR="003C394A" w:rsidRPr="00D06E2E" w:rsidRDefault="00F22B7C" w:rsidP="00556F2C">
            <w:pPr>
              <w:spacing w:after="0"/>
              <w:jc w:val="center"/>
              <w:rPr>
                <w:rFonts w:cs="Calibri"/>
                <w:b/>
                <w:color w:val="000000"/>
                <w:lang w:val="sr-Latn-RS"/>
              </w:rPr>
            </w:pPr>
            <w:r w:rsidRPr="00D06E2E">
              <w:rPr>
                <w:rFonts w:cs="Calibri"/>
                <w:b/>
                <w:color w:val="000000"/>
                <w:lang w:val="sr-Latn-RS"/>
              </w:rPr>
              <w:t>14.</w:t>
            </w:r>
            <w:r w:rsidR="003C394A" w:rsidRPr="00D06E2E">
              <w:rPr>
                <w:rFonts w:cs="Calibri"/>
                <w:b/>
                <w:color w:val="000000"/>
                <w:lang w:val="sr-Latn-RS"/>
              </w:rPr>
              <w:t>05%</w:t>
            </w:r>
          </w:p>
        </w:tc>
      </w:tr>
      <w:tr w:rsidR="003C394A" w:rsidRPr="00D06E2E" w14:paraId="71F3CA04" w14:textId="77777777" w:rsidTr="009433ED">
        <w:trPr>
          <w:trHeight w:hRule="exact" w:val="329"/>
          <w:jc w:val="center"/>
        </w:trPr>
        <w:tc>
          <w:tcPr>
            <w:tcW w:w="6880" w:type="dxa"/>
            <w:vAlign w:val="center"/>
          </w:tcPr>
          <w:p w14:paraId="693E2E96" w14:textId="636F19FB" w:rsidR="003C394A" w:rsidRPr="00D06E2E" w:rsidRDefault="00F22B7C" w:rsidP="008F61B3">
            <w:pPr>
              <w:pStyle w:val="ListParagraph"/>
              <w:numPr>
                <w:ilvl w:val="0"/>
                <w:numId w:val="19"/>
              </w:numPr>
              <w:spacing w:after="0"/>
              <w:ind w:left="284" w:hanging="284"/>
              <w:contextualSpacing/>
              <w:rPr>
                <w:b/>
                <w:lang w:val="sr-Latn-RS"/>
              </w:rPr>
            </w:pPr>
            <w:r w:rsidRPr="00D06E2E">
              <w:rPr>
                <w:b/>
                <w:lang w:val="sr-Latn-RS"/>
              </w:rPr>
              <w:t>Opinion of the Protector of Citizens</w:t>
            </w:r>
          </w:p>
        </w:tc>
        <w:tc>
          <w:tcPr>
            <w:tcW w:w="813" w:type="dxa"/>
            <w:vAlign w:val="center"/>
          </w:tcPr>
          <w:p w14:paraId="118E0D7B" w14:textId="77777777" w:rsidR="003C394A" w:rsidRPr="00D06E2E" w:rsidRDefault="003C394A" w:rsidP="00556F2C">
            <w:pPr>
              <w:spacing w:after="0"/>
              <w:jc w:val="center"/>
              <w:rPr>
                <w:rFonts w:cs="Calibri"/>
                <w:b/>
                <w:color w:val="000000"/>
                <w:lang w:val="sr-Latn-RS"/>
              </w:rPr>
            </w:pPr>
            <w:r w:rsidRPr="00D06E2E">
              <w:rPr>
                <w:rFonts w:cs="Calibri"/>
                <w:b/>
                <w:color w:val="000000"/>
                <w:lang w:val="sr-Latn-RS"/>
              </w:rPr>
              <w:t>29</w:t>
            </w:r>
          </w:p>
        </w:tc>
        <w:tc>
          <w:tcPr>
            <w:tcW w:w="1237" w:type="dxa"/>
            <w:noWrap/>
            <w:vAlign w:val="center"/>
          </w:tcPr>
          <w:p w14:paraId="11A7EB1F" w14:textId="670B29ED" w:rsidR="003C394A" w:rsidRPr="00D06E2E" w:rsidRDefault="003046DA" w:rsidP="00556F2C">
            <w:pPr>
              <w:spacing w:after="0"/>
              <w:jc w:val="center"/>
              <w:rPr>
                <w:rFonts w:cs="Calibri"/>
                <w:b/>
                <w:color w:val="000000"/>
                <w:lang w:val="sr-Latn-RS"/>
              </w:rPr>
            </w:pPr>
            <w:r w:rsidRPr="00D06E2E">
              <w:rPr>
                <w:rFonts w:cs="Calibri"/>
                <w:b/>
                <w:color w:val="000000"/>
                <w:lang w:val="sr-Latn-RS"/>
              </w:rPr>
              <w:t>6</w:t>
            </w:r>
            <w:r w:rsidR="00F22B7C" w:rsidRPr="00D06E2E">
              <w:rPr>
                <w:rFonts w:cs="Calibri"/>
                <w:b/>
                <w:color w:val="000000"/>
                <w:lang w:val="sr-Latn-RS"/>
              </w:rPr>
              <w:t>.</w:t>
            </w:r>
            <w:r w:rsidRPr="00D06E2E">
              <w:rPr>
                <w:rFonts w:cs="Calibri"/>
                <w:b/>
                <w:color w:val="000000"/>
                <w:lang w:val="sr-Latn-RS"/>
              </w:rPr>
              <w:t>9</w:t>
            </w:r>
            <w:r w:rsidR="003C394A" w:rsidRPr="00D06E2E">
              <w:rPr>
                <w:rFonts w:cs="Calibri"/>
                <w:b/>
                <w:color w:val="000000"/>
                <w:lang w:val="sr-Latn-RS"/>
              </w:rPr>
              <w:t>0%</w:t>
            </w:r>
          </w:p>
        </w:tc>
      </w:tr>
      <w:tr w:rsidR="003C394A" w:rsidRPr="00D06E2E" w14:paraId="733474D0" w14:textId="77777777" w:rsidTr="00F22B7C">
        <w:trPr>
          <w:trHeight w:hRule="exact" w:val="563"/>
          <w:jc w:val="center"/>
        </w:trPr>
        <w:tc>
          <w:tcPr>
            <w:tcW w:w="6880" w:type="dxa"/>
            <w:vAlign w:val="center"/>
          </w:tcPr>
          <w:p w14:paraId="3099FFC7" w14:textId="3CB7BA2A" w:rsidR="003C394A" w:rsidRPr="00D06E2E" w:rsidRDefault="00F22B7C" w:rsidP="008F61B3">
            <w:pPr>
              <w:pStyle w:val="ListParagraph"/>
              <w:numPr>
                <w:ilvl w:val="0"/>
                <w:numId w:val="19"/>
              </w:numPr>
              <w:spacing w:after="0"/>
              <w:ind w:left="284" w:hanging="284"/>
              <w:contextualSpacing/>
              <w:rPr>
                <w:b/>
                <w:lang w:val="sr-Latn-RS"/>
              </w:rPr>
            </w:pPr>
            <w:r w:rsidRPr="00D06E2E">
              <w:rPr>
                <w:b/>
                <w:lang w:val="sr-Latn-RS"/>
              </w:rPr>
              <w:t>Cases closed by recommendations from the expedited oversight procedure</w:t>
            </w:r>
          </w:p>
        </w:tc>
        <w:tc>
          <w:tcPr>
            <w:tcW w:w="813" w:type="dxa"/>
            <w:vAlign w:val="center"/>
          </w:tcPr>
          <w:p w14:paraId="1EF646BE" w14:textId="77777777" w:rsidR="003C394A" w:rsidRPr="00D06E2E" w:rsidRDefault="003C394A" w:rsidP="00556F2C">
            <w:pPr>
              <w:spacing w:after="0"/>
              <w:jc w:val="center"/>
              <w:rPr>
                <w:rFonts w:cs="Calibri"/>
                <w:b/>
                <w:color w:val="000000"/>
                <w:lang w:val="sr-Latn-RS"/>
              </w:rPr>
            </w:pPr>
            <w:r w:rsidRPr="00D06E2E">
              <w:rPr>
                <w:rFonts w:cs="Calibri"/>
                <w:b/>
                <w:color w:val="000000"/>
                <w:lang w:val="sr-Latn-RS"/>
              </w:rPr>
              <w:t>29</w:t>
            </w:r>
          </w:p>
        </w:tc>
        <w:tc>
          <w:tcPr>
            <w:tcW w:w="1237" w:type="dxa"/>
            <w:noWrap/>
            <w:vAlign w:val="center"/>
          </w:tcPr>
          <w:p w14:paraId="6904AB81" w14:textId="2490AD17" w:rsidR="003C394A" w:rsidRPr="00D06E2E" w:rsidRDefault="003046DA" w:rsidP="00556F2C">
            <w:pPr>
              <w:spacing w:after="0"/>
              <w:jc w:val="center"/>
              <w:rPr>
                <w:rFonts w:cs="Calibri"/>
                <w:b/>
                <w:color w:val="000000"/>
                <w:lang w:val="sr-Latn-RS"/>
              </w:rPr>
            </w:pPr>
            <w:r w:rsidRPr="00D06E2E">
              <w:rPr>
                <w:rFonts w:cs="Calibri"/>
                <w:b/>
                <w:color w:val="000000"/>
                <w:lang w:val="sr-Latn-RS"/>
              </w:rPr>
              <w:t>6</w:t>
            </w:r>
            <w:r w:rsidR="00F22B7C" w:rsidRPr="00D06E2E">
              <w:rPr>
                <w:rFonts w:cs="Calibri"/>
                <w:b/>
                <w:color w:val="000000"/>
                <w:lang w:val="sr-Latn-RS"/>
              </w:rPr>
              <w:t>.</w:t>
            </w:r>
            <w:r w:rsidRPr="00D06E2E">
              <w:rPr>
                <w:rFonts w:cs="Calibri"/>
                <w:b/>
                <w:color w:val="000000"/>
                <w:lang w:val="sr-Latn-RS"/>
              </w:rPr>
              <w:t>9</w:t>
            </w:r>
            <w:r w:rsidR="003C394A" w:rsidRPr="00D06E2E">
              <w:rPr>
                <w:rFonts w:cs="Calibri"/>
                <w:b/>
                <w:color w:val="000000"/>
                <w:lang w:val="sr-Latn-RS"/>
              </w:rPr>
              <w:t>0%</w:t>
            </w:r>
          </w:p>
        </w:tc>
      </w:tr>
      <w:tr w:rsidR="003C394A" w:rsidRPr="00D06E2E" w14:paraId="2DC25145" w14:textId="77777777" w:rsidTr="009433ED">
        <w:trPr>
          <w:trHeight w:hRule="exact" w:val="329"/>
          <w:jc w:val="center"/>
        </w:trPr>
        <w:tc>
          <w:tcPr>
            <w:tcW w:w="6880" w:type="dxa"/>
            <w:vAlign w:val="center"/>
          </w:tcPr>
          <w:p w14:paraId="3E72408E" w14:textId="1FD4DB0C" w:rsidR="003C394A" w:rsidRPr="00D06E2E" w:rsidRDefault="00F22B7C" w:rsidP="008F61B3">
            <w:pPr>
              <w:pStyle w:val="ListParagraph"/>
              <w:numPr>
                <w:ilvl w:val="0"/>
                <w:numId w:val="19"/>
              </w:numPr>
              <w:spacing w:after="0"/>
              <w:ind w:left="284" w:hanging="284"/>
              <w:contextualSpacing/>
              <w:rPr>
                <w:b/>
                <w:lang w:val="sr-Latn-RS"/>
              </w:rPr>
            </w:pPr>
            <w:r w:rsidRPr="00D06E2E">
              <w:rPr>
                <w:b/>
                <w:lang w:val="sr-Latn-RS"/>
              </w:rPr>
              <w:t>Cases closed by recommendations from oversight procedure</w:t>
            </w:r>
          </w:p>
        </w:tc>
        <w:tc>
          <w:tcPr>
            <w:tcW w:w="813" w:type="dxa"/>
            <w:vAlign w:val="center"/>
          </w:tcPr>
          <w:p w14:paraId="40235E21" w14:textId="77777777" w:rsidR="003C394A" w:rsidRPr="00D06E2E" w:rsidRDefault="003C394A" w:rsidP="00556F2C">
            <w:pPr>
              <w:spacing w:after="0"/>
              <w:jc w:val="center"/>
              <w:rPr>
                <w:rFonts w:cs="Calibri"/>
                <w:b/>
                <w:color w:val="000000"/>
                <w:lang w:val="sr-Latn-RS"/>
              </w:rPr>
            </w:pPr>
            <w:r w:rsidRPr="00D06E2E">
              <w:rPr>
                <w:rFonts w:cs="Calibri"/>
                <w:b/>
                <w:color w:val="000000"/>
                <w:lang w:val="sr-Latn-RS"/>
              </w:rPr>
              <w:t>12</w:t>
            </w:r>
          </w:p>
        </w:tc>
        <w:tc>
          <w:tcPr>
            <w:tcW w:w="1237" w:type="dxa"/>
            <w:noWrap/>
            <w:vAlign w:val="center"/>
          </w:tcPr>
          <w:p w14:paraId="27DEE9F6" w14:textId="4F0D3414" w:rsidR="003C394A" w:rsidRPr="00D06E2E" w:rsidRDefault="00F22B7C" w:rsidP="00556F2C">
            <w:pPr>
              <w:spacing w:after="0"/>
              <w:jc w:val="center"/>
              <w:rPr>
                <w:rFonts w:cs="Calibri"/>
                <w:b/>
                <w:color w:val="000000"/>
                <w:lang w:val="sr-Latn-RS"/>
              </w:rPr>
            </w:pPr>
            <w:r w:rsidRPr="00D06E2E">
              <w:rPr>
                <w:rFonts w:cs="Calibri"/>
                <w:b/>
                <w:color w:val="000000"/>
                <w:lang w:val="sr-Latn-RS"/>
              </w:rPr>
              <w:t>2.</w:t>
            </w:r>
            <w:r w:rsidR="003C394A" w:rsidRPr="00D06E2E">
              <w:rPr>
                <w:rFonts w:cs="Calibri"/>
                <w:b/>
                <w:color w:val="000000"/>
                <w:lang w:val="sr-Latn-RS"/>
              </w:rPr>
              <w:t>86%</w:t>
            </w:r>
          </w:p>
        </w:tc>
      </w:tr>
      <w:tr w:rsidR="003C394A" w:rsidRPr="00D06E2E" w14:paraId="00801519" w14:textId="77777777" w:rsidTr="009433ED">
        <w:trPr>
          <w:trHeight w:hRule="exact" w:val="329"/>
          <w:jc w:val="center"/>
        </w:trPr>
        <w:tc>
          <w:tcPr>
            <w:tcW w:w="6880" w:type="dxa"/>
            <w:vAlign w:val="center"/>
          </w:tcPr>
          <w:p w14:paraId="12B481CF" w14:textId="20F53CC9" w:rsidR="003C394A" w:rsidRPr="00D06E2E" w:rsidRDefault="00F22B7C" w:rsidP="008F61B3">
            <w:pPr>
              <w:pStyle w:val="ListParagraph"/>
              <w:numPr>
                <w:ilvl w:val="0"/>
                <w:numId w:val="19"/>
              </w:numPr>
              <w:spacing w:after="0"/>
              <w:ind w:left="318" w:hanging="318"/>
              <w:contextualSpacing/>
              <w:rPr>
                <w:b/>
                <w:lang w:val="sr-Latn-RS"/>
              </w:rPr>
            </w:pPr>
            <w:r w:rsidRPr="00D06E2E">
              <w:rPr>
                <w:b/>
                <w:lang w:val="sr-Latn-RS"/>
              </w:rPr>
              <w:t>Withdrawal of the complainant</w:t>
            </w:r>
          </w:p>
        </w:tc>
        <w:tc>
          <w:tcPr>
            <w:tcW w:w="813" w:type="dxa"/>
            <w:vAlign w:val="center"/>
          </w:tcPr>
          <w:p w14:paraId="31E4AF74" w14:textId="77777777" w:rsidR="003C394A" w:rsidRPr="00D06E2E" w:rsidRDefault="003C394A" w:rsidP="00556F2C">
            <w:pPr>
              <w:jc w:val="center"/>
              <w:rPr>
                <w:rFonts w:cs="Calibri"/>
                <w:b/>
                <w:color w:val="000000"/>
                <w:lang w:val="sr-Latn-RS"/>
              </w:rPr>
            </w:pPr>
            <w:r w:rsidRPr="00D06E2E">
              <w:rPr>
                <w:rFonts w:cs="Calibri"/>
                <w:b/>
                <w:color w:val="000000"/>
                <w:lang w:val="sr-Latn-RS"/>
              </w:rPr>
              <w:t>9</w:t>
            </w:r>
          </w:p>
        </w:tc>
        <w:tc>
          <w:tcPr>
            <w:tcW w:w="1237" w:type="dxa"/>
            <w:noWrap/>
            <w:vAlign w:val="center"/>
          </w:tcPr>
          <w:p w14:paraId="2D2BB308" w14:textId="18A639B3" w:rsidR="003C394A" w:rsidRPr="00D06E2E" w:rsidRDefault="00F22B7C" w:rsidP="00556F2C">
            <w:pPr>
              <w:jc w:val="center"/>
              <w:rPr>
                <w:rFonts w:cs="Calibri"/>
                <w:b/>
                <w:color w:val="000000"/>
                <w:lang w:val="sr-Latn-RS"/>
              </w:rPr>
            </w:pPr>
            <w:r w:rsidRPr="00D06E2E">
              <w:rPr>
                <w:rFonts w:cs="Calibri"/>
                <w:b/>
                <w:color w:val="000000"/>
                <w:lang w:val="sr-Latn-RS"/>
              </w:rPr>
              <w:t>2.</w:t>
            </w:r>
            <w:r w:rsidR="003C394A" w:rsidRPr="00D06E2E">
              <w:rPr>
                <w:rFonts w:cs="Calibri"/>
                <w:b/>
                <w:color w:val="000000"/>
                <w:lang w:val="sr-Latn-RS"/>
              </w:rPr>
              <w:t>14%</w:t>
            </w:r>
          </w:p>
        </w:tc>
      </w:tr>
      <w:tr w:rsidR="003C394A" w:rsidRPr="00D06E2E" w14:paraId="493D377D" w14:textId="77777777" w:rsidTr="009433ED">
        <w:trPr>
          <w:trHeight w:hRule="exact" w:val="329"/>
          <w:jc w:val="center"/>
        </w:trPr>
        <w:tc>
          <w:tcPr>
            <w:tcW w:w="6880" w:type="dxa"/>
            <w:vAlign w:val="center"/>
          </w:tcPr>
          <w:p w14:paraId="4CB615BB" w14:textId="0FE56466" w:rsidR="003C394A" w:rsidRPr="00D06E2E" w:rsidRDefault="00F22B7C" w:rsidP="00556F2C">
            <w:pPr>
              <w:spacing w:after="0"/>
              <w:rPr>
                <w:b/>
                <w:bCs/>
                <w:lang w:val="sr-Latn-RS"/>
              </w:rPr>
            </w:pPr>
            <w:r w:rsidRPr="00D06E2E">
              <w:rPr>
                <w:b/>
                <w:bCs/>
                <w:lang w:val="sr-Latn-RS"/>
              </w:rPr>
              <w:t>Total</w:t>
            </w:r>
          </w:p>
        </w:tc>
        <w:tc>
          <w:tcPr>
            <w:tcW w:w="813" w:type="dxa"/>
            <w:vAlign w:val="center"/>
          </w:tcPr>
          <w:p w14:paraId="006C82E0" w14:textId="77777777" w:rsidR="003C394A" w:rsidRPr="00D06E2E" w:rsidRDefault="003C394A" w:rsidP="00556F2C">
            <w:pPr>
              <w:spacing w:after="0"/>
              <w:jc w:val="center"/>
              <w:rPr>
                <w:b/>
                <w:bCs/>
                <w:lang w:val="sr-Latn-RS"/>
              </w:rPr>
            </w:pPr>
            <w:r w:rsidRPr="00D06E2E">
              <w:rPr>
                <w:b/>
                <w:bCs/>
                <w:lang w:val="sr-Latn-RS"/>
              </w:rPr>
              <w:t>420</w:t>
            </w:r>
          </w:p>
        </w:tc>
        <w:tc>
          <w:tcPr>
            <w:tcW w:w="1237" w:type="dxa"/>
            <w:noWrap/>
            <w:vAlign w:val="center"/>
          </w:tcPr>
          <w:p w14:paraId="5DE58571" w14:textId="77777777" w:rsidR="003C394A" w:rsidRPr="00D06E2E" w:rsidRDefault="003C394A" w:rsidP="00556F2C">
            <w:pPr>
              <w:spacing w:after="0"/>
              <w:jc w:val="center"/>
              <w:rPr>
                <w:b/>
                <w:bCs/>
                <w:lang w:val="sr-Latn-RS"/>
              </w:rPr>
            </w:pPr>
            <w:r w:rsidRPr="00D06E2E">
              <w:rPr>
                <w:b/>
                <w:bCs/>
                <w:lang w:val="sr-Latn-RS"/>
              </w:rPr>
              <w:t>100%</w:t>
            </w:r>
          </w:p>
        </w:tc>
      </w:tr>
    </w:tbl>
    <w:p w14:paraId="4C8689E1" w14:textId="77777777" w:rsidR="003C394A" w:rsidRPr="00D06E2E" w:rsidRDefault="003C394A" w:rsidP="003C394A">
      <w:pPr>
        <w:spacing w:after="0"/>
        <w:ind w:firstLine="720"/>
        <w:rPr>
          <w:lang w:val="sr-Latn-RS"/>
        </w:rPr>
      </w:pPr>
    </w:p>
    <w:p w14:paraId="45E58C02" w14:textId="77777777" w:rsidR="00F22B7C" w:rsidRPr="00D06E2E" w:rsidRDefault="00F22B7C" w:rsidP="00F22B7C">
      <w:pPr>
        <w:rPr>
          <w:lang w:val="sr-Latn-RS"/>
        </w:rPr>
      </w:pPr>
      <w:r w:rsidRPr="00D06E2E">
        <w:rPr>
          <w:rFonts w:cs="Arial"/>
          <w:lang w:val="sr-Latn-RS"/>
        </w:rPr>
        <w:t xml:space="preserve">The greatest number of received complaints is </w:t>
      </w:r>
      <w:r w:rsidRPr="00D06E2E">
        <w:rPr>
          <w:rFonts w:cstheme="minorHAnsi"/>
          <w:lang w:val="sr-Latn-RS"/>
        </w:rPr>
        <w:t xml:space="preserve">inadmissible </w:t>
      </w:r>
      <w:r w:rsidRPr="00D06E2E">
        <w:rPr>
          <w:rFonts w:cs="Arial"/>
          <w:lang w:val="sr-Latn-RS"/>
        </w:rPr>
        <w:t xml:space="preserve">by the Protector of Citizens because the legally prescribed conditions for acting upon them are not fulfilled. The complaints are </w:t>
      </w:r>
      <w:r w:rsidRPr="00D06E2E">
        <w:rPr>
          <w:rFonts w:cstheme="minorHAnsi"/>
          <w:lang w:val="sr-Latn-RS"/>
        </w:rPr>
        <w:t xml:space="preserve">inadmissible </w:t>
      </w:r>
      <w:r w:rsidRPr="00D06E2E">
        <w:rPr>
          <w:rFonts w:cs="Arial"/>
          <w:lang w:val="sr-Latn-RS"/>
        </w:rPr>
        <w:t>due to incompetence, untimeliness, prematurity, anonymity and formal deficiency.</w:t>
      </w:r>
    </w:p>
    <w:p w14:paraId="606463EA" w14:textId="58476474" w:rsidR="003C394A" w:rsidRPr="00D06E2E" w:rsidRDefault="003C394A" w:rsidP="003C394A">
      <w:pPr>
        <w:rPr>
          <w:lang w:val="sr-Latn-RS"/>
        </w:rPr>
      </w:pPr>
    </w:p>
    <w:p w14:paraId="0659E66C" w14:textId="3F0677F2" w:rsidR="003C394A" w:rsidRPr="00D06E2E" w:rsidRDefault="00F22B7C" w:rsidP="003C394A">
      <w:pPr>
        <w:rPr>
          <w:lang w:val="sr-Latn-RS"/>
        </w:rPr>
      </w:pPr>
      <w:r w:rsidRPr="00D06E2E">
        <w:rPr>
          <w:rFonts w:cs="Arial"/>
          <w:lang w:val="sr-Latn-RS"/>
        </w:rPr>
        <w:t xml:space="preserve">A very important segment of acting of the Protector of Citizens upon complaints is the provision of advisory-legal assistance which is provided by the Protector of Citizens even when the complaint is </w:t>
      </w:r>
      <w:r w:rsidRPr="00D06E2E">
        <w:rPr>
          <w:rFonts w:cstheme="minorHAnsi"/>
          <w:lang w:val="sr-Latn-RS"/>
        </w:rPr>
        <w:t xml:space="preserve">inadmissible </w:t>
      </w:r>
      <w:r w:rsidRPr="00D06E2E">
        <w:rPr>
          <w:rFonts w:cs="Arial"/>
          <w:lang w:val="sr-Latn-RS"/>
        </w:rPr>
        <w:t>because of incompetence or prematurity. Such advisory assistance is provided to citizens in</w:t>
      </w:r>
      <w:r w:rsidRPr="00D06E2E">
        <w:rPr>
          <w:lang w:val="sr-Latn-RS"/>
        </w:rPr>
        <w:t xml:space="preserve"> </w:t>
      </w:r>
      <w:r w:rsidR="003C394A" w:rsidRPr="00D06E2E">
        <w:rPr>
          <w:lang w:val="sr-Latn-RS"/>
        </w:rPr>
        <w:t>76</w:t>
      </w:r>
      <w:r w:rsidRPr="00D06E2E">
        <w:rPr>
          <w:lang w:val="sr-Latn-RS"/>
        </w:rPr>
        <w:t>.96 percent</w:t>
      </w:r>
      <w:r w:rsidR="003C394A" w:rsidRPr="00D06E2E">
        <w:rPr>
          <w:lang w:val="sr-Latn-RS"/>
        </w:rPr>
        <w:t xml:space="preserve"> </w:t>
      </w:r>
      <w:r w:rsidRPr="00D06E2E">
        <w:rPr>
          <w:rFonts w:cs="Arial"/>
          <w:lang w:val="sr-Latn-RS"/>
        </w:rPr>
        <w:t xml:space="preserve">of </w:t>
      </w:r>
      <w:r w:rsidRPr="00D06E2E">
        <w:rPr>
          <w:rFonts w:cstheme="minorHAnsi"/>
          <w:lang w:val="sr-Latn-RS"/>
        </w:rPr>
        <w:t xml:space="preserve">inadmissible </w:t>
      </w:r>
      <w:r w:rsidRPr="00D06E2E">
        <w:rPr>
          <w:rFonts w:cs="Arial"/>
          <w:lang w:val="sr-Latn-RS"/>
        </w:rPr>
        <w:t xml:space="preserve">cases </w:t>
      </w:r>
      <w:r w:rsidR="003C394A" w:rsidRPr="00D06E2E">
        <w:rPr>
          <w:lang w:val="sr-Latn-RS"/>
        </w:rPr>
        <w:t xml:space="preserve">(147) </w:t>
      </w:r>
      <w:r w:rsidRPr="00D06E2E">
        <w:rPr>
          <w:rFonts w:cs="Arial"/>
          <w:lang w:val="sr-Latn-RS"/>
        </w:rPr>
        <w:t xml:space="preserve">in this area. </w:t>
      </w:r>
      <w:r w:rsidRPr="00D06E2E">
        <w:rPr>
          <w:rFonts w:cs="Times New Roman"/>
          <w:lang w:val="sr-Latn-RS"/>
        </w:rPr>
        <w:t>In such cases the Protector of Citizens refers the complainant to the competent body or advises them on available legal remedies.</w:t>
      </w:r>
      <w:r w:rsidR="003C394A" w:rsidRPr="00D06E2E">
        <w:rPr>
          <w:lang w:val="sr-Latn-RS"/>
        </w:rPr>
        <w:t xml:space="preserve"> </w:t>
      </w:r>
    </w:p>
    <w:p w14:paraId="39362EE8" w14:textId="2FA135CB" w:rsidR="00F22B7C" w:rsidRPr="00D06E2E" w:rsidRDefault="00F22B7C" w:rsidP="00F22B7C">
      <w:pPr>
        <w:spacing w:after="0"/>
        <w:rPr>
          <w:lang w:val="sr-Latn-RS"/>
        </w:rPr>
      </w:pPr>
      <w:r w:rsidRPr="00D06E2E">
        <w:rPr>
          <w:lang w:val="sr-Latn-RS"/>
        </w:rPr>
        <w:t>In the area of child rights in 513 cases it was indicated to 980 violations of rights, whose greatest part refers to observance of the child’s best interests, right to protection against abuse and negligence and the right to maintaining personal contacts with parents with whom the child does not live.</w:t>
      </w:r>
    </w:p>
    <w:p w14:paraId="2AD2D5DC" w14:textId="116CEED2" w:rsidR="003C394A" w:rsidRPr="00D06E2E" w:rsidRDefault="003C394A" w:rsidP="003C394A">
      <w:pPr>
        <w:tabs>
          <w:tab w:val="left" w:pos="2385"/>
        </w:tabs>
        <w:spacing w:after="0"/>
        <w:rPr>
          <w:lang w:val="sr-Latn-RS"/>
        </w:rPr>
      </w:pPr>
    </w:p>
    <w:p w14:paraId="1B12A0DE" w14:textId="57020B91" w:rsidR="009433ED" w:rsidRPr="00D06E2E" w:rsidRDefault="009433ED" w:rsidP="003C394A">
      <w:pPr>
        <w:tabs>
          <w:tab w:val="left" w:pos="2385"/>
        </w:tabs>
        <w:spacing w:after="0"/>
        <w:rPr>
          <w:lang w:val="sr-Latn-RS"/>
        </w:rPr>
      </w:pPr>
    </w:p>
    <w:p w14:paraId="04829325" w14:textId="483957E8" w:rsidR="009433ED" w:rsidRPr="00D06E2E" w:rsidRDefault="009433ED" w:rsidP="003C394A">
      <w:pPr>
        <w:tabs>
          <w:tab w:val="left" w:pos="2385"/>
        </w:tabs>
        <w:spacing w:after="0"/>
        <w:rPr>
          <w:lang w:val="sr-Latn-RS"/>
        </w:rPr>
      </w:pPr>
    </w:p>
    <w:p w14:paraId="5AEE4508" w14:textId="2AE1A120" w:rsidR="009433ED" w:rsidRPr="00D06E2E" w:rsidRDefault="009433ED" w:rsidP="003C394A">
      <w:pPr>
        <w:tabs>
          <w:tab w:val="left" w:pos="2385"/>
        </w:tabs>
        <w:spacing w:after="0"/>
        <w:rPr>
          <w:lang w:val="sr-Latn-RS"/>
        </w:rPr>
      </w:pPr>
    </w:p>
    <w:p w14:paraId="2CEF2144" w14:textId="64DCC0DF" w:rsidR="009433ED" w:rsidRPr="00D06E2E" w:rsidRDefault="009433ED" w:rsidP="003C394A">
      <w:pPr>
        <w:tabs>
          <w:tab w:val="left" w:pos="2385"/>
        </w:tabs>
        <w:spacing w:after="0"/>
        <w:rPr>
          <w:lang w:val="sr-Latn-RS"/>
        </w:rPr>
      </w:pPr>
    </w:p>
    <w:p w14:paraId="03E0229A" w14:textId="1E05BDCF" w:rsidR="009433ED" w:rsidRPr="00D06E2E" w:rsidRDefault="009433ED" w:rsidP="003C394A">
      <w:pPr>
        <w:tabs>
          <w:tab w:val="left" w:pos="2385"/>
        </w:tabs>
        <w:spacing w:after="0"/>
        <w:rPr>
          <w:lang w:val="sr-Latn-RS"/>
        </w:rPr>
      </w:pPr>
    </w:p>
    <w:p w14:paraId="5D4F7348" w14:textId="634BE4B4" w:rsidR="009433ED" w:rsidRPr="00D06E2E" w:rsidRDefault="009433ED" w:rsidP="003C394A">
      <w:pPr>
        <w:tabs>
          <w:tab w:val="left" w:pos="2385"/>
        </w:tabs>
        <w:spacing w:after="0"/>
        <w:rPr>
          <w:lang w:val="sr-Latn-RS"/>
        </w:rPr>
      </w:pPr>
    </w:p>
    <w:p w14:paraId="7191C280" w14:textId="3720D688" w:rsidR="009433ED" w:rsidRPr="00D06E2E" w:rsidRDefault="009433ED" w:rsidP="003C394A">
      <w:pPr>
        <w:tabs>
          <w:tab w:val="left" w:pos="2385"/>
        </w:tabs>
        <w:spacing w:after="0"/>
        <w:rPr>
          <w:lang w:val="sr-Latn-RS"/>
        </w:rPr>
      </w:pPr>
    </w:p>
    <w:p w14:paraId="01D2FA13" w14:textId="26B13103" w:rsidR="009433ED" w:rsidRPr="00D06E2E" w:rsidRDefault="009433ED" w:rsidP="003C394A">
      <w:pPr>
        <w:tabs>
          <w:tab w:val="left" w:pos="2385"/>
        </w:tabs>
        <w:spacing w:after="0"/>
        <w:rPr>
          <w:lang w:val="sr-Latn-RS"/>
        </w:rPr>
      </w:pPr>
    </w:p>
    <w:p w14:paraId="76B2126F" w14:textId="77777777" w:rsidR="009433ED" w:rsidRPr="00D06E2E" w:rsidRDefault="009433ED" w:rsidP="003C394A">
      <w:pPr>
        <w:tabs>
          <w:tab w:val="left" w:pos="2385"/>
        </w:tabs>
        <w:spacing w:after="0"/>
        <w:rPr>
          <w:lang w:val="sr-Latn-RS"/>
        </w:rPr>
      </w:pPr>
    </w:p>
    <w:p w14:paraId="69016399" w14:textId="76B40445" w:rsidR="009433ED" w:rsidRPr="00D06E2E" w:rsidRDefault="009433ED" w:rsidP="003C394A">
      <w:pPr>
        <w:tabs>
          <w:tab w:val="left" w:pos="2385"/>
        </w:tabs>
        <w:spacing w:after="0"/>
        <w:rPr>
          <w:lang w:val="sr-Latn-RS"/>
        </w:rPr>
      </w:pPr>
    </w:p>
    <w:p w14:paraId="7314B78F" w14:textId="6B4CCD95" w:rsidR="009433ED" w:rsidRPr="00D06E2E" w:rsidRDefault="009433ED" w:rsidP="003C394A">
      <w:pPr>
        <w:tabs>
          <w:tab w:val="left" w:pos="2385"/>
        </w:tabs>
        <w:spacing w:after="0"/>
        <w:rPr>
          <w:lang w:val="sr-Latn-RS"/>
        </w:rPr>
      </w:pPr>
    </w:p>
    <w:p w14:paraId="21CC4D3A" w14:textId="280C9C96" w:rsidR="009433ED" w:rsidRPr="00D06E2E" w:rsidRDefault="009433ED" w:rsidP="003C394A">
      <w:pPr>
        <w:tabs>
          <w:tab w:val="left" w:pos="2385"/>
        </w:tabs>
        <w:spacing w:after="0"/>
        <w:rPr>
          <w:lang w:val="sr-Latn-RS"/>
        </w:rPr>
      </w:pPr>
    </w:p>
    <w:p w14:paraId="75633515" w14:textId="1385F565" w:rsidR="003C394A" w:rsidRPr="00D06E2E" w:rsidRDefault="00F22B7C" w:rsidP="00F22B7C">
      <w:pPr>
        <w:tabs>
          <w:tab w:val="left" w:pos="2385"/>
        </w:tabs>
        <w:jc w:val="center"/>
        <w:rPr>
          <w:b/>
          <w:lang w:val="sr-Latn-RS"/>
        </w:rPr>
      </w:pPr>
      <w:r w:rsidRPr="00D06E2E">
        <w:rPr>
          <w:b/>
          <w:lang w:val="sr-Latn-RS"/>
        </w:rPr>
        <w:lastRenderedPageBreak/>
        <w:t xml:space="preserve">Chart </w:t>
      </w:r>
      <w:r w:rsidR="003C394A" w:rsidRPr="00D06E2E">
        <w:rPr>
          <w:b/>
          <w:lang w:val="sr-Latn-RS"/>
        </w:rPr>
        <w:t xml:space="preserve">3 – </w:t>
      </w:r>
      <w:r w:rsidRPr="00D06E2E">
        <w:rPr>
          <w:b/>
          <w:lang w:val="sr-Latn-RS"/>
        </w:rPr>
        <w:t>Categories of authorities and organization about whose work citizens most frequently complained in the area of child rights</w:t>
      </w:r>
    </w:p>
    <w:p w14:paraId="79F85080" w14:textId="40D6588A" w:rsidR="003C394A" w:rsidRPr="00D06E2E" w:rsidRDefault="006936F3" w:rsidP="003C394A">
      <w:pPr>
        <w:jc w:val="center"/>
        <w:rPr>
          <w:bCs/>
          <w:caps/>
          <w:sz w:val="24"/>
          <w:szCs w:val="24"/>
          <w:lang w:val="sr-Latn-RS"/>
        </w:rPr>
      </w:pPr>
      <w:r w:rsidRPr="00D06E2E">
        <w:rPr>
          <w:noProof/>
          <w:lang w:val="sr-Latn-RS"/>
        </w:rPr>
        <w:drawing>
          <wp:inline distT="0" distB="0" distL="0" distR="0" wp14:anchorId="7A0F7900" wp14:editId="2D0D7A20">
            <wp:extent cx="5638800" cy="40100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F3AA38" w14:textId="53A7AB64" w:rsidR="00C562D3" w:rsidRPr="00D06E2E" w:rsidRDefault="00C562D3" w:rsidP="003C394A">
      <w:pPr>
        <w:spacing w:after="0"/>
        <w:jc w:val="center"/>
        <w:rPr>
          <w:bCs/>
          <w:caps/>
          <w:sz w:val="24"/>
          <w:szCs w:val="24"/>
          <w:lang w:val="sr-Latn-RS"/>
        </w:rPr>
      </w:pPr>
    </w:p>
    <w:p w14:paraId="6DEB3D46" w14:textId="3C7DE0E7" w:rsidR="00680D80" w:rsidRPr="00D06E2E" w:rsidRDefault="00D0747C" w:rsidP="00C228CA">
      <w:pPr>
        <w:jc w:val="center"/>
        <w:rPr>
          <w:bCs/>
          <w:caps/>
          <w:sz w:val="24"/>
          <w:szCs w:val="24"/>
          <w:lang w:val="sr-Latn-RS"/>
        </w:rPr>
      </w:pPr>
      <w:r w:rsidRPr="00D06E2E">
        <w:rPr>
          <w:bCs/>
          <w:caps/>
          <w:sz w:val="24"/>
          <w:szCs w:val="24"/>
          <w:lang w:val="sr-Latn-RS"/>
        </w:rPr>
        <w:t>ACTIVITIES OF THE PROTECTOR OF CITIZENS</w:t>
      </w:r>
      <w:r w:rsidR="00680D80" w:rsidRPr="00D06E2E">
        <w:rPr>
          <w:bCs/>
          <w:caps/>
          <w:sz w:val="24"/>
          <w:szCs w:val="24"/>
          <w:lang w:val="sr-Latn-RS"/>
        </w:rPr>
        <w:t xml:space="preserve"> </w:t>
      </w:r>
    </w:p>
    <w:p w14:paraId="233976A9" w14:textId="7114DE11" w:rsidR="00F22B7C" w:rsidRPr="00D06E2E" w:rsidRDefault="00A91DE2" w:rsidP="00D65ABA">
      <w:pPr>
        <w:rPr>
          <w:lang w:val="sr-Latn-RS"/>
        </w:rPr>
      </w:pPr>
      <w:r w:rsidRPr="00D06E2E">
        <w:rPr>
          <w:lang w:val="sr-Latn-RS"/>
        </w:rPr>
        <w:t>Acting upon the reporting of the Protector of Citizens, which based on the media allegations initiated the investigation upon own initiative, the Center for the protection of victims of human trafficking identified five minor children as victims of human trafficking in the sense of exploitation by parents.</w:t>
      </w:r>
    </w:p>
    <w:p w14:paraId="5CA0A639" w14:textId="011038E5" w:rsidR="00A91DE2" w:rsidRPr="00D06E2E" w:rsidRDefault="00A91DE2" w:rsidP="00D018FB">
      <w:pPr>
        <w:rPr>
          <w:lang w:val="sr-Latn-RS"/>
        </w:rPr>
      </w:pPr>
      <w:r w:rsidRPr="00D06E2E">
        <w:rPr>
          <w:lang w:val="sr-Latn-RS"/>
        </w:rPr>
        <w:t>In the investigation initiated upon the complaint of the mother due to deprivation of the contact with child by former husband, the Protector of Citizens sent the Report on the case with recommendation</w:t>
      </w:r>
      <w:r w:rsidR="00D018FB" w:rsidRPr="00D06E2E">
        <w:rPr>
          <w:rStyle w:val="FootnoteReference"/>
          <w:lang w:val="sr-Latn-RS"/>
        </w:rPr>
        <w:footnoteReference w:id="51"/>
      </w:r>
      <w:r w:rsidR="00D018FB" w:rsidRPr="00D06E2E">
        <w:rPr>
          <w:lang w:val="sr-Latn-RS"/>
        </w:rPr>
        <w:t xml:space="preserve"> </w:t>
      </w:r>
      <w:r w:rsidRPr="00D06E2E">
        <w:rPr>
          <w:lang w:val="sr-Latn-RS"/>
        </w:rPr>
        <w:t>to the custody authority and order the director of the Kovin Center for social Welfaren to review if the conditions for taking measures from the competence of the custody authority in cases when parents abuse parent right, which is violence against children. In such cases the abuse of parent right and prolongation of the investigation, the custody authority is obliged to take measures to protect the rights and best interests of the child and in this manner protect it from abuse and violence. Taking measures by the cente</w:t>
      </w:r>
      <w:r w:rsidR="00773846" w:rsidRPr="00D06E2E">
        <w:rPr>
          <w:lang w:val="sr-Latn-RS"/>
        </w:rPr>
        <w:t xml:space="preserve">r for social welfare which stipulates Family law, such as imposing the measures of corrective oversight, initiation of the procedure for deprivation of parent right or informing the other parent that this procedure can be initiated, not only is the legal obligation of the center fulfilled, but the parent is informed about the manner in which they violate the rights of their children, that competent authorities shall take over all so as to prevent the </w:t>
      </w:r>
      <w:r w:rsidR="00B778A8" w:rsidRPr="00D06E2E">
        <w:rPr>
          <w:lang w:val="sr-Latn-RS"/>
        </w:rPr>
        <w:t>abuse and this kind of violence against children. The Kovin Center for Social Welfare acted upon the recommendation of the Protector of Citizens.</w:t>
      </w:r>
    </w:p>
    <w:p w14:paraId="071B0163" w14:textId="2C7AD288" w:rsidR="00430FF9" w:rsidRPr="00D06E2E" w:rsidRDefault="00430FF9" w:rsidP="00D018FB">
      <w:pPr>
        <w:rPr>
          <w:lang w:val="sr-Latn-RS"/>
        </w:rPr>
      </w:pPr>
      <w:r w:rsidRPr="00D06E2E">
        <w:rPr>
          <w:lang w:val="sr-Latn-RS"/>
        </w:rPr>
        <w:lastRenderedPageBreak/>
        <w:t>After the investigation procedure initiated by the complaint of the mother whose child did not have a birth certificate for months due to the lack of promptness of the guardianship authority, and therefore neither a health card nor insurance, the Protector of Citizens determined that due to the untimely actions of the City Center for Social Work in Belgrade, the complainant lost the possibility to submit a request for exercising the right to financial allowance for the third born child given by the city of Belgrade in order to encourage childbirth and support families with children, for which the deadline was six months from the day of the child's birth. Also, in this way, the complainant was prevented from exercising her right to compensation for maternity leave, which is guaranteed by the Law on Financial Support to Families with Children, immediately after the birth of the child. The Protector of Citizens sent a report on the case with a recommendation</w:t>
      </w:r>
      <w:r w:rsidRPr="00D06E2E">
        <w:rPr>
          <w:rStyle w:val="FootnoteReference"/>
          <w:lang w:val="sr-Latn-RS"/>
        </w:rPr>
        <w:footnoteReference w:id="52"/>
      </w:r>
      <w:r w:rsidRPr="00D06E2E">
        <w:rPr>
          <w:lang w:val="sr-Latn-RS"/>
        </w:rPr>
        <w:t xml:space="preserve"> to the director of the City Center for Social Work to cooperate with the competent secretariat of the City Administration of the City of Belgrade without delay, with the aim of finding a way for the complainant to exercise her rights to financial allowance for the third born child and the right to wage compensation during maternity leave. Also, the Protector of Citizens recommended the director of the center to objectively determine and assess the reasons for the omissions in this case and, in accordance with the findings, ensure in the future the actions of professional workers in the departments of the City Center for Social Work in a timely manner, adequately and in accordance with legal deadlines in all cases in which it is about exercising and protecting the rights of children, pregnant women and mothers in labor. The City Center for Social Work in Belgrade has not yet acted on the recommendations of the Protector of Citizens.</w:t>
      </w:r>
    </w:p>
    <w:p w14:paraId="3C8353EB" w14:textId="04F0F79A" w:rsidR="00430FF9" w:rsidRPr="00D06E2E" w:rsidRDefault="00430FF9" w:rsidP="00D018FB">
      <w:pPr>
        <w:rPr>
          <w:lang w:val="sr-Latn-RS" w:eastAsia="en-GB"/>
        </w:rPr>
      </w:pPr>
      <w:r w:rsidRPr="00D06E2E">
        <w:rPr>
          <w:lang w:val="sr-Latn-RS" w:eastAsia="en-GB"/>
        </w:rPr>
        <w:t>In a proceeding initiated on his own initiative, the Protector of Citizens found shortcomings in the work of the City Center for Social Work in Belgrade because it did not properly evaluate information that indicated possible harmful parental behavior, which in the end led to severe consequences for proper growth and development of the child and endangered his life. Although the omissions of the competent guardianship authority to the detriment of the rights of the child in this particular case are irreparable, the Protector of Citizens sent a Report on the case with recommendations</w:t>
      </w:r>
      <w:r w:rsidRPr="00D06E2E">
        <w:rPr>
          <w:rStyle w:val="FootnoteReference"/>
          <w:lang w:val="sr-Latn-RS" w:eastAsia="en-GB"/>
        </w:rPr>
        <w:footnoteReference w:id="53"/>
      </w:r>
      <w:r w:rsidRPr="00D06E2E">
        <w:rPr>
          <w:lang w:val="sr-Latn-RS" w:eastAsia="en-GB"/>
        </w:rPr>
        <w:t xml:space="preserve"> to the City Center for Social Work in Belgrade, the Ministry of Education, the Secretariat for Education and Child Protection and the Secretariat for the Administration of the City Administration of the City of Belgrade. so that these and similar omissions would not happen in the future. The recommendations requested the determination of responsibility for the specific (non)action of professional workers of the Palilula Department and the Zvezdara Department of the City Center for Social Work in Belgrade, while the recommendations addressed to the competent state bodies within the educational system and local self-government due to failures in the management prescribed by law records on children of preschool and school age, indicated the need to change the current regulations in the field of education and upbringing and to establish cooperation between competent authorities. The City Center for Social Work in Belgrade fully complied with the recommendation, while the Ministry of Education, the Secretariat for Education and Child Protection and the Secretariat for Administration of the City Administration of the City of Belgrade did not comply with the recommendation.</w:t>
      </w:r>
    </w:p>
    <w:p w14:paraId="75807679" w14:textId="1899CBBB" w:rsidR="00430FF9" w:rsidRPr="00D06E2E" w:rsidRDefault="00430FF9" w:rsidP="00D018FB">
      <w:pPr>
        <w:rPr>
          <w:lang w:val="sr-Latn-RS" w:eastAsia="en-GB"/>
        </w:rPr>
      </w:pPr>
      <w:r w:rsidRPr="00D06E2E">
        <w:rPr>
          <w:lang w:val="sr-Latn-RS" w:eastAsia="en-GB"/>
        </w:rPr>
        <w:t>After the conclusion of the procedure initiated on his own initiative, the Protector of Citizens in the Case Report with recommendations to the Center for Social Work Zaječar</w:t>
      </w:r>
      <w:r w:rsidR="00CA7A81" w:rsidRPr="00D06E2E">
        <w:rPr>
          <w:rStyle w:val="FootnoteReference"/>
          <w:lang w:val="sr-Latn-RS" w:eastAsia="en-GB"/>
        </w:rPr>
        <w:footnoteReference w:id="54"/>
      </w:r>
      <w:r w:rsidRPr="00D06E2E">
        <w:rPr>
          <w:lang w:val="sr-Latn-RS" w:eastAsia="en-GB"/>
        </w:rPr>
        <w:t xml:space="preserve"> indicated to the guardianship authority that in future procedures for protection against domestic violence, it always and without exception treats children who witness domestic or partner violence against a parent, sibling or a close family member as a victim of violence, abuse or neglect in </w:t>
      </w:r>
      <w:r w:rsidRPr="00D06E2E">
        <w:rPr>
          <w:lang w:val="sr-Latn-RS" w:eastAsia="en-GB"/>
        </w:rPr>
        <w:lastRenderedPageBreak/>
        <w:t>order to ensure adequate protection of victims of domestic violence in the same or similar cases. The Center for Social Work in Zaječar acted entirely according to the recommendation.</w:t>
      </w:r>
    </w:p>
    <w:p w14:paraId="65ACB049" w14:textId="77777777" w:rsidR="00CA7A81" w:rsidRPr="00D06E2E" w:rsidRDefault="00CA7A81" w:rsidP="00D018FB">
      <w:pPr>
        <w:rPr>
          <w:lang w:val="sr-Latn-RS" w:eastAsia="en-GB"/>
        </w:rPr>
      </w:pPr>
      <w:r w:rsidRPr="00D06E2E">
        <w:rPr>
          <w:lang w:val="sr-Latn-RS" w:eastAsia="en-GB"/>
        </w:rPr>
        <w:t>The Protector of Citizens also pointed out to the competent authorities in the previous period that a child is always a victim of domestic violence when he witnesses domestic violence against a family member or close person. Non-recognition of children as victims of violence in procedures for protection against domestic violence by police officers and professional workers of guardianship authorities results in the absence of an assessment of the risk of violence for the child, which is why it is most often not included in individual protection plans, and therefore measures aimed at child protection are not taken .</w:t>
      </w:r>
    </w:p>
    <w:p w14:paraId="200A4580" w14:textId="55444C5D" w:rsidR="00CA7A81" w:rsidRPr="00D06E2E" w:rsidRDefault="00CA7A81" w:rsidP="00D018FB">
      <w:pPr>
        <w:rPr>
          <w:lang w:val="sr-Latn-RS" w:eastAsia="en-GB"/>
        </w:rPr>
      </w:pPr>
      <w:r w:rsidRPr="00D06E2E">
        <w:rPr>
          <w:lang w:val="sr-Latn-RS" w:eastAsia="en-GB"/>
        </w:rPr>
        <w:t>Acting on the complaints of the parents of children who attend the “Vlada Obradović-Kameni” Preschool from Pećinci, the Protector of Citizens determined that the preschool institution did not respect the obligation to protect the best interests of the child because it prevented individual children from further using the services of preschool education and upbringing in accordance with the concluded and valid contracts with parents. Also, the Protector of Citizens determined that during the amendment of the Rulebook on the enrollment of children and the work of the enrollment committee in the “Vlada Obradović Kameni” preschool institution from March 11, 2022, for the working year 2022/2023, the preschool institution violated the principle of good administration on the proportionality and expediency of its measures because the aim and purpose of the amendments to the Rulebook were not commensurate with the consequences for the up-to-date realization of the child's right to preschool upbringing and education and led to an unfounded and unjustified limitation of the realization of this right to a certain group of children . The Protector of Citizens recommended that the preschool institution</w:t>
      </w:r>
      <w:r w:rsidRPr="00D06E2E">
        <w:rPr>
          <w:rStyle w:val="FootnoteReference"/>
          <w:lang w:val="sr-Latn-RS" w:eastAsia="en-GB"/>
        </w:rPr>
        <w:footnoteReference w:id="55"/>
      </w:r>
      <w:r w:rsidRPr="00D06E2E">
        <w:rPr>
          <w:lang w:val="sr-Latn-RS" w:eastAsia="en-GB"/>
        </w:rPr>
        <w:t xml:space="preserve"> create conditions for children, who are already beneficiaries of the preschool institution's services based on valid contracts, to continue exercising their right to preschool upbringing and education without submitting a new application for enrollment in the following year, as well as to amend the Rulebook on Enrollment of Children and the work of the enrollment committee in the Institution for the purpose of harmonizing with the provisions of the Law on the Basics of the Education System and the Law on Preschool Education. Pre-school institution “Vlada Obradović Kameni” acted according to the recommendations of the Protector of Citizens.</w:t>
      </w:r>
    </w:p>
    <w:p w14:paraId="657095B8" w14:textId="40425F2A" w:rsidR="00CA7A81" w:rsidRPr="00D06E2E" w:rsidRDefault="00CA7A81" w:rsidP="00D018FB">
      <w:pPr>
        <w:rPr>
          <w:rFonts w:eastAsia="Times New Roman"/>
          <w:lang w:val="sr-Latn-RS"/>
        </w:rPr>
      </w:pPr>
      <w:r w:rsidRPr="00D06E2E">
        <w:rPr>
          <w:rFonts w:eastAsia="Times New Roman"/>
          <w:lang w:val="sr-Latn-RS"/>
        </w:rPr>
        <w:t>After conducting an investigation on his own initiative due to suspicion of sexual abuse of a three-year-old girl, in the Case Report with recommendations</w:t>
      </w:r>
      <w:r w:rsidRPr="00D06E2E">
        <w:rPr>
          <w:rStyle w:val="FootnoteReference"/>
          <w:lang w:val="sr-Latn-RS"/>
        </w:rPr>
        <w:footnoteReference w:id="56"/>
      </w:r>
      <w:r w:rsidRPr="00D06E2E">
        <w:rPr>
          <w:rFonts w:eastAsia="Times New Roman"/>
          <w:lang w:val="sr-Latn-RS"/>
        </w:rPr>
        <w:t xml:space="preserve"> sent to the Center for Social Work of the City of Novi Sad and the Provincial Secretariat for Social Welfare, Demography and Gender Equality, the Protector of Citizens requested to determine the reasons why the professional workers made omissions in their work, which consist in untimely and insufficient information of the civil court and insufficient application of the prescribed standards of professional work in the management of the case, and that, in accordance with the established, measures be taken and appropriate procedures implemented in relation to on employees. The director of the Center for Social Work of the city of Novi Sad was asked to ensure in the future the timely and adequate action of professional workers in all cases in which the exercise and protection of children's rights are concerned and to set clear priorities in the work when it comes to providing information of importance for court proceedings and submission of expert opinions as requested by competent courts and prosecutor's offices. The Provincial Secretariat for Social Welfare, Demography and Gender Equality and the Center for Social Work in Novi Sad acted on the recommendations of the Protector of Citizens.</w:t>
      </w:r>
    </w:p>
    <w:p w14:paraId="2FFE155A" w14:textId="225B3C32" w:rsidR="00CA7A81" w:rsidRPr="00D06E2E" w:rsidRDefault="00CA7A81" w:rsidP="00D018FB">
      <w:pPr>
        <w:rPr>
          <w:rFonts w:eastAsia="Times New Roman" w:cs="Times New Roman"/>
          <w:lang w:val="sr-Latn-RS"/>
        </w:rPr>
      </w:pPr>
      <w:r w:rsidRPr="00D06E2E">
        <w:rPr>
          <w:rFonts w:eastAsia="Times New Roman" w:cs="Times New Roman"/>
          <w:lang w:val="sr-Latn-RS"/>
        </w:rPr>
        <w:lastRenderedPageBreak/>
        <w:t xml:space="preserve">The Protector of Citizens was approached by several parents whose children attend preschool institutions in the territory of the city of Belgrade with objections due to the adoption of the new </w:t>
      </w:r>
      <w:r w:rsidRPr="00D06E2E">
        <w:rPr>
          <w:rFonts w:eastAsia="Times New Roman" w:cs="Times New Roman"/>
          <w:i/>
          <w:lang w:val="sr-Latn-RS"/>
        </w:rPr>
        <w:t>Decision of the City of Belgrade on the right to reimbursement of part of the costs of the stay of children in a preschool institution whose founder is another legal entity in the territory of the City of Belgrade</w:t>
      </w:r>
      <w:r w:rsidRPr="00D06E2E">
        <w:rPr>
          <w:rFonts w:eastAsia="Times New Roman" w:cs="Times New Roman"/>
          <w:lang w:val="sr-Latn-RS"/>
        </w:rPr>
        <w:t>, which provides that , instead of the previous 100%, recognizes only 50% of the daily amount for the days of the child's absence. The Protector of Citizens pointed out to the parents that the reimbursement of expenses regulated by this decision represents the possibility of realizing a greater scope of rights than those established by the Constitution and the law and is in accordance with the funds available for these purposes in the budget of the City of Belgrade.</w:t>
      </w:r>
    </w:p>
    <w:p w14:paraId="5E7152BE" w14:textId="270F02BC" w:rsidR="00322536" w:rsidRPr="00D06E2E" w:rsidRDefault="00322536" w:rsidP="00D018FB">
      <w:pPr>
        <w:pStyle w:val="BodyTextIndent"/>
        <w:ind w:left="0"/>
        <w:rPr>
          <w:rFonts w:eastAsia="Arial Unicode MS" w:cs="Arial Unicode MS"/>
          <w:bCs/>
          <w:lang w:val="sr-Latn-RS"/>
        </w:rPr>
      </w:pPr>
      <w:r w:rsidRPr="00D06E2E">
        <w:rPr>
          <w:rFonts w:eastAsia="Arial Unicode MS" w:cs="Arial Unicode MS"/>
          <w:bCs/>
          <w:lang w:val="sr-Latn-RS"/>
        </w:rPr>
        <w:t>Acting on a parent's complaint, the Protector of Citizens initiated a procedure to control the work of the Primary School “Žarko Zrenjanin” from Apatin, the Center for Social Work Apatin, the Ministry of Education and the Health Center from Apatin. Direct supervision of the work of the school, the center for social work and the Ministry of Education was carried out. After the oral recommendations given by the Protector of Citizens, Elementary School “Žarko Zrenjanin” amended the Rulebook on taking exams by providing for the possibility of taking exams online in justified cases. After the amendment of the Rulebook, the school organized for the student to prepare and take the class exam at home, that is, online. After determining all the facts, and especially bearing in mind that during the procedure the school enabled the student's right to education in her best interest, the Protector of Citizens ended the examination procedures initiated by the competent authorities. This behavior of the Elementary School “Žarko Zrenjanin” is an example of good practice in the work of educational institutions, which in all cases should take into account the best interests of students and enable students to exercise their right to education.</w:t>
      </w:r>
    </w:p>
    <w:p w14:paraId="45D63928" w14:textId="5DA69417" w:rsidR="00362A0B" w:rsidRPr="00D06E2E" w:rsidRDefault="00362A0B" w:rsidP="00D018FB">
      <w:pPr>
        <w:pStyle w:val="BodyTextIndent"/>
        <w:ind w:left="0"/>
        <w:rPr>
          <w:lang w:val="sr-Latn-RS"/>
        </w:rPr>
      </w:pPr>
      <w:r w:rsidRPr="00D06E2E">
        <w:rPr>
          <w:lang w:val="sr-Latn-RS"/>
        </w:rPr>
        <w:t>An example of good practice in the work of competent authorities is the Municipal Administration of the Municipality of Priboj. Namely, a mother of two children addressed the Protector of Citizens, stating that she could not register the children in the registry of births in the municipality of Priboj because the father of the children was not available to the administrative authority to give consent for the registration. After the initiated control procedure by the Protector of Citizens, the Municipal Administration of the Municipality of Priboj undertook activities to deal with the specific case. After determining all the circumstances related to the request to register two children in the birth register, especially taking into account the fact that the father of the children is on the run to avoid criminal responsibility and that his whereabouts are unknown, the Municipal Administration stated that in it is in the best interest of the children to be registered in the birth register, because they are already attending school in Priboj, and the registration of the children has been completed. After receiving this information, the procedure of the Protector of Citizens was suspended, and the way this municipal administration works stands out as an example of how competent authorities should take into account the best interest of the child in all procedures when deciding on their rights.</w:t>
      </w:r>
    </w:p>
    <w:p w14:paraId="540BA89D" w14:textId="698D1646" w:rsidR="00362A0B" w:rsidRPr="00D06E2E" w:rsidRDefault="00362A0B" w:rsidP="00D018FB">
      <w:pPr>
        <w:pStyle w:val="ListParagraph"/>
        <w:ind w:left="0"/>
        <w:rPr>
          <w:rFonts w:eastAsia="Times New Roman" w:cs="Times New Roman"/>
          <w:lang w:val="sr-Latn-RS"/>
        </w:rPr>
      </w:pPr>
      <w:r w:rsidRPr="00D06E2E">
        <w:rPr>
          <w:rFonts w:eastAsia="Times New Roman" w:cs="Times New Roman"/>
          <w:lang w:val="sr-Latn-RS"/>
        </w:rPr>
        <w:t xml:space="preserve">A certain number of parents addressed the Protector of Citizens, indicating that they had not been paid financial assistance in the amount of RSD 10,000, which is paid out on the basis of the Law on the Temporary Register of Mothers and Other Persons to whom Financial Assistance is Paid, and which is intended to alleviate the consequences of the crisis caused by disturbances on the world market and a one-time incentive for improving the material conditions of persons to whom the provisions of the Law refer. After establishing, based on the allegations of the Ministry of Finance, that the applications were not recorded in the Temporary Register, that is, that there was an error when entering data in the applications, </w:t>
      </w:r>
      <w:r w:rsidRPr="00D06E2E">
        <w:rPr>
          <w:rFonts w:eastAsia="Times New Roman" w:cs="Times New Roman"/>
          <w:lang w:val="sr-Latn-RS"/>
        </w:rPr>
        <w:lastRenderedPageBreak/>
        <w:t>the Protector of Citizens sent an Opinion</w:t>
      </w:r>
      <w:r w:rsidRPr="00D06E2E">
        <w:rPr>
          <w:rStyle w:val="FootnoteReference"/>
          <w:rFonts w:eastAsia="Times New Roman" w:cs="Times New Roman"/>
          <w:lang w:val="sr-Latn-RS"/>
        </w:rPr>
        <w:footnoteReference w:id="57"/>
      </w:r>
      <w:r w:rsidRPr="00D06E2E">
        <w:rPr>
          <w:rFonts w:eastAsia="Times New Roman" w:cs="Times New Roman"/>
          <w:lang w:val="sr-Latn-RS"/>
        </w:rPr>
        <w:t xml:space="preserve"> to the Ministry of Finance stating that it is necessary for this body to consider the possibility of respecting the requests of parents who when submitting the applications, they entered some of the required data incorrectly, but whose identity can be undoubtedly determined based on the available records of the competent state authorities, if these parents meet the conditions for the payment of financial assistance.</w:t>
      </w:r>
    </w:p>
    <w:p w14:paraId="2167C471" w14:textId="3B051E6C" w:rsidR="00362A0B" w:rsidRPr="00D06E2E" w:rsidRDefault="00362A0B" w:rsidP="00D018FB">
      <w:pPr>
        <w:pStyle w:val="ListParagraph"/>
        <w:ind w:left="0"/>
        <w:rPr>
          <w:rFonts w:eastAsia="Times New Roman" w:cs="Times New Roman"/>
          <w:lang w:val="sr-Latn-RS"/>
        </w:rPr>
      </w:pPr>
      <w:r w:rsidRPr="00D06E2E">
        <w:rPr>
          <w:rFonts w:eastAsia="Times New Roman" w:cs="Times New Roman"/>
          <w:lang w:val="sr-Latn-RS"/>
        </w:rPr>
        <w:t>Acting on the complaint of the child's mother, the Protector of Citizens initiated a procedure to control the work of the City Center for Social Work in Belgrade. After the procedure, the Protector of Citizens determined irregularities and illegaliti</w:t>
      </w:r>
      <w:r w:rsidR="00BA297C" w:rsidRPr="00D06E2E">
        <w:rPr>
          <w:rFonts w:eastAsia="Times New Roman" w:cs="Times New Roman"/>
          <w:lang w:val="sr-Latn-RS"/>
        </w:rPr>
        <w:t>es in the work and submitted the R</w:t>
      </w:r>
      <w:r w:rsidRPr="00D06E2E">
        <w:rPr>
          <w:rFonts w:eastAsia="Times New Roman" w:cs="Times New Roman"/>
          <w:lang w:val="sr-Latn-RS"/>
        </w:rPr>
        <w:t>eport on the case with recommendations</w:t>
      </w:r>
      <w:r w:rsidR="00BA297C" w:rsidRPr="00D06E2E">
        <w:rPr>
          <w:rStyle w:val="FootnoteReference"/>
          <w:lang w:val="sr-Latn-RS"/>
        </w:rPr>
        <w:footnoteReference w:id="58"/>
      </w:r>
      <w:r w:rsidRPr="00D06E2E">
        <w:rPr>
          <w:rFonts w:eastAsia="Times New Roman" w:cs="Times New Roman"/>
          <w:lang w:val="sr-Latn-RS"/>
        </w:rPr>
        <w:t xml:space="preserve"> for their elimination. Namely, the Protector of Citizens determined that the action of the guardianship authority was not in the best interest of the child because he proposed to the competent court in the finding and opinion an extended model of visitation, although he did not determine why the child showed resistance to contact with the father. Furthermore, the necessary cooperation was not achieved between the two departments of the City Center for Social Work because the request was not answered for several months. In the recommendations sent, the Protector of Citizens suggested that it is necessary for the guardianship authority to determine the circumstances of the individual case in order to ensure full protection of the rights and best interests of the child, and in cases where there is non-cooperation of the parents that leads to the violation of the rights and endangering the best interests of the child, to consider whether the conditions for taking measures under the jurisdiction of the guardianship authority have been met. A special recommendation in this case refers to the department's handling of requests when the Protector of Citizens stated that the City Center for Social Work should ensure timely action and exchange of information between the competent departments of the City Center for Social Work, in order to ensure the efficiency of the body's work</w:t>
      </w:r>
      <w:r w:rsidR="00BA297C" w:rsidRPr="00D06E2E">
        <w:rPr>
          <w:rFonts w:eastAsia="Times New Roman" w:cs="Times New Roman"/>
          <w:lang w:val="sr-Latn-RS"/>
        </w:rPr>
        <w:t xml:space="preserve"> and prevent</w:t>
      </w:r>
      <w:r w:rsidRPr="00D06E2E">
        <w:rPr>
          <w:rFonts w:eastAsia="Times New Roman" w:cs="Times New Roman"/>
          <w:lang w:val="sr-Latn-RS"/>
        </w:rPr>
        <w:t xml:space="preserve"> delays in submitting reports in court proceedings, which can avoid the prolongation and long duration of court proceedings due to the fault of the guardianship authorities. The City Center for Social Work acted on the recommendations and issued an internal instruction for dealing with requests, which was sent to all department heads of the City Center for Social Work.</w:t>
      </w:r>
    </w:p>
    <w:p w14:paraId="197F6926" w14:textId="7E749B7E" w:rsidR="00BA297C" w:rsidRPr="00D06E2E" w:rsidRDefault="00BA297C" w:rsidP="00D018FB">
      <w:pPr>
        <w:pStyle w:val="ListParagraph"/>
        <w:ind w:left="0"/>
        <w:rPr>
          <w:lang w:val="sr-Latn-RS"/>
        </w:rPr>
      </w:pPr>
      <w:r w:rsidRPr="00D06E2E">
        <w:rPr>
          <w:lang w:val="sr-Latn-RS"/>
        </w:rPr>
        <w:t>However, after receiving information that an internal instruction regarding the handling of petitions was sent to the departments of the City Center for Social Work, the Protector of Citizens acted on new complaints from citizens and found in them that there is still a problem with the department's handling of petitions in terms of untimely undertaking activities under the jurisdiction of the guardianship authority and untimely delivery of the requested information. Due to the aforementioned omissions, the Protector of Citizens reiterated the recommendations</w:t>
      </w:r>
      <w:r w:rsidRPr="00D06E2E">
        <w:rPr>
          <w:rStyle w:val="FootnoteReference"/>
          <w:bCs/>
          <w:lang w:val="sr-Latn-RS"/>
        </w:rPr>
        <w:footnoteReference w:id="59"/>
      </w:r>
      <w:r w:rsidRPr="00D06E2E">
        <w:rPr>
          <w:lang w:val="sr-Latn-RS"/>
        </w:rPr>
        <w:t xml:space="preserve"> and indicated to the City Center for Social Work that it is necessary for the director to ensure that the departments act on requests without delay and submit the requested data to other departments, as well as to objectively determine and evaluate the reasons for the omissions in the specific case and, in accordance with the established, take measures and carry out appropriate procedures. Also, the Protector of Citizens assessed that in the future it is necessary for the director to ensure timely and adequate action of professional workers in the departments of the City Center for Social Work in all cases in which the exercise and protection of children's rights are concerned and to set clear priorities in the work when it comes to delivering information of importance for court proceedings and submission of expert opinions as requested by the competent courts, and to prevent the prolongation of already long court proceedings by the timely action of expert workers on requests and thereby ensure effective protection of the rights and best interests of the child.</w:t>
      </w:r>
    </w:p>
    <w:p w14:paraId="0CFFA5DC" w14:textId="0CF0C858" w:rsidR="00B32D98" w:rsidRPr="00D06E2E" w:rsidRDefault="007F6A53" w:rsidP="00D018FB">
      <w:pPr>
        <w:rPr>
          <w:color w:val="000000"/>
          <w:lang w:val="sr-Latn-RS"/>
        </w:rPr>
      </w:pPr>
      <w:r w:rsidRPr="00D06E2E">
        <w:rPr>
          <w:color w:val="000000"/>
          <w:lang w:val="sr-Latn-RS"/>
        </w:rPr>
        <w:lastRenderedPageBreak/>
        <w:t>In two cases initiated upon complaints of parents, the Protector of Citizens confirmed that the City center for social work in Belgrade in a longer period failed to act upon several times repeated orders of the second-instance authorities to sanction parent conducts which violate rights and cause damage to develo</w:t>
      </w:r>
      <w:r w:rsidR="00926638" w:rsidRPr="00D06E2E">
        <w:rPr>
          <w:color w:val="000000"/>
          <w:lang w:val="sr-Latn-RS"/>
        </w:rPr>
        <w:t>pment and interests of a child and to conduct corrective oversight of the execution of parent right or file a suit for deprivation of parent right, with regards to the fact that it was confirmed that one of parents abuses parent right due to illegal taking of the child from a parent, prevention of maintenance of personal relations with the other parent and child abuse.</w:t>
      </w:r>
    </w:p>
    <w:p w14:paraId="0741661D" w14:textId="207E54F8" w:rsidR="00926638" w:rsidRPr="00D06E2E" w:rsidRDefault="00926638" w:rsidP="00D018FB">
      <w:pPr>
        <w:rPr>
          <w:color w:val="000000"/>
          <w:lang w:val="sr-Latn-RS"/>
        </w:rPr>
      </w:pPr>
      <w:r w:rsidRPr="00D06E2E">
        <w:rPr>
          <w:color w:val="000000"/>
          <w:lang w:val="sr-Latn-RS"/>
        </w:rPr>
        <w:t>The Protector of Citizens issued the Report on the case with recommendations</w:t>
      </w:r>
      <w:r w:rsidR="00D018FB" w:rsidRPr="00D06E2E">
        <w:rPr>
          <w:bCs/>
          <w:color w:val="000000"/>
          <w:vertAlign w:val="superscript"/>
          <w:lang w:val="sr-Latn-RS"/>
        </w:rPr>
        <w:footnoteReference w:id="60"/>
      </w:r>
      <w:r w:rsidR="00D018FB" w:rsidRPr="00D06E2E">
        <w:rPr>
          <w:color w:val="000000"/>
          <w:lang w:val="sr-Latn-RS"/>
        </w:rPr>
        <w:t xml:space="preserve"> </w:t>
      </w:r>
      <w:r w:rsidRPr="00D06E2E">
        <w:rPr>
          <w:color w:val="000000"/>
          <w:lang w:val="sr-Latn-RS"/>
        </w:rPr>
        <w:t>for the purpose of the removal of the stated as well as other systemic omissions in specific cases</w:t>
      </w:r>
      <w:r w:rsidR="003B7B7E" w:rsidRPr="00D06E2E">
        <w:rPr>
          <w:color w:val="000000"/>
          <w:lang w:val="sr-Latn-RS"/>
        </w:rPr>
        <w:t>: that a child exposed to partner violence against mother is always treated as a victim of domestic abuse and violence; that emotional abuse of a child and deprivation of the right to the other parent cannot be treated as a separate and unrelated problem to partner violence against mother; that it is the obligation of the custody authority to – in new court procedure initiated by the parent who committed abuse of the child and abuse of the parent right – inform the court on all the findings about this as well as on the history of partner violence; as well as that it is the obligation of urgent actions in such cases of taking measures for the purpose of risk assessment and following of the state and exercise of the child rights and suggestion of adequate measures of punishment of parents as well as in executive procedures. The deadline for acting upon these recommendations still has not expired.</w:t>
      </w:r>
    </w:p>
    <w:p w14:paraId="1131A6F5" w14:textId="516539AF" w:rsidR="00D018FB" w:rsidRPr="00D06E2E" w:rsidRDefault="003B7B7E" w:rsidP="00D018FB">
      <w:pPr>
        <w:rPr>
          <w:color w:val="000000"/>
          <w:lang w:val="sr-Latn-RS"/>
        </w:rPr>
      </w:pPr>
      <w:r w:rsidRPr="00D06E2E">
        <w:rPr>
          <w:color w:val="000000"/>
          <w:lang w:val="sr-Latn-RS"/>
        </w:rPr>
        <w:t>Acting upon the complaint of parents of students from villages at the territory of Ljubovija municipality who go to school at the territory of another municipality, the Protector of Citizens confirmed that students in this case were brought to an uneven position with regards to the exercise of the right to free transportation, even though there were no irregularities in the operation of overseen authorities of local self-government which acted in compliance with relevant legal provisions. With regards to this, the Protector of Citizens issued the Report on the case with opinion</w:t>
      </w:r>
      <w:r w:rsidR="00D018FB" w:rsidRPr="00D06E2E">
        <w:rPr>
          <w:rFonts w:eastAsia="Times New Roman"/>
          <w:color w:val="000000"/>
          <w:vertAlign w:val="superscript"/>
          <w:lang w:val="sr-Latn-RS"/>
        </w:rPr>
        <w:footnoteReference w:id="61"/>
      </w:r>
      <w:r w:rsidR="00D018FB" w:rsidRPr="00D06E2E">
        <w:rPr>
          <w:rFonts w:eastAsia="Times New Roman" w:cs="Times New Roman"/>
          <w:b/>
          <w:color w:val="000000"/>
          <w:lang w:val="sr-Latn-RS"/>
        </w:rPr>
        <w:t xml:space="preserve"> </w:t>
      </w:r>
      <w:r w:rsidRPr="00D06E2E">
        <w:rPr>
          <w:rFonts w:eastAsia="Times New Roman" w:cs="Times New Roman"/>
          <w:color w:val="000000"/>
          <w:lang w:val="sr-Latn-RS"/>
        </w:rPr>
        <w:t>to the Ministry of Education to, in cooperation with the Ministry of</w:t>
      </w:r>
      <w:r w:rsidR="004219CB" w:rsidRPr="00D06E2E">
        <w:rPr>
          <w:rFonts w:eastAsia="Times New Roman" w:cs="Times New Roman"/>
          <w:color w:val="000000"/>
          <w:lang w:val="sr-Latn-RS"/>
        </w:rPr>
        <w:t xml:space="preserve"> Public Administration and</w:t>
      </w:r>
      <w:r w:rsidRPr="00D06E2E">
        <w:rPr>
          <w:rFonts w:eastAsia="Times New Roman" w:cs="Times New Roman"/>
          <w:color w:val="000000"/>
          <w:lang w:val="sr-Latn-RS"/>
        </w:rPr>
        <w:t xml:space="preserve"> </w:t>
      </w:r>
      <w:r w:rsidR="004219CB" w:rsidRPr="00D06E2E">
        <w:rPr>
          <w:rFonts w:eastAsia="Times New Roman" w:cs="Times New Roman"/>
          <w:color w:val="000000"/>
          <w:lang w:val="sr-Latn-RS"/>
        </w:rPr>
        <w:t>Local</w:t>
      </w:r>
      <w:r w:rsidRPr="00D06E2E">
        <w:rPr>
          <w:rFonts w:eastAsia="Times New Roman" w:cs="Times New Roman"/>
          <w:color w:val="000000"/>
          <w:lang w:val="sr-Latn-RS"/>
        </w:rPr>
        <w:t xml:space="preserve"> </w:t>
      </w:r>
      <w:r w:rsidR="004219CB" w:rsidRPr="00D06E2E">
        <w:rPr>
          <w:rFonts w:eastAsia="Times New Roman" w:cs="Times New Roman"/>
          <w:color w:val="000000"/>
          <w:lang w:val="sr-Latn-RS"/>
        </w:rPr>
        <w:t>Self-government, amend provisions of the law which regulates the exercise of such right so as to provide bigger and more fair scope of those students who face the problem of unavailability and inaccessibility of the closest elementary school.</w:t>
      </w:r>
      <w:r w:rsidRPr="00D06E2E">
        <w:rPr>
          <w:rFonts w:eastAsia="Times New Roman" w:cs="Times New Roman"/>
          <w:color w:val="000000"/>
          <w:lang w:val="sr-Latn-RS"/>
        </w:rPr>
        <w:t xml:space="preserve"> </w:t>
      </w:r>
      <w:r w:rsidR="00D018FB" w:rsidRPr="00D06E2E">
        <w:rPr>
          <w:rFonts w:eastAsia="Times New Roman" w:cs="Times New Roman"/>
          <w:color w:val="000000"/>
          <w:lang w:val="sr-Latn-RS"/>
        </w:rPr>
        <w:t xml:space="preserve"> </w:t>
      </w:r>
    </w:p>
    <w:p w14:paraId="6BC7D3E0" w14:textId="49951544" w:rsidR="004219CB" w:rsidRPr="00D06E2E" w:rsidRDefault="004219CB" w:rsidP="00D018FB">
      <w:pPr>
        <w:rPr>
          <w:rFonts w:eastAsia="Times New Roman" w:cs="Times New Roman"/>
          <w:color w:val="000000"/>
          <w:lang w:val="sr-Latn-RS"/>
        </w:rPr>
      </w:pPr>
      <w:r w:rsidRPr="00D06E2E">
        <w:rPr>
          <w:rFonts w:eastAsia="Times New Roman" w:cs="Times New Roman"/>
          <w:color w:val="000000"/>
          <w:lang w:val="sr-Latn-RS"/>
        </w:rPr>
        <w:t>Taking into considerations the circumstances of a specific case as well as data from the research conducted in 2018</w:t>
      </w:r>
      <w:r w:rsidR="00D018FB" w:rsidRPr="00D06E2E">
        <w:rPr>
          <w:rFonts w:eastAsia="Times New Roman" w:cs="Times New Roman"/>
          <w:color w:val="000000"/>
          <w:vertAlign w:val="superscript"/>
          <w:lang w:val="sr-Latn-RS"/>
        </w:rPr>
        <w:footnoteReference w:id="62"/>
      </w:r>
      <w:r w:rsidR="00B867F1" w:rsidRPr="00D06E2E">
        <w:rPr>
          <w:rFonts w:eastAsia="Times New Roman" w:cs="Times New Roman"/>
          <w:color w:val="000000"/>
          <w:lang w:val="sr-Latn-RS"/>
        </w:rPr>
        <w:t xml:space="preserve"> </w:t>
      </w:r>
      <w:r w:rsidRPr="00D06E2E">
        <w:rPr>
          <w:rFonts w:eastAsia="Times New Roman" w:cs="Times New Roman"/>
          <w:color w:val="000000"/>
          <w:lang w:val="sr-Latn-RS"/>
        </w:rPr>
        <w:t>that various reasons influence unavailability and inaccessibility of elementary schools, especially in rural areas and undeveloped countries, due to which there is a great diversity in the manner in which local self-government units provide the exercise of this right to students, the Protector of Citizens in the O</w:t>
      </w:r>
      <w:r w:rsidR="00411914" w:rsidRPr="00D06E2E">
        <w:rPr>
          <w:rFonts w:eastAsia="Times New Roman" w:cs="Times New Roman"/>
          <w:color w:val="000000"/>
          <w:lang w:val="sr-Latn-RS"/>
        </w:rPr>
        <w:t>pinion indicated that during amendments to relevant legal provisions it is necessary to foresee and take into account also other objective reasons for inavailability and inaccessibility of elementary schools as well as in rural areas, such as failure to connect transportation, bad infrastructure, omission of public transportation, unsafety of the road from the place of residence of the student</w:t>
      </w:r>
      <w:r w:rsidR="00311668" w:rsidRPr="00D06E2E">
        <w:rPr>
          <w:rFonts w:eastAsia="Times New Roman" w:cs="Times New Roman"/>
          <w:color w:val="000000"/>
          <w:lang w:val="sr-Latn-RS"/>
        </w:rPr>
        <w:t xml:space="preserve"> to the closest school. Moreover, it was indicated to the need to precise to all units of local self-government the obligations to provide means and adequate manner for the exercise of this right of students are provided for the purpose of overcoming of the reason of unavailability and inaccessibility </w:t>
      </w:r>
      <w:r w:rsidR="00311668" w:rsidRPr="00D06E2E">
        <w:rPr>
          <w:rFonts w:eastAsia="Times New Roman" w:cs="Times New Roman"/>
          <w:color w:val="000000"/>
          <w:lang w:val="sr-Latn-RS"/>
        </w:rPr>
        <w:lastRenderedPageBreak/>
        <w:t>of the closest elementary school and the safety of students has the priority over the distance of school from the place of residence of students.</w:t>
      </w:r>
    </w:p>
    <w:p w14:paraId="7F538103" w14:textId="0865DC03" w:rsidR="002B256A" w:rsidRPr="00D06E2E" w:rsidRDefault="002B256A" w:rsidP="00D018FB">
      <w:pPr>
        <w:pStyle w:val="ListParagraph"/>
        <w:ind w:left="0"/>
        <w:rPr>
          <w:bCs/>
          <w:lang w:val="sr-Latn-RS"/>
        </w:rPr>
      </w:pPr>
      <w:r w:rsidRPr="00D06E2E">
        <w:rPr>
          <w:bCs/>
          <w:lang w:val="sr-Latn-RS"/>
        </w:rPr>
        <w:t>Acting upon its own initiative, the Protector of Citizens conducted the oversight of the control of the Secretariat for education and child protection of the City of Belgrade with regards to lease of gymnasia at educational institutions. The Protector of Citizens issued the Report on the case with opinion</w:t>
      </w:r>
      <w:r w:rsidR="00D018FB" w:rsidRPr="00D06E2E">
        <w:rPr>
          <w:rStyle w:val="FootnoteReference"/>
          <w:bCs/>
          <w:lang w:val="sr-Latn-RS"/>
        </w:rPr>
        <w:footnoteReference w:id="63"/>
      </w:r>
      <w:r w:rsidR="00D018FB" w:rsidRPr="00D06E2E">
        <w:rPr>
          <w:bCs/>
          <w:lang w:val="sr-Latn-RS"/>
        </w:rPr>
        <w:t xml:space="preserve"> </w:t>
      </w:r>
      <w:r w:rsidRPr="00D06E2E">
        <w:rPr>
          <w:bCs/>
          <w:lang w:val="sr-Latn-RS"/>
        </w:rPr>
        <w:t xml:space="preserve">to the Secretariat in which it was stated that this authority should provide the application of relevant regulations in the area of socially-owned property as well as to motivate and encourage schools </w:t>
      </w:r>
      <w:r w:rsidR="004F07DA" w:rsidRPr="00D06E2E">
        <w:rPr>
          <w:bCs/>
          <w:lang w:val="sr-Latn-RS"/>
        </w:rPr>
        <w:t xml:space="preserve">to lease gymnasia by providing them not to be at loss because of the obligation to pay for the entire amount of the lease to the account of City Administration of the City of Belgrade. The Secretariat still has not submitted the information on activities which it took with regards to issued Opinion of the Protector of Citizens. </w:t>
      </w:r>
    </w:p>
    <w:p w14:paraId="4C15A209" w14:textId="305A3A51" w:rsidR="00335708" w:rsidRPr="00D06E2E" w:rsidRDefault="004F07DA" w:rsidP="00D018FB">
      <w:pPr>
        <w:rPr>
          <w:rFonts w:eastAsia="Times New Roman" w:cs="Times New Roman"/>
          <w:lang w:val="sr-Latn-RS"/>
        </w:rPr>
      </w:pPr>
      <w:r w:rsidRPr="00D06E2E">
        <w:rPr>
          <w:rFonts w:eastAsia="Times New Roman" w:cs="Times New Roman"/>
          <w:bCs/>
          <w:lang w:val="sr-Latn-RS"/>
        </w:rPr>
        <w:t>In the Opinion to the Draft of the Law on Amendments to the Law on Protection of Persons with Mental Difficulties</w:t>
      </w:r>
      <w:r w:rsidR="00A64A76" w:rsidRPr="00D06E2E">
        <w:rPr>
          <w:rStyle w:val="FootnoteReference"/>
          <w:rFonts w:eastAsia="Times New Roman" w:cs="Times New Roman"/>
          <w:bCs/>
          <w:lang w:val="sr-Latn-RS"/>
        </w:rPr>
        <w:footnoteReference w:id="64"/>
      </w:r>
      <w:r w:rsidR="00A64A76" w:rsidRPr="00D06E2E">
        <w:rPr>
          <w:rFonts w:eastAsia="Times New Roman" w:cs="Times New Roman"/>
          <w:bCs/>
          <w:lang w:val="sr-Latn-RS"/>
        </w:rPr>
        <w:t>,</w:t>
      </w:r>
      <w:r w:rsidR="00A64A76" w:rsidRPr="00D06E2E">
        <w:rPr>
          <w:rFonts w:eastAsia="Times New Roman" w:cs="Times New Roman"/>
          <w:lang w:val="sr-Latn-RS"/>
        </w:rPr>
        <w:t xml:space="preserve"> </w:t>
      </w:r>
      <w:r w:rsidRPr="00D06E2E">
        <w:rPr>
          <w:rFonts w:eastAsia="Times New Roman" w:cs="Times New Roman"/>
          <w:lang w:val="sr-Latn-RS"/>
        </w:rPr>
        <w:t>the Protector of Citizens indicated to principled remarks and aspects with regards to which it is possible to improve the provisions of the Draft, but also that it is necessary previously to amend general provisions in Article 12 of the Law in compliance with obligations of the exercise of child rights contained in the United Nations Conventions on the Rights of the Child</w:t>
      </w:r>
      <w:r w:rsidR="00335708" w:rsidRPr="00D06E2E">
        <w:rPr>
          <w:rFonts w:eastAsia="Times New Roman" w:cs="Times New Roman"/>
          <w:lang w:val="sr-Latn-RS"/>
        </w:rPr>
        <w:t xml:space="preserve"> and child rights to the highest level of health and medical care and rehabilitation</w:t>
      </w:r>
      <w:r w:rsidR="00D018FB" w:rsidRPr="00D06E2E">
        <w:rPr>
          <w:rFonts w:eastAsia="Times New Roman" w:cs="Times New Roman"/>
          <w:vertAlign w:val="superscript"/>
          <w:lang w:val="sr-Latn-RS"/>
        </w:rPr>
        <w:footnoteReference w:id="65"/>
      </w:r>
      <w:r w:rsidR="00A6586A" w:rsidRPr="00D06E2E">
        <w:rPr>
          <w:rFonts w:eastAsia="Times New Roman" w:cs="Times New Roman"/>
          <w:lang w:val="sr-Latn-RS"/>
        </w:rPr>
        <w:t xml:space="preserve"> </w:t>
      </w:r>
      <w:r w:rsidR="00335708" w:rsidRPr="00D06E2E">
        <w:rPr>
          <w:rFonts w:eastAsia="Times New Roman" w:cs="Times New Roman"/>
          <w:lang w:val="sr-Latn-RS"/>
        </w:rPr>
        <w:t>and right for every child deprived of liberty to be separated from adults</w:t>
      </w:r>
      <w:r w:rsidR="00D018FB" w:rsidRPr="00D06E2E">
        <w:rPr>
          <w:rFonts w:eastAsia="Times New Roman" w:cs="Times New Roman"/>
          <w:vertAlign w:val="superscript"/>
          <w:lang w:val="sr-Latn-RS"/>
        </w:rPr>
        <w:footnoteReference w:id="66"/>
      </w:r>
      <w:r w:rsidR="00A6586A" w:rsidRPr="00D06E2E">
        <w:rPr>
          <w:rFonts w:eastAsia="Times New Roman" w:cs="Times New Roman"/>
          <w:lang w:val="sr-Latn-RS"/>
        </w:rPr>
        <w:t>.</w:t>
      </w:r>
      <w:r w:rsidR="00335708" w:rsidRPr="00D06E2E">
        <w:rPr>
          <w:rFonts w:eastAsia="Times New Roman" w:cs="Times New Roman"/>
          <w:lang w:val="sr-Latn-RS"/>
        </w:rPr>
        <w:t xml:space="preserve"> With this aim it is necessary to previously conduct normative regulation and provis</w:t>
      </w:r>
      <w:r w:rsidR="00FB0E05" w:rsidRPr="00D06E2E">
        <w:rPr>
          <w:rFonts w:eastAsia="Times New Roman" w:cs="Times New Roman"/>
          <w:lang w:val="sr-Latn-RS"/>
        </w:rPr>
        <w:t>ion of conditions for the foundation of the corresponding psychiatric institution for children of home type and to regulate conditions for diagnostics and treatment in such cases so that they would be realized without endangering of guaranteed rights of the child at the highest level of health and medical protection and right to rehabilitation and in compliance with other internationally accepted rules and standards on the protection of minors deprived of liberty as well as standards for the prevention of torture, inhuman or degrading treatment or punishment which refer to forced accommodation at psychiatric institutions and to minors deprived of liberty according to the criminal legislation.</w:t>
      </w:r>
    </w:p>
    <w:p w14:paraId="740CA7A8" w14:textId="1D774050" w:rsidR="006034B3" w:rsidRPr="00D06E2E" w:rsidRDefault="00FB0E05" w:rsidP="00D018FB">
      <w:pPr>
        <w:rPr>
          <w:rFonts w:eastAsia="Times New Roman" w:cs="Times New Roman"/>
          <w:lang w:val="sr-Latn-RS"/>
        </w:rPr>
      </w:pPr>
      <w:r w:rsidRPr="00D06E2E">
        <w:rPr>
          <w:rFonts w:eastAsia="Times New Roman" w:cs="Times New Roman"/>
          <w:lang w:val="sr-Latn-RS"/>
        </w:rPr>
        <w:t xml:space="preserve">The Protector of Citizens </w:t>
      </w:r>
      <w:r w:rsidR="006034B3" w:rsidRPr="00D06E2E">
        <w:rPr>
          <w:rFonts w:eastAsia="Times New Roman" w:cs="Times New Roman"/>
          <w:lang w:val="sr-Latn-RS"/>
        </w:rPr>
        <w:t>issued the Opinion</w:t>
      </w:r>
      <w:r w:rsidR="00D018FB" w:rsidRPr="00D06E2E">
        <w:rPr>
          <w:rFonts w:eastAsia="Times New Roman" w:cs="Times New Roman"/>
          <w:vertAlign w:val="superscript"/>
          <w:lang w:val="sr-Latn-RS"/>
        </w:rPr>
        <w:footnoteReference w:id="67"/>
      </w:r>
      <w:r w:rsidR="00D018FB" w:rsidRPr="00D06E2E">
        <w:rPr>
          <w:rFonts w:eastAsia="Times New Roman" w:cs="Times New Roman"/>
          <w:lang w:val="sr-Latn-RS"/>
        </w:rPr>
        <w:t xml:space="preserve"> </w:t>
      </w:r>
      <w:r w:rsidR="006034B3" w:rsidRPr="00D06E2E">
        <w:rPr>
          <w:rFonts w:eastAsia="Times New Roman" w:cs="Times New Roman"/>
          <w:lang w:val="sr-Latn-RS"/>
        </w:rPr>
        <w:t>to the Draft of the Law on Amendments to the Law on Fundamentals of the Education System for the purpose of improvement of proposed changes to procedures and authorizations of employees at educational institution in activities of protection against violence as well as for the purpose of their harmonizations with other regulations. Regarding proposed option in the Draft of the Law to prohibit to schools to work in case of suspension of work or strike organized contrary to the Law, it was indicated in the Opinion to the fact that from the perspective of rights and best interests of children and students, both the suspension of work or strike organized contrary to the law and the prohibition of work of school for this reason have equally detrimental effect so during taking such restrictive measures the employer needs to follow the principle of not causing greater damage to interests and rights of children and students, so it was suggested to the employer to review other measures instead of the prohibition of work of the institution in these cases.</w:t>
      </w:r>
    </w:p>
    <w:p w14:paraId="574CBCAC" w14:textId="425AECC9" w:rsidR="00161DAA" w:rsidRPr="00D06E2E" w:rsidRDefault="00161DAA" w:rsidP="006A1477">
      <w:pPr>
        <w:rPr>
          <w:rFonts w:eastAsia="Times New Roman" w:cs="Times New Roman"/>
          <w:lang w:val="sr-Latn-RS"/>
        </w:rPr>
      </w:pPr>
      <w:r w:rsidRPr="00D06E2E">
        <w:rPr>
          <w:rFonts w:eastAsia="Times New Roman" w:cs="Times New Roman"/>
          <w:lang w:val="sr-Latn-RS"/>
        </w:rPr>
        <w:t>The Opinion</w:t>
      </w:r>
      <w:r w:rsidR="00D018FB" w:rsidRPr="00D06E2E">
        <w:rPr>
          <w:rStyle w:val="FootnoteReference"/>
          <w:rFonts w:eastAsia="Times New Roman" w:cs="Times New Roman"/>
          <w:lang w:val="sr-Latn-RS"/>
        </w:rPr>
        <w:footnoteReference w:id="68"/>
      </w:r>
      <w:r w:rsidR="00D018FB" w:rsidRPr="00D06E2E">
        <w:rPr>
          <w:rFonts w:eastAsia="Times New Roman" w:cs="Times New Roman"/>
          <w:lang w:val="sr-Latn-RS"/>
        </w:rPr>
        <w:t xml:space="preserve"> </w:t>
      </w:r>
      <w:r w:rsidRPr="00D06E2E">
        <w:rPr>
          <w:rFonts w:eastAsia="Times New Roman" w:cs="Times New Roman"/>
          <w:lang w:val="sr-Latn-RS"/>
        </w:rPr>
        <w:t>to the Draft of the Law on Amendments to the Law on Dual Education contains issued</w:t>
      </w:r>
      <w:r w:rsidR="006A0602" w:rsidRPr="00D06E2E">
        <w:rPr>
          <w:rFonts w:eastAsia="Times New Roman" w:cs="Times New Roman"/>
          <w:lang w:val="sr-Latn-RS"/>
        </w:rPr>
        <w:t xml:space="preserve"> proposal to amend provisions of the Law on Dual Education so as to have precise violations to which refer the prohibitions of the violence prescribed by Article 110-112 of the </w:t>
      </w:r>
      <w:r w:rsidR="006A0602" w:rsidRPr="00D06E2E">
        <w:rPr>
          <w:rFonts w:eastAsia="Times New Roman" w:cs="Times New Roman"/>
          <w:lang w:val="sr-Latn-RS"/>
        </w:rPr>
        <w:lastRenderedPageBreak/>
        <w:t xml:space="preserve">Law on Fundamentals of Education and have accurate circle of persons this prohibition refers to and harmonize this law with the Law on Fundamentals of Education as frame law which regulated education up to the university level. </w:t>
      </w:r>
    </w:p>
    <w:p w14:paraId="353ABA08" w14:textId="7333A695" w:rsidR="0058338B" w:rsidRPr="00D06E2E" w:rsidRDefault="0058338B" w:rsidP="006A1477">
      <w:pPr>
        <w:rPr>
          <w:rFonts w:eastAsia="Times New Roman" w:cs="Times New Roman"/>
          <w:lang w:val="sr-Latn-RS"/>
        </w:rPr>
      </w:pPr>
      <w:r w:rsidRPr="00D06E2E">
        <w:rPr>
          <w:rFonts w:eastAsia="Times New Roman" w:cs="Times New Roman"/>
          <w:lang w:val="sr-Latn-RS"/>
        </w:rPr>
        <w:t>The opinion also indicates to the need that children and youth included in dual education receive bigger and better protection against night work than others have taking into account that daily duration of learning through work is already adjusted to working hours of the employer, with limitations prescribed by Labor Law. The Protector of Citizens indicated also to the fact that it is necessary to include subject teacher into students’ knowledge assessment, on which the amount which will be paid to a student depends.</w:t>
      </w:r>
    </w:p>
    <w:p w14:paraId="45CACF26" w14:textId="6D1FC52B" w:rsidR="0058338B" w:rsidRPr="00D06E2E" w:rsidRDefault="0058338B" w:rsidP="006A1477">
      <w:pPr>
        <w:rPr>
          <w:lang w:val="sr-Latn-RS" w:eastAsia="en-GB"/>
        </w:rPr>
      </w:pPr>
      <w:r w:rsidRPr="00D06E2E">
        <w:rPr>
          <w:rFonts w:eastAsia="Times New Roman" w:cs="Times New Roman"/>
          <w:lang w:val="sr-Latn-RS"/>
        </w:rPr>
        <w:t>The Special Report of the Protector of Citizens and Panel of young advisors on violence at schools</w:t>
      </w:r>
      <w:r w:rsidR="005A1BCC" w:rsidRPr="00D06E2E">
        <w:rPr>
          <w:rStyle w:val="FootnoteReference"/>
          <w:lang w:val="sr-Latn-RS" w:eastAsia="en-GB"/>
        </w:rPr>
        <w:footnoteReference w:id="69"/>
      </w:r>
      <w:r w:rsidR="006A1477" w:rsidRPr="00D06E2E">
        <w:rPr>
          <w:lang w:val="sr-Latn-RS" w:eastAsia="en-GB"/>
        </w:rPr>
        <w:t xml:space="preserve">, </w:t>
      </w:r>
      <w:r w:rsidRPr="00D06E2E">
        <w:rPr>
          <w:lang w:val="sr-Latn-RS" w:eastAsia="en-GB"/>
        </w:rPr>
        <w:t>which was presented in December 2023, was realized through the project “Fight against discrimination and promotion of diversities in Serbia”, which is a part of joint program of the Council of Europe and European Union “Horizontal Facility for Western Balkan and Turkey”. The execution of the special report was preceded by the questionnaire conducted by members of the Panel of young advisors</w:t>
      </w:r>
      <w:r w:rsidR="005D6E0F" w:rsidRPr="00D06E2E">
        <w:rPr>
          <w:lang w:val="sr-Latn-RS" w:eastAsia="en-GB"/>
        </w:rPr>
        <w:t xml:space="preserve"> at their schools, as well as three-day training which was conducted during 2022 by the Protector of Citizens, whose aim was to introduce members of the Panel of youth with the notion and forms of peer violence at school and violence against marginalized social groups (women, members of Romani national minority, members of LGBTI population, persons with disabilities and the elderly). One of the goals of the research conducted during 2022 was the comparison of the result of this and the research conducted by the Protector of Citizens in 2011 with members of then Panel of young advisors, primarily comparison of data which refer to frequency and intensity of the manifestation of peer violence, as well as information of students on preventive activities of their schools for the purpose of prevention of violence. Apart from the stated, the Special Report contains the data on experiences and attitudes of students and teachers with regards to the manifestation of violence in school context to members of different vulnerable groups (women, members of Romani national minority, members of LGBTI population, persons with disabilities and the elderly), and presented conclusions </w:t>
      </w:r>
      <w:r w:rsidR="001929D8" w:rsidRPr="00D06E2E">
        <w:rPr>
          <w:lang w:val="sr-Latn-RS" w:eastAsia="en-GB"/>
        </w:rPr>
        <w:t>will provide evaluation and quality of messages on the respect of diversities and non-violence which is sent by schools through educational process.</w:t>
      </w:r>
    </w:p>
    <w:p w14:paraId="73E3A97C" w14:textId="43FF0124" w:rsidR="001929D8" w:rsidRPr="00D06E2E" w:rsidRDefault="001929D8" w:rsidP="006A1477">
      <w:pPr>
        <w:shd w:val="clear" w:color="auto" w:fill="FFFFFF"/>
        <w:rPr>
          <w:lang w:val="sr-Latn-RS" w:eastAsia="en-GB"/>
        </w:rPr>
      </w:pPr>
      <w:r w:rsidRPr="00D06E2E">
        <w:rPr>
          <w:lang w:val="sr-Latn-RS" w:eastAsia="en-GB"/>
        </w:rPr>
        <w:t>The research showed that every tenth student almost every day suffers violence at school, every fifth was personally eexposed to gender-based violence, whereas every tenth admits that they treat their peers violently. Every second girl (41.9 percent) and every fifth boy (20.6 percent) faced gender-inapropriate speech at school, every fifth student (20.5 percent) was personally exposed to gender-based violence, whereas 35 percent of students say they frequently hear from teachers offensive gender-based speech as well as offensive words on members of minority groups</w:t>
      </w:r>
      <w:r w:rsidR="009524BC" w:rsidRPr="00D06E2E">
        <w:rPr>
          <w:lang w:val="sr-Latn-RS" w:eastAsia="en-GB"/>
        </w:rPr>
        <w:t>, especially on Romani students, LGBTI or persons with disabilities and developmental difficulties. Boys take part to a larger extent in peer violence and have more negative attitudes toward Romani, LGBTI persons, the elderly, but also toward girls, as the research of the Protector of Citizens shows.</w:t>
      </w:r>
    </w:p>
    <w:p w14:paraId="5C8D65D6" w14:textId="7F2F449B" w:rsidR="00A65F14" w:rsidRPr="00D06E2E" w:rsidRDefault="000467AB" w:rsidP="006A1477">
      <w:pPr>
        <w:shd w:val="clear" w:color="auto" w:fill="FFFFFF"/>
        <w:rPr>
          <w:rFonts w:eastAsia="Times New Roman" w:cs="Arial"/>
          <w:spacing w:val="5"/>
          <w:lang w:val="sr-Latn-RS"/>
        </w:rPr>
      </w:pPr>
      <w:r w:rsidRPr="00D06E2E">
        <w:rPr>
          <w:rFonts w:eastAsia="Times New Roman" w:cs="Arial"/>
          <w:spacing w:val="5"/>
          <w:lang w:val="sr-Latn-RS"/>
        </w:rPr>
        <w:t xml:space="preserve">This research, unfortunately, repeated also results which ten years ago were also conducted by members of the Panel: that violence among peers is frequent and recognizable phenomenon in school environment since every fourth student said that violence is part of everyday school lofe and that only 6 percent of students claim that they did not witness violence in their schools; that about ¾ of students do not know that their schools have a team for protection of students against violence and even more students (about 9/10) do not know who is in that team; that more than a half of students in </w:t>
      </w:r>
      <w:r w:rsidRPr="00D06E2E">
        <w:rPr>
          <w:rFonts w:eastAsia="Times New Roman" w:cs="Arial"/>
          <w:spacing w:val="5"/>
          <w:lang w:val="sr-Latn-RS"/>
        </w:rPr>
        <w:lastRenderedPageBreak/>
        <w:t>elementary and high schools in Serbia does not know about the program of prevention of violence and that they did not take part in them, unlike teachers who know about those activities (about 80 percent).</w:t>
      </w:r>
    </w:p>
    <w:p w14:paraId="09A88590" w14:textId="086ABFB8" w:rsidR="000467AB" w:rsidRPr="00D06E2E" w:rsidRDefault="000467AB" w:rsidP="006A1477">
      <w:pPr>
        <w:rPr>
          <w:rFonts w:eastAsia="Times New Roman" w:cs="Arial"/>
          <w:spacing w:val="5"/>
          <w:lang w:val="sr-Latn-RS"/>
        </w:rPr>
      </w:pPr>
      <w:r w:rsidRPr="00D06E2E">
        <w:rPr>
          <w:rFonts w:eastAsia="Times New Roman" w:cs="Arial"/>
          <w:spacing w:val="5"/>
          <w:lang w:val="sr-Latn-RS"/>
        </w:rPr>
        <w:t xml:space="preserve">Celebrating the World Children’s Day, the Protector of Citizens on November 14, 2023 at the premises of Children Cultural Center in Belgrade organized the training for members of the Panel of young advisors within which a lecture was held with the topic of inclusive education as well as the workshop of “Puppet drama game in the process of inclusive education”. Engaged lecturers introduced members of the Panel of young advisors with the </w:t>
      </w:r>
      <w:r w:rsidR="00CE3B9D" w:rsidRPr="00D06E2E">
        <w:rPr>
          <w:rFonts w:eastAsia="Times New Roman" w:cs="Arial"/>
          <w:spacing w:val="5"/>
          <w:lang w:val="sr-Latn-RS"/>
        </w:rPr>
        <w:t>meaning of inclusion and inclusive education, explained the importance of puppet and puppet-drama workshop in work with children within inclusive process. Members of the Panel of young advisors received also guidelines with regards to conduction of questionnaires in their schools whose results will be presented in Special Report of the Protector of Citizens on inclusion at schools in the Republic of Serbia, which will be published early in 2024.</w:t>
      </w:r>
    </w:p>
    <w:p w14:paraId="652B3A1C" w14:textId="69BB057F" w:rsidR="006A1477" w:rsidRPr="00D06E2E" w:rsidRDefault="00CE3B9D" w:rsidP="006A1477">
      <w:pPr>
        <w:rPr>
          <w:rFonts w:cs="Arial"/>
          <w:color w:val="0D0D0D" w:themeColor="text1" w:themeTint="F2"/>
          <w:spacing w:val="3"/>
          <w:lang w:val="sr-Latn-RS"/>
        </w:rPr>
      </w:pPr>
      <w:r w:rsidRPr="00D06E2E">
        <w:rPr>
          <w:rFonts w:cs="Arial"/>
          <w:color w:val="0D0D0D" w:themeColor="text1" w:themeTint="F2"/>
          <w:spacing w:val="3"/>
          <w:lang w:val="sr-Latn-RS"/>
        </w:rPr>
        <w:t>On the occasion of the celebration of the International Day of Human Rights, a meeting of the Panel of young advisors of the Protector of Citizens was held within the project “Safe travel – protection of children against sexual exploitation and abuse”, which is conducted by the Network of Organizations for Children of Serbia (NOCS) in cooperation with the Protector of Citizens and Serbian Chamber of Commerce, w</w:t>
      </w:r>
      <w:r w:rsidR="00161DAA" w:rsidRPr="00D06E2E">
        <w:rPr>
          <w:rFonts w:cs="Arial"/>
          <w:color w:val="0D0D0D" w:themeColor="text1" w:themeTint="F2"/>
          <w:spacing w:val="3"/>
          <w:lang w:val="sr-Latn-RS"/>
        </w:rPr>
        <w:t>ith the aim of collecting opinions, attitudes and experiences of children and youth to the topic of protection of children against sexual exploitation and abuse in the sectors of tourism and catering. Participants defined different forms of violence children and youth can be exposed to during school trips and other travels, mapped different situations in which violence can occur and identified groups of children and youth who are at particular risk (e.g. children from Romani community, children from LGBTI community, children with disability, children with developmental difficulties, children in social need, etc.). Based on that, participants prepared three sets of recommendations for the purpose of prevention and protection against sexual exploitation and abuse on travels which would be issued to peers, schools as well as legal persons in the department of tourism. In compliance with its competences, the Protector of Citizens shall issue the stated recommendations of children and youth to competent authorities.</w:t>
      </w:r>
    </w:p>
    <w:p w14:paraId="21244BA5" w14:textId="2F80F608" w:rsidR="006A1477" w:rsidRPr="00D06E2E" w:rsidRDefault="006A1477" w:rsidP="006A1477">
      <w:pPr>
        <w:shd w:val="clear" w:color="auto" w:fill="FFFFFF"/>
        <w:spacing w:after="0"/>
        <w:rPr>
          <w:rFonts w:eastAsia="Times New Roman" w:cs="Arial"/>
          <w:spacing w:val="5"/>
          <w:lang w:val="sr-Latn-RS"/>
        </w:rPr>
      </w:pPr>
    </w:p>
    <w:p w14:paraId="2319B41E" w14:textId="2288D8C4" w:rsidR="009B6048" w:rsidRPr="00D06E2E" w:rsidRDefault="00D0747C" w:rsidP="00D0747C">
      <w:pPr>
        <w:spacing w:after="0"/>
        <w:jc w:val="center"/>
        <w:rPr>
          <w:sz w:val="24"/>
          <w:szCs w:val="24"/>
          <w:lang w:val="sr-Latn-RS"/>
        </w:rPr>
      </w:pPr>
      <w:r w:rsidRPr="00D06E2E">
        <w:rPr>
          <w:sz w:val="24"/>
          <w:szCs w:val="24"/>
          <w:lang w:val="sr-Latn-RS"/>
        </w:rPr>
        <w:t>PROPOSALS FOR THE IMPROVEMENT OF THE CHILD’S POSITION IN RELATION TO ADMINISTRATIVE AUTHORITIES</w:t>
      </w:r>
      <w:r w:rsidR="009B6048" w:rsidRPr="00D06E2E">
        <w:rPr>
          <w:sz w:val="24"/>
          <w:szCs w:val="24"/>
          <w:lang w:val="sr-Latn-RS"/>
        </w:rPr>
        <w:t xml:space="preserve"> </w:t>
      </w:r>
    </w:p>
    <w:p w14:paraId="76F0AD71" w14:textId="77777777" w:rsidR="002714BB" w:rsidRPr="00D06E2E" w:rsidRDefault="002714BB" w:rsidP="00D0747C">
      <w:pPr>
        <w:spacing w:after="0"/>
        <w:jc w:val="center"/>
        <w:rPr>
          <w:sz w:val="24"/>
          <w:szCs w:val="24"/>
          <w:lang w:val="sr-Latn-RS"/>
        </w:rPr>
      </w:pPr>
    </w:p>
    <w:p w14:paraId="2C1F9F24" w14:textId="12EB0B5E" w:rsidR="009B6048" w:rsidRPr="00D06E2E" w:rsidRDefault="00C55B85" w:rsidP="009B6048">
      <w:pPr>
        <w:rPr>
          <w:i/>
          <w:lang w:val="sr-Latn-RS"/>
        </w:rPr>
      </w:pPr>
      <w:r w:rsidRPr="00D06E2E">
        <w:rPr>
          <w:rFonts w:cstheme="minorBidi"/>
          <w:i/>
          <w:lang w:val="sr-Latn-RS"/>
        </w:rPr>
        <w:t>Even though pursuant to Article 19 Paragraph 2 of the Law on the Protector of Citizens, the Protector of Citizens is not authorized to oversee the work of the National Assembly and the Government, the Protector of Citizens thinks it would be useful for the stated authorities to review its proposals.</w:t>
      </w:r>
    </w:p>
    <w:p w14:paraId="410155D0" w14:textId="1A30BA7C" w:rsidR="00E76550" w:rsidRPr="00D06E2E" w:rsidRDefault="00C55B85" w:rsidP="00A65F14">
      <w:pPr>
        <w:pStyle w:val="ListParagraph"/>
        <w:numPr>
          <w:ilvl w:val="0"/>
          <w:numId w:val="26"/>
        </w:numPr>
        <w:ind w:left="425" w:hanging="425"/>
        <w:rPr>
          <w:rFonts w:eastAsia="Times New Roman" w:cs="Times New Roman"/>
          <w:color w:val="000000"/>
          <w:lang w:val="sr-Latn-RS"/>
        </w:rPr>
      </w:pPr>
      <w:r w:rsidRPr="00D06E2E">
        <w:rPr>
          <w:b/>
          <w:lang w:val="sr-Latn-RS"/>
        </w:rPr>
        <w:t>The Government</w:t>
      </w:r>
      <w:r w:rsidR="00E76550" w:rsidRPr="00D06E2E">
        <w:rPr>
          <w:lang w:val="sr-Latn-RS"/>
        </w:rPr>
        <w:t xml:space="preserve"> </w:t>
      </w:r>
      <w:r w:rsidR="00A65F14" w:rsidRPr="00D06E2E">
        <w:rPr>
          <w:rFonts w:eastAsia="Times New Roman" w:cs="Times New Roman"/>
          <w:color w:val="000000"/>
          <w:lang w:val="sr-Latn-RS"/>
        </w:rPr>
        <w:t>should take activities with the aim of execution and adoption of the new National Action Plan for Children so that the Repiblic of Serbia would get unique policy of prevention and improvement of rights and best interests of a child;</w:t>
      </w:r>
    </w:p>
    <w:p w14:paraId="6B45D65D" w14:textId="095CB2C3" w:rsidR="00E76550" w:rsidRPr="00D06E2E" w:rsidRDefault="00C55B85" w:rsidP="00A65F14">
      <w:pPr>
        <w:pStyle w:val="ListParagraph"/>
        <w:numPr>
          <w:ilvl w:val="0"/>
          <w:numId w:val="26"/>
        </w:numPr>
        <w:ind w:left="425" w:hanging="425"/>
        <w:rPr>
          <w:rFonts w:eastAsia="Times New Roman" w:cs="Times New Roman"/>
          <w:color w:val="000000"/>
          <w:lang w:val="sr-Latn-RS"/>
        </w:rPr>
      </w:pPr>
      <w:r w:rsidRPr="00D06E2E">
        <w:rPr>
          <w:b/>
          <w:lang w:val="sr-Latn-RS"/>
        </w:rPr>
        <w:t>The Government</w:t>
      </w:r>
      <w:r w:rsidRPr="00D06E2E">
        <w:rPr>
          <w:lang w:val="sr-Latn-RS"/>
        </w:rPr>
        <w:t xml:space="preserve"> </w:t>
      </w:r>
      <w:r w:rsidR="00A65F14" w:rsidRPr="00D06E2E">
        <w:rPr>
          <w:rFonts w:eastAsia="Times New Roman" w:cs="Times New Roman"/>
          <w:color w:val="000000"/>
          <w:lang w:val="sr-Latn-RS"/>
        </w:rPr>
        <w:t>should take activities with the aim of amendment to the Law on Provention of Domestic Violence which should prescribe special provisions of acting in case of violence against children, including also provisions which prescribe that a child is a victim of violence always when exposed to domestic violence against a family member or close person as well as establish unique records on cases of violence against children;</w:t>
      </w:r>
    </w:p>
    <w:p w14:paraId="61707E4A" w14:textId="2C0A08F1" w:rsidR="001B794E" w:rsidRPr="00D06E2E" w:rsidRDefault="00C55B85" w:rsidP="008F61B3">
      <w:pPr>
        <w:pStyle w:val="ListParagraph"/>
        <w:numPr>
          <w:ilvl w:val="0"/>
          <w:numId w:val="26"/>
        </w:numPr>
        <w:ind w:left="425" w:hanging="425"/>
        <w:rPr>
          <w:rFonts w:eastAsia="Times New Roman" w:cs="Times New Roman"/>
          <w:color w:val="000000"/>
          <w:lang w:val="sr-Latn-RS"/>
        </w:rPr>
      </w:pPr>
      <w:r w:rsidRPr="00D06E2E">
        <w:rPr>
          <w:b/>
          <w:lang w:val="sr-Latn-RS"/>
        </w:rPr>
        <w:lastRenderedPageBreak/>
        <w:t>The Government</w:t>
      </w:r>
      <w:r w:rsidRPr="00D06E2E">
        <w:rPr>
          <w:lang w:val="sr-Latn-RS"/>
        </w:rPr>
        <w:t xml:space="preserve"> </w:t>
      </w:r>
      <w:r w:rsidR="001B794E" w:rsidRPr="00D06E2E">
        <w:rPr>
          <w:rFonts w:eastAsia="Times New Roman" w:cs="Times New Roman"/>
          <w:color w:val="000000"/>
          <w:lang w:val="sr-Latn-RS"/>
        </w:rPr>
        <w:t>should take activities with the aim of amendment to the Law on Public Order and Peace which should provide that children in street situation are not treated at offenders, but as victims of violence, abuse and neglect;</w:t>
      </w:r>
    </w:p>
    <w:p w14:paraId="65CCFA24" w14:textId="468D82E2" w:rsidR="00E76550" w:rsidRPr="00D06E2E" w:rsidRDefault="00C55B85" w:rsidP="001B794E">
      <w:pPr>
        <w:pStyle w:val="ListParagraph"/>
        <w:numPr>
          <w:ilvl w:val="0"/>
          <w:numId w:val="26"/>
        </w:numPr>
        <w:ind w:left="425" w:hanging="425"/>
        <w:rPr>
          <w:rFonts w:eastAsia="Times New Roman" w:cs="Times New Roman"/>
          <w:color w:val="000000"/>
          <w:lang w:val="sr-Latn-RS"/>
        </w:rPr>
      </w:pPr>
      <w:r w:rsidRPr="00D06E2E">
        <w:rPr>
          <w:b/>
          <w:lang w:val="sr-Latn-RS"/>
        </w:rPr>
        <w:t>The Government</w:t>
      </w:r>
      <w:r w:rsidRPr="00D06E2E">
        <w:rPr>
          <w:lang w:val="sr-Latn-RS"/>
        </w:rPr>
        <w:t xml:space="preserve"> </w:t>
      </w:r>
      <w:r w:rsidR="001B794E" w:rsidRPr="00D06E2E">
        <w:rPr>
          <w:rFonts w:eastAsia="Times New Roman" w:cs="Times New Roman"/>
          <w:color w:val="000000"/>
          <w:lang w:val="sr-Latn-RS"/>
        </w:rPr>
        <w:t>should take activities with the aim of amendment of Family Law, Law on Prevention of Domestic Violence and Criminal Code with the aim of provison of more adequate citizen-legal and criminal-legal protection of children against children, early and forced marriages as a form of violence against children, which would harmonize regulations with key international treaties ratified by the Republic of Serbia in the area of child rights and prevention of violence including sexual and gender-based violence;</w:t>
      </w:r>
    </w:p>
    <w:p w14:paraId="03A5284C" w14:textId="7A922DB7" w:rsidR="00E76550" w:rsidRPr="00D06E2E" w:rsidRDefault="00C55B85" w:rsidP="001B794E">
      <w:pPr>
        <w:pStyle w:val="ListParagraph"/>
        <w:numPr>
          <w:ilvl w:val="0"/>
          <w:numId w:val="26"/>
        </w:numPr>
        <w:ind w:left="425" w:hanging="425"/>
        <w:rPr>
          <w:rFonts w:eastAsia="Times New Roman" w:cs="Times New Roman"/>
          <w:color w:val="000000"/>
          <w:lang w:val="sr-Latn-RS"/>
        </w:rPr>
      </w:pPr>
      <w:r w:rsidRPr="00D06E2E">
        <w:rPr>
          <w:b/>
          <w:lang w:val="sr-Latn-RS"/>
        </w:rPr>
        <w:t>The Government</w:t>
      </w:r>
      <w:r w:rsidRPr="00D06E2E">
        <w:rPr>
          <w:lang w:val="sr-Latn-RS"/>
        </w:rPr>
        <w:t xml:space="preserve"> </w:t>
      </w:r>
      <w:r w:rsidR="001B794E" w:rsidRPr="00D06E2E">
        <w:rPr>
          <w:rFonts w:eastAsia="Times New Roman" w:cs="Times New Roman"/>
          <w:color w:val="000000"/>
          <w:lang w:val="sr-Latn-RS"/>
        </w:rPr>
        <w:t>should take activities with the aim of amendment of existing regulations or passing new ones which should provide new rights and support measures for parents of gravely ill children and children with developmental difficulties and disabilities who need constant care and aid;</w:t>
      </w:r>
    </w:p>
    <w:p w14:paraId="1CC063C2" w14:textId="12CFD9D0" w:rsidR="00A533B5" w:rsidRPr="00D06E2E" w:rsidRDefault="00C55B85" w:rsidP="008F61B3">
      <w:pPr>
        <w:pStyle w:val="ListParagraph"/>
        <w:numPr>
          <w:ilvl w:val="0"/>
          <w:numId w:val="26"/>
        </w:numPr>
        <w:ind w:left="425" w:hanging="425"/>
        <w:rPr>
          <w:rFonts w:eastAsia="Times New Roman" w:cs="Times New Roman"/>
          <w:color w:val="000000"/>
          <w:lang w:val="sr-Latn-RS"/>
        </w:rPr>
      </w:pPr>
      <w:r w:rsidRPr="00D06E2E">
        <w:rPr>
          <w:b/>
          <w:lang w:val="sr-Latn-RS"/>
        </w:rPr>
        <w:t>The Government</w:t>
      </w:r>
      <w:r w:rsidRPr="00D06E2E">
        <w:rPr>
          <w:lang w:val="sr-Latn-RS"/>
        </w:rPr>
        <w:t xml:space="preserve"> </w:t>
      </w:r>
      <w:r w:rsidR="00A533B5" w:rsidRPr="00D06E2E">
        <w:rPr>
          <w:rFonts w:eastAsia="Times New Roman" w:cs="Times New Roman"/>
          <w:color w:val="000000"/>
          <w:lang w:val="sr-Latn-RS"/>
        </w:rPr>
        <w:t>should take activities for the preparation and adoption of comprehensive plans for suppression of delinquency and violence among children and youth;</w:t>
      </w:r>
    </w:p>
    <w:p w14:paraId="30178BE3" w14:textId="7598B2C8" w:rsidR="00A533B5" w:rsidRPr="00D06E2E" w:rsidRDefault="00C55B85" w:rsidP="008F61B3">
      <w:pPr>
        <w:pStyle w:val="ListParagraph"/>
        <w:numPr>
          <w:ilvl w:val="0"/>
          <w:numId w:val="26"/>
        </w:numPr>
        <w:ind w:left="426" w:hanging="425"/>
        <w:rPr>
          <w:rFonts w:cs="Calibri"/>
          <w:lang w:val="sr-Latn-RS"/>
        </w:rPr>
      </w:pPr>
      <w:r w:rsidRPr="00D06E2E">
        <w:rPr>
          <w:rFonts w:cs="Calibri"/>
          <w:b/>
          <w:lang w:val="sr-Latn-RS"/>
        </w:rPr>
        <w:t>Ministries</w:t>
      </w:r>
      <w:r w:rsidR="00E76550" w:rsidRPr="00D06E2E">
        <w:rPr>
          <w:rFonts w:cs="Calibri"/>
          <w:lang w:val="sr-Latn-RS"/>
        </w:rPr>
        <w:t xml:space="preserve"> </w:t>
      </w:r>
      <w:r w:rsidR="00A533B5" w:rsidRPr="00D06E2E">
        <w:rPr>
          <w:rFonts w:cs="Calibri"/>
          <w:lang w:val="sr-Latn-RS"/>
        </w:rPr>
        <w:t>whose scope involves care about family and demography, education, youth and sport, health, justice, interior, social welfare, culture, trade, tourism and telecommunication and transport, should elaborate in more details in special protocols the actions within their competences, in compliance with principles and goals of the General protocol for the protection of children against violence, with the aim of the realization of efficient interdepartmental and intradepartmental cooperation;</w:t>
      </w:r>
    </w:p>
    <w:p w14:paraId="5850E787" w14:textId="6055B43F" w:rsidR="00E76550" w:rsidRPr="00D06E2E" w:rsidRDefault="00C55B85" w:rsidP="0063148D">
      <w:pPr>
        <w:pStyle w:val="ListParagraph"/>
        <w:numPr>
          <w:ilvl w:val="0"/>
          <w:numId w:val="26"/>
        </w:numPr>
        <w:ind w:left="426" w:hanging="425"/>
        <w:rPr>
          <w:bCs/>
          <w:lang w:val="sr-Latn-RS"/>
        </w:rPr>
      </w:pPr>
      <w:r w:rsidRPr="00D06E2E">
        <w:rPr>
          <w:b/>
          <w:bCs/>
          <w:lang w:val="sr-Latn-RS"/>
        </w:rPr>
        <w:t>The Ministry of Labor, Employment, Veteran and Social Policy</w:t>
      </w:r>
      <w:r w:rsidR="00E76550" w:rsidRPr="00D06E2E">
        <w:rPr>
          <w:b/>
          <w:bCs/>
          <w:lang w:val="sr-Latn-RS"/>
        </w:rPr>
        <w:t xml:space="preserve"> </w:t>
      </w:r>
      <w:r w:rsidR="0063148D" w:rsidRPr="00D06E2E">
        <w:rPr>
          <w:bCs/>
          <w:lang w:val="sr-Latn-RS"/>
        </w:rPr>
        <w:t>should provide an adequate number of employees at centers for social work as well as in centers for family accommodation and adoption so that full application of standards of professional work and adequate actions of centers in full scope of their competence in the area of social welfare would be enabled;</w:t>
      </w:r>
    </w:p>
    <w:p w14:paraId="32CF068D" w14:textId="0A5CE6AB" w:rsidR="00E76550" w:rsidRPr="00D06E2E" w:rsidRDefault="00C55B85" w:rsidP="0063148D">
      <w:pPr>
        <w:pStyle w:val="ListParagraph"/>
        <w:numPr>
          <w:ilvl w:val="0"/>
          <w:numId w:val="26"/>
        </w:numPr>
        <w:ind w:left="426" w:hanging="426"/>
        <w:rPr>
          <w:lang w:val="sr-Latn-RS"/>
        </w:rPr>
      </w:pPr>
      <w:r w:rsidRPr="00D06E2E">
        <w:rPr>
          <w:b/>
          <w:lang w:val="sr-Latn-RS"/>
        </w:rPr>
        <w:t>Ministry of Family Welfare and Demography</w:t>
      </w:r>
      <w:r w:rsidR="00E76550" w:rsidRPr="00D06E2E">
        <w:rPr>
          <w:b/>
          <w:lang w:val="sr-Latn-RS"/>
        </w:rPr>
        <w:t xml:space="preserve"> </w:t>
      </w:r>
      <w:r w:rsidR="008D5FA0" w:rsidRPr="00D06E2E">
        <w:rPr>
          <w:lang w:val="sr-Latn-RS"/>
        </w:rPr>
        <w:t>should ensure that centers for social work take all available measures in compliance with the best interest of the child against the parent who is suspected of abusing the parent right, all with the aim of protection of children against potential violence, abuse or neglect</w:t>
      </w:r>
      <w:r w:rsidR="00E76550" w:rsidRPr="00D06E2E">
        <w:rPr>
          <w:lang w:val="sr-Latn-RS"/>
        </w:rPr>
        <w:t>;</w:t>
      </w:r>
    </w:p>
    <w:p w14:paraId="4B3B2743" w14:textId="7AACD4AB" w:rsidR="00E76550" w:rsidRPr="00D06E2E" w:rsidRDefault="00C55B85" w:rsidP="008D5FA0">
      <w:pPr>
        <w:pStyle w:val="ListParagraph"/>
        <w:numPr>
          <w:ilvl w:val="0"/>
          <w:numId w:val="26"/>
        </w:numPr>
        <w:ind w:left="426" w:hanging="426"/>
        <w:rPr>
          <w:color w:val="000000"/>
          <w:lang w:val="sr-Latn-RS"/>
        </w:rPr>
      </w:pPr>
      <w:r w:rsidRPr="00D06E2E">
        <w:rPr>
          <w:b/>
          <w:color w:val="000000"/>
          <w:lang w:val="sr-Latn-RS"/>
        </w:rPr>
        <w:t>Ministry of Education</w:t>
      </w:r>
      <w:r w:rsidR="00E76550" w:rsidRPr="00D06E2E">
        <w:rPr>
          <w:color w:val="000000"/>
          <w:lang w:val="sr-Latn-RS"/>
        </w:rPr>
        <w:t xml:space="preserve"> </w:t>
      </w:r>
      <w:r w:rsidR="00246A66" w:rsidRPr="00D06E2E">
        <w:rPr>
          <w:color w:val="000000"/>
          <w:lang w:val="sr-Latn-RS"/>
        </w:rPr>
        <w:t xml:space="preserve">should ensure that the greatest attention in every educational institution is paid to continued, comprehensive and systemic planning of </w:t>
      </w:r>
      <w:r w:rsidR="008D5FA0" w:rsidRPr="00D06E2E">
        <w:rPr>
          <w:color w:val="000000"/>
          <w:lang w:val="sr-Latn-RS"/>
        </w:rPr>
        <w:t>preventive activities which are crucial in suppression of violence and which would also include parents;</w:t>
      </w:r>
    </w:p>
    <w:p w14:paraId="6D2E4F04" w14:textId="73178197" w:rsidR="00246A66" w:rsidRPr="00D06E2E" w:rsidRDefault="00C55B85" w:rsidP="008F61B3">
      <w:pPr>
        <w:pStyle w:val="ListParagraph"/>
        <w:numPr>
          <w:ilvl w:val="0"/>
          <w:numId w:val="26"/>
        </w:numPr>
        <w:ind w:left="426" w:hanging="426"/>
        <w:rPr>
          <w:lang w:val="sr-Latn-RS"/>
        </w:rPr>
      </w:pPr>
      <w:r w:rsidRPr="00D06E2E">
        <w:rPr>
          <w:rFonts w:cs="Calibri"/>
          <w:b/>
          <w:lang w:val="sr-Latn-RS" w:eastAsia="nl-NL"/>
        </w:rPr>
        <w:t>Ministry of Education</w:t>
      </w:r>
      <w:r w:rsidR="00E76550" w:rsidRPr="00D06E2E">
        <w:rPr>
          <w:rFonts w:cs="Calibri"/>
          <w:b/>
          <w:lang w:val="sr-Latn-RS" w:eastAsia="nl-NL"/>
        </w:rPr>
        <w:t xml:space="preserve"> </w:t>
      </w:r>
      <w:r w:rsidR="00246A66" w:rsidRPr="00D06E2E">
        <w:rPr>
          <w:lang w:val="sr-Latn-RS"/>
        </w:rPr>
        <w:t>should provide adequate trainings for employees at educational institutions in the area of protection against violence, abuse and neglect, for the purpose of better recognition of violence and adequate application of existing regulations in the protection against violence;</w:t>
      </w:r>
    </w:p>
    <w:p w14:paraId="6EF3F7BD" w14:textId="5E96E393" w:rsidR="00246A66" w:rsidRPr="00D06E2E" w:rsidRDefault="00C55B85" w:rsidP="008F61B3">
      <w:pPr>
        <w:pStyle w:val="ListParagraph"/>
        <w:numPr>
          <w:ilvl w:val="0"/>
          <w:numId w:val="26"/>
        </w:numPr>
        <w:ind w:left="426" w:hanging="426"/>
        <w:rPr>
          <w:lang w:val="sr-Latn-RS"/>
        </w:rPr>
      </w:pPr>
      <w:r w:rsidRPr="00D06E2E">
        <w:rPr>
          <w:b/>
          <w:lang w:val="sr-Latn-RS"/>
        </w:rPr>
        <w:t>Ministry of Education</w:t>
      </w:r>
      <w:r w:rsidR="00E76550" w:rsidRPr="00D06E2E">
        <w:rPr>
          <w:b/>
          <w:lang w:val="sr-Latn-RS"/>
        </w:rPr>
        <w:t xml:space="preserve"> </w:t>
      </w:r>
      <w:r w:rsidR="00246A66" w:rsidRPr="00D06E2E">
        <w:rPr>
          <w:lang w:val="sr-Latn-RS"/>
        </w:rPr>
        <w:t>should ensure that educational institutions provide additional support to every child with developmental difficulties who need it as well as an adequate number of students at classes and the number of children in educational groups, accessibility of facilities and other preconditions for the provision of additional support to children and students in the process of education with individualized access and respect of needs of every child and student;</w:t>
      </w:r>
    </w:p>
    <w:p w14:paraId="313AA4FA" w14:textId="5972E9B1" w:rsidR="00246A66" w:rsidRPr="00D06E2E" w:rsidRDefault="00C55B85" w:rsidP="008F61B3">
      <w:pPr>
        <w:pStyle w:val="ListParagraph"/>
        <w:numPr>
          <w:ilvl w:val="0"/>
          <w:numId w:val="26"/>
        </w:numPr>
        <w:ind w:left="425" w:hanging="425"/>
        <w:rPr>
          <w:lang w:val="sr-Latn-RS"/>
        </w:rPr>
      </w:pPr>
      <w:r w:rsidRPr="00D06E2E">
        <w:rPr>
          <w:b/>
          <w:lang w:val="sr-Latn-RS"/>
        </w:rPr>
        <w:lastRenderedPageBreak/>
        <w:t>Competent authorities</w:t>
      </w:r>
      <w:r w:rsidR="00E76550" w:rsidRPr="00D06E2E">
        <w:rPr>
          <w:b/>
          <w:lang w:val="sr-Latn-RS"/>
        </w:rPr>
        <w:t xml:space="preserve"> </w:t>
      </w:r>
      <w:r w:rsidR="00246A66" w:rsidRPr="00D06E2E">
        <w:rPr>
          <w:lang w:val="sr-Latn-RS"/>
        </w:rPr>
        <w:t>should establish coordinated cooperation, provide comprehensive and systemic prevention of violence which would include parents, too and continued education of professionals in the system of protection against violence for the purpose of recognition and timely response in all cases where there is a doubt that a child is a victim of violence;</w:t>
      </w:r>
    </w:p>
    <w:p w14:paraId="641213E7" w14:textId="1FBFE242" w:rsidR="00E76550" w:rsidRPr="00D06E2E" w:rsidRDefault="00C55B85" w:rsidP="008F61B3">
      <w:pPr>
        <w:pStyle w:val="ListParagraph"/>
        <w:numPr>
          <w:ilvl w:val="0"/>
          <w:numId w:val="26"/>
        </w:numPr>
        <w:ind w:left="425" w:hanging="425"/>
        <w:rPr>
          <w:lang w:val="sr-Latn-RS"/>
        </w:rPr>
      </w:pPr>
      <w:r w:rsidRPr="00D06E2E">
        <w:rPr>
          <w:b/>
          <w:lang w:val="sr-Latn-RS"/>
        </w:rPr>
        <w:t>Ministry of Family Welfare and Demography and Provincial Secretariat for Social Policy, Demography and Gender Equality</w:t>
      </w:r>
      <w:r w:rsidR="00E76550" w:rsidRPr="00D06E2E">
        <w:rPr>
          <w:b/>
          <w:lang w:val="sr-Latn-RS"/>
        </w:rPr>
        <w:t xml:space="preserve"> </w:t>
      </w:r>
      <w:r w:rsidR="00F840CE" w:rsidRPr="00D06E2E">
        <w:rPr>
          <w:lang w:val="sr-Latn-RS"/>
        </w:rPr>
        <w:t>should take measures so as to prevent postponement of long court proceedings due to inefficient and untimely acting of professional employees of centers for social work during the submission of the information and professional opinions to courts</w:t>
      </w:r>
      <w:r w:rsidR="007315A2" w:rsidRPr="00D06E2E">
        <w:rPr>
          <w:lang w:val="sr-Latn-RS"/>
        </w:rPr>
        <w:t>;</w:t>
      </w:r>
    </w:p>
    <w:p w14:paraId="25914F00" w14:textId="3BFC288D" w:rsidR="00C55B85" w:rsidRPr="00D06E2E" w:rsidRDefault="00C55B85" w:rsidP="00201A20">
      <w:pPr>
        <w:pStyle w:val="ListParagraph"/>
        <w:numPr>
          <w:ilvl w:val="0"/>
          <w:numId w:val="26"/>
        </w:numPr>
        <w:ind w:left="425" w:hanging="425"/>
        <w:rPr>
          <w:lang w:val="sr-Latn-RS"/>
        </w:rPr>
      </w:pPr>
      <w:r w:rsidRPr="00D06E2E">
        <w:rPr>
          <w:b/>
          <w:lang w:val="sr-Latn-RS"/>
        </w:rPr>
        <w:t>Ministry of Finance</w:t>
      </w:r>
      <w:r w:rsidR="00E76550" w:rsidRPr="00D06E2E">
        <w:rPr>
          <w:b/>
          <w:lang w:val="sr-Latn-RS"/>
        </w:rPr>
        <w:t xml:space="preserve"> </w:t>
      </w:r>
      <w:r w:rsidRPr="00D06E2E">
        <w:rPr>
          <w:lang w:val="sr-Latn-RS"/>
        </w:rPr>
        <w:t xml:space="preserve">should take activities so that the right to financial aid in the amount of RSD 10,000 would be granted to parents who during the application for the exercise of right to financial aid wrongly entered any of required data, whose identity may be confirmed without any doubt based on the available records of competent public authorities, if these parents meet the conditions for the payout of the financial aid stipulated by Article </w:t>
      </w:r>
      <w:r w:rsidR="00F840CE" w:rsidRPr="00D06E2E">
        <w:rPr>
          <w:lang w:val="sr-Latn-RS"/>
        </w:rPr>
        <w:t>3 of the Law on Temporary Register of Mothers and Other Persons Who Receive Financial Aid.</w:t>
      </w:r>
    </w:p>
    <w:p w14:paraId="6087B4CD" w14:textId="32781E81" w:rsidR="00201A20" w:rsidRPr="00D06E2E" w:rsidRDefault="00201A20" w:rsidP="00201A20">
      <w:pPr>
        <w:rPr>
          <w:lang w:val="sr-Latn-RS"/>
        </w:rPr>
      </w:pPr>
    </w:p>
    <w:p w14:paraId="45371766" w14:textId="77777777" w:rsidR="00201A20" w:rsidRPr="00D06E2E" w:rsidRDefault="00201A20" w:rsidP="00201A20">
      <w:pPr>
        <w:rPr>
          <w:lang w:val="sr-Latn-RS"/>
        </w:rPr>
      </w:pPr>
    </w:p>
    <w:p w14:paraId="15958414" w14:textId="62E50857" w:rsidR="00BF4DF8" w:rsidRPr="00D06E2E" w:rsidRDefault="00BF4DF8" w:rsidP="00C228CA">
      <w:pPr>
        <w:jc w:val="center"/>
        <w:rPr>
          <w:rFonts w:eastAsia="Times New Roman" w:cs="Times New Roman"/>
          <w:lang w:val="sr-Latn-RS" w:eastAsia="en-GB"/>
        </w:rPr>
      </w:pPr>
    </w:p>
    <w:p w14:paraId="077DEBD1" w14:textId="17F9BECE" w:rsidR="00B60BA0" w:rsidRPr="00D06E2E" w:rsidRDefault="00B60BA0" w:rsidP="00C228CA">
      <w:pPr>
        <w:jc w:val="center"/>
        <w:rPr>
          <w:rFonts w:eastAsia="Times New Roman" w:cs="Times New Roman"/>
          <w:lang w:val="sr-Latn-RS" w:eastAsia="en-GB"/>
        </w:rPr>
      </w:pPr>
    </w:p>
    <w:p w14:paraId="6319B5C2" w14:textId="48928BC4" w:rsidR="00B60BA0" w:rsidRPr="00D06E2E" w:rsidRDefault="00B60BA0" w:rsidP="00C228CA">
      <w:pPr>
        <w:jc w:val="center"/>
        <w:rPr>
          <w:rFonts w:eastAsia="Times New Roman" w:cs="Times New Roman"/>
          <w:lang w:val="sr-Latn-RS" w:eastAsia="en-GB"/>
        </w:rPr>
      </w:pPr>
    </w:p>
    <w:p w14:paraId="3908B545" w14:textId="77777777" w:rsidR="00B60BA0" w:rsidRPr="00D06E2E" w:rsidRDefault="00B60BA0" w:rsidP="00C228CA">
      <w:pPr>
        <w:jc w:val="center"/>
        <w:rPr>
          <w:rFonts w:eastAsia="Times New Roman" w:cs="Times New Roman"/>
          <w:lang w:val="sr-Latn-RS" w:eastAsia="en-GB"/>
        </w:rPr>
      </w:pPr>
    </w:p>
    <w:p w14:paraId="23F8B25B" w14:textId="46087973" w:rsidR="00CD47A2" w:rsidRPr="00D06E2E" w:rsidRDefault="00CD47A2" w:rsidP="00C228CA">
      <w:pPr>
        <w:jc w:val="center"/>
        <w:rPr>
          <w:rFonts w:eastAsia="Times New Roman" w:cs="Times New Roman"/>
          <w:lang w:val="sr-Latn-RS" w:eastAsia="en-GB"/>
        </w:rPr>
      </w:pPr>
    </w:p>
    <w:p w14:paraId="4E281D33" w14:textId="06F50BF8" w:rsidR="009A2EAC" w:rsidRPr="00D06E2E" w:rsidRDefault="009A2EAC" w:rsidP="00C228CA">
      <w:pPr>
        <w:jc w:val="center"/>
        <w:rPr>
          <w:rFonts w:eastAsia="Times New Roman" w:cs="Times New Roman"/>
          <w:lang w:val="sr-Latn-RS" w:eastAsia="en-GB"/>
        </w:rPr>
      </w:pPr>
    </w:p>
    <w:p w14:paraId="01D8E830" w14:textId="5717222E" w:rsidR="009A2EAC" w:rsidRPr="00D06E2E" w:rsidRDefault="009A2EAC" w:rsidP="00C228CA">
      <w:pPr>
        <w:jc w:val="center"/>
        <w:rPr>
          <w:rFonts w:eastAsia="Times New Roman" w:cs="Times New Roman"/>
          <w:lang w:val="sr-Latn-RS" w:eastAsia="en-GB"/>
        </w:rPr>
      </w:pPr>
    </w:p>
    <w:p w14:paraId="2D871AE0" w14:textId="3CECD3D6" w:rsidR="00C512A5" w:rsidRPr="00D06E2E" w:rsidRDefault="00C512A5" w:rsidP="00C228CA">
      <w:pPr>
        <w:jc w:val="center"/>
        <w:rPr>
          <w:rFonts w:eastAsia="Times New Roman" w:cs="Times New Roman"/>
          <w:lang w:val="sr-Latn-RS" w:eastAsia="en-GB"/>
        </w:rPr>
      </w:pPr>
    </w:p>
    <w:p w14:paraId="64879820" w14:textId="649E5E08" w:rsidR="00C512A5" w:rsidRPr="00D06E2E" w:rsidRDefault="00C512A5" w:rsidP="00C228CA">
      <w:pPr>
        <w:jc w:val="center"/>
        <w:rPr>
          <w:rFonts w:eastAsia="Times New Roman" w:cs="Times New Roman"/>
          <w:lang w:val="sr-Latn-RS" w:eastAsia="en-GB"/>
        </w:rPr>
      </w:pPr>
    </w:p>
    <w:p w14:paraId="2A8A3931" w14:textId="13F0F46A" w:rsidR="00C512A5" w:rsidRPr="00D06E2E" w:rsidRDefault="00C512A5" w:rsidP="00C228CA">
      <w:pPr>
        <w:jc w:val="center"/>
        <w:rPr>
          <w:rFonts w:eastAsia="Times New Roman" w:cs="Times New Roman"/>
          <w:lang w:val="sr-Latn-RS" w:eastAsia="en-GB"/>
        </w:rPr>
      </w:pPr>
    </w:p>
    <w:p w14:paraId="1DDD2FCC" w14:textId="77777777" w:rsidR="00C512A5" w:rsidRPr="00D06E2E" w:rsidRDefault="00C512A5" w:rsidP="00C228CA">
      <w:pPr>
        <w:jc w:val="center"/>
        <w:rPr>
          <w:rFonts w:eastAsia="Times New Roman" w:cs="Times New Roman"/>
          <w:lang w:val="sr-Latn-RS" w:eastAsia="en-GB"/>
        </w:rPr>
      </w:pPr>
    </w:p>
    <w:p w14:paraId="503CD2D1" w14:textId="5072CD72" w:rsidR="009A2EAC" w:rsidRPr="00D06E2E" w:rsidRDefault="009A2EAC" w:rsidP="00C228CA">
      <w:pPr>
        <w:jc w:val="center"/>
        <w:rPr>
          <w:rFonts w:eastAsia="Times New Roman" w:cs="Times New Roman"/>
          <w:lang w:val="sr-Latn-RS" w:eastAsia="en-GB"/>
        </w:rPr>
      </w:pPr>
    </w:p>
    <w:p w14:paraId="5F4069E6" w14:textId="3E8BE1AE" w:rsidR="00D0747C" w:rsidRPr="00D06E2E" w:rsidRDefault="00D0747C" w:rsidP="00C228CA">
      <w:pPr>
        <w:jc w:val="center"/>
        <w:rPr>
          <w:rFonts w:eastAsia="Times New Roman" w:cs="Times New Roman"/>
          <w:lang w:val="sr-Latn-RS" w:eastAsia="en-GB"/>
        </w:rPr>
      </w:pPr>
    </w:p>
    <w:p w14:paraId="175DAE66" w14:textId="47AEDA51" w:rsidR="00B778A8" w:rsidRPr="00D06E2E" w:rsidRDefault="00B778A8" w:rsidP="00C228CA">
      <w:pPr>
        <w:jc w:val="center"/>
        <w:rPr>
          <w:rFonts w:eastAsia="Times New Roman" w:cs="Times New Roman"/>
          <w:lang w:val="sr-Latn-RS" w:eastAsia="en-GB"/>
        </w:rPr>
      </w:pPr>
    </w:p>
    <w:p w14:paraId="19FA3483" w14:textId="02DAB9A5" w:rsidR="0058338B" w:rsidRPr="00D06E2E" w:rsidRDefault="0058338B" w:rsidP="00C228CA">
      <w:pPr>
        <w:jc w:val="center"/>
        <w:rPr>
          <w:rFonts w:eastAsia="Times New Roman" w:cs="Times New Roman"/>
          <w:lang w:val="sr-Latn-RS" w:eastAsia="en-GB"/>
        </w:rPr>
      </w:pPr>
    </w:p>
    <w:p w14:paraId="1C10A079" w14:textId="218327A0" w:rsidR="0058338B" w:rsidRPr="00D06E2E" w:rsidRDefault="0058338B" w:rsidP="00C228CA">
      <w:pPr>
        <w:jc w:val="center"/>
        <w:rPr>
          <w:rFonts w:eastAsia="Times New Roman" w:cs="Times New Roman"/>
          <w:lang w:val="sr-Latn-RS" w:eastAsia="en-GB"/>
        </w:rPr>
      </w:pPr>
    </w:p>
    <w:p w14:paraId="3F93FC1E" w14:textId="76F83DC8" w:rsidR="002714BB" w:rsidRPr="00D06E2E" w:rsidRDefault="002714BB" w:rsidP="00C228CA">
      <w:pPr>
        <w:jc w:val="center"/>
        <w:rPr>
          <w:rFonts w:eastAsia="Times New Roman" w:cs="Times New Roman"/>
          <w:lang w:val="sr-Latn-RS" w:eastAsia="en-GB"/>
        </w:rPr>
      </w:pPr>
    </w:p>
    <w:p w14:paraId="2C671FFD" w14:textId="77777777" w:rsidR="002714BB" w:rsidRPr="00D06E2E" w:rsidRDefault="002714BB" w:rsidP="00C228CA">
      <w:pPr>
        <w:jc w:val="center"/>
        <w:rPr>
          <w:rFonts w:eastAsia="Times New Roman" w:cs="Times New Roman"/>
          <w:lang w:val="sr-Latn-RS" w:eastAsia="en-GB"/>
        </w:rPr>
      </w:pPr>
    </w:p>
    <w:p w14:paraId="3378CF31" w14:textId="77777777" w:rsidR="009524BC" w:rsidRPr="00D06E2E" w:rsidRDefault="009524BC" w:rsidP="00C228CA">
      <w:pPr>
        <w:jc w:val="center"/>
        <w:rPr>
          <w:rFonts w:eastAsia="Times New Roman" w:cs="Times New Roman"/>
          <w:lang w:val="sr-Latn-RS" w:eastAsia="en-GB"/>
        </w:rPr>
      </w:pPr>
    </w:p>
    <w:p w14:paraId="794E4D05" w14:textId="6D31D656" w:rsidR="00830C3E" w:rsidRPr="00D06E2E" w:rsidRDefault="00D0747C" w:rsidP="00590763">
      <w:pPr>
        <w:pStyle w:val="Heading2"/>
        <w:spacing w:after="0"/>
        <w:rPr>
          <w:lang w:val="sr-Latn-RS"/>
        </w:rPr>
      </w:pPr>
      <w:r w:rsidRPr="00D06E2E">
        <w:rPr>
          <w:lang w:val="sr-Latn-RS"/>
        </w:rPr>
        <w:lastRenderedPageBreak/>
        <w:t>GENDER EQUALITY AND RIGHTS OF LGBTI PERSONS</w:t>
      </w:r>
    </w:p>
    <w:p w14:paraId="4BEDA52A" w14:textId="77777777" w:rsidR="00830C3E" w:rsidRPr="00D06E2E" w:rsidRDefault="00830C3E" w:rsidP="00590763">
      <w:pPr>
        <w:spacing w:after="0"/>
        <w:rPr>
          <w:lang w:val="sr-Latn-RS"/>
        </w:rPr>
      </w:pPr>
    </w:p>
    <w:p w14:paraId="76E608E8" w14:textId="0251E959" w:rsidR="006776A7" w:rsidRPr="00D06E2E" w:rsidRDefault="00D0747C" w:rsidP="000A2E2F">
      <w:pPr>
        <w:jc w:val="center"/>
        <w:rPr>
          <w:bCs/>
          <w:noProof/>
          <w:sz w:val="24"/>
          <w:szCs w:val="24"/>
          <w:lang w:val="sr-Latn-RS"/>
        </w:rPr>
      </w:pPr>
      <w:r w:rsidRPr="00D06E2E">
        <w:rPr>
          <w:bCs/>
          <w:noProof/>
          <w:sz w:val="24"/>
          <w:szCs w:val="24"/>
          <w:lang w:val="sr-Latn-RS"/>
        </w:rPr>
        <w:t>STATISTICS</w:t>
      </w:r>
    </w:p>
    <w:p w14:paraId="5740D38B" w14:textId="4680CD0F" w:rsidR="000A2E2F" w:rsidRPr="00D06E2E" w:rsidRDefault="009D2617" w:rsidP="000A2E2F">
      <w:pPr>
        <w:pStyle w:val="Caption"/>
        <w:spacing w:before="0"/>
        <w:rPr>
          <w:lang w:val="sr-Latn-RS"/>
        </w:rPr>
      </w:pPr>
      <w:r w:rsidRPr="00D06E2E">
        <w:rPr>
          <w:b w:val="0"/>
          <w:bCs w:val="0"/>
          <w:lang w:val="sr-Latn-RS"/>
        </w:rPr>
        <w:t xml:space="preserve">In the area of gender equality and tights of LGBTI persons, in 2023 the Protector of Citizens handled </w:t>
      </w:r>
      <w:r w:rsidR="000A2E2F" w:rsidRPr="00D06E2E">
        <w:rPr>
          <w:b w:val="0"/>
          <w:bCs w:val="0"/>
          <w:lang w:val="sr-Latn-RS"/>
        </w:rPr>
        <w:t xml:space="preserve">83 </w:t>
      </w:r>
      <w:r w:rsidRPr="00D06E2E">
        <w:rPr>
          <w:b w:val="0"/>
          <w:bCs w:val="0"/>
          <w:lang w:val="sr-Latn-RS"/>
        </w:rPr>
        <w:t>cases</w:t>
      </w:r>
      <w:r w:rsidR="000A2E2F" w:rsidRPr="00D06E2E">
        <w:rPr>
          <w:b w:val="0"/>
          <w:bCs w:val="0"/>
          <w:lang w:val="sr-Latn-RS"/>
        </w:rPr>
        <w:t>,</w:t>
      </w:r>
      <w:r w:rsidRPr="00D06E2E">
        <w:rPr>
          <w:b w:val="0"/>
          <w:bCs w:val="0"/>
          <w:lang w:val="sr-Latn-RS"/>
        </w:rPr>
        <w:t xml:space="preserve"> of which</w:t>
      </w:r>
      <w:r w:rsidR="000A2E2F" w:rsidRPr="00D06E2E">
        <w:rPr>
          <w:b w:val="0"/>
          <w:bCs w:val="0"/>
          <w:lang w:val="sr-Latn-RS"/>
        </w:rPr>
        <w:t xml:space="preserve"> 71</w:t>
      </w:r>
      <w:r w:rsidRPr="00D06E2E">
        <w:rPr>
          <w:b w:val="0"/>
          <w:bCs w:val="0"/>
          <w:lang w:val="sr-Latn-RS"/>
        </w:rPr>
        <w:t xml:space="preserve"> were citizen complaints and 12 cases upon its own initiative</w:t>
      </w:r>
      <w:r w:rsidR="000A2E2F" w:rsidRPr="00D06E2E">
        <w:rPr>
          <w:b w:val="0"/>
          <w:bCs w:val="0"/>
          <w:lang w:val="sr-Latn-RS"/>
        </w:rPr>
        <w:t xml:space="preserve">. </w:t>
      </w:r>
      <w:r w:rsidRPr="00D06E2E">
        <w:rPr>
          <w:b w:val="0"/>
          <w:bCs w:val="0"/>
          <w:lang w:val="sr-Latn-RS"/>
        </w:rPr>
        <w:t xml:space="preserve">The cases in this area comprise </w:t>
      </w:r>
      <w:r w:rsidRPr="00D06E2E">
        <w:rPr>
          <w:b w:val="0"/>
          <w:lang w:val="sr-Latn-RS"/>
        </w:rPr>
        <w:t>1.</w:t>
      </w:r>
      <w:r w:rsidRPr="00D06E2E">
        <w:rPr>
          <w:b w:val="0"/>
          <w:bCs w:val="0"/>
          <w:lang w:val="sr-Latn-RS"/>
        </w:rPr>
        <w:t xml:space="preserve"> percent of the total number of handled cases in 2023</w:t>
      </w:r>
      <w:r w:rsidR="000A2E2F" w:rsidRPr="00D06E2E">
        <w:rPr>
          <w:b w:val="0"/>
          <w:lang w:val="sr-Latn-RS"/>
        </w:rPr>
        <w:t xml:space="preserve">. </w:t>
      </w:r>
      <w:r w:rsidRPr="00D06E2E">
        <w:rPr>
          <w:b w:val="0"/>
          <w:lang w:val="sr-Latn-RS"/>
        </w:rPr>
        <w:t>Of 83 handled cases, the Protector of Citizens completed the work in 77 cases. In 2023</w:t>
      </w:r>
      <w:r w:rsidR="000A2E2F" w:rsidRPr="00D06E2E">
        <w:rPr>
          <w:b w:val="0"/>
          <w:lang w:val="sr-Latn-RS"/>
        </w:rPr>
        <w:t xml:space="preserve"> </w:t>
      </w:r>
      <w:r w:rsidR="0012192F" w:rsidRPr="00D06E2E">
        <w:rPr>
          <w:b w:val="0"/>
          <w:bCs w:val="0"/>
          <w:lang w:val="sr-Latn-RS"/>
        </w:rPr>
        <w:t>the work was completed in</w:t>
      </w:r>
      <w:r w:rsidR="0012192F" w:rsidRPr="00D06E2E">
        <w:rPr>
          <w:b w:val="0"/>
          <w:lang w:val="sr-Latn-RS"/>
        </w:rPr>
        <w:t xml:space="preserve"> 19 cases from previous years. </w:t>
      </w:r>
    </w:p>
    <w:p w14:paraId="6D006AC3" w14:textId="5D2049DB" w:rsidR="000A2E2F" w:rsidRPr="00D06E2E" w:rsidRDefault="0012192F" w:rsidP="000A2E2F">
      <w:pPr>
        <w:pStyle w:val="Caption"/>
        <w:spacing w:before="0" w:after="0"/>
        <w:rPr>
          <w:b w:val="0"/>
          <w:lang w:val="sr-Latn-RS"/>
        </w:rPr>
      </w:pPr>
      <w:r w:rsidRPr="00D06E2E">
        <w:rPr>
          <w:b w:val="0"/>
          <w:bCs w:val="0"/>
          <w:lang w:val="sr-Latn-RS"/>
        </w:rPr>
        <w:t xml:space="preserve">The Protector of Citizens issued 50 recommendations to the authorities of which 21 were due for execution in the reporting period. Of this number, administrative authorities acted upon all due recommendations (100 percent). The cases handled in the reporting period, the outcome of acting upon completed cases and outcome of acting upon recommendations were shown in the tables below. </w:t>
      </w:r>
    </w:p>
    <w:p w14:paraId="440CB0ED" w14:textId="77777777" w:rsidR="000A2E2F" w:rsidRPr="00D06E2E" w:rsidRDefault="000A2E2F" w:rsidP="000A2E2F">
      <w:pPr>
        <w:spacing w:after="0"/>
        <w:rPr>
          <w:lang w:val="sr-Latn-RS"/>
        </w:rPr>
      </w:pPr>
    </w:p>
    <w:p w14:paraId="35EC5821" w14:textId="0D4259F3" w:rsidR="000A2E2F" w:rsidRPr="00D06E2E" w:rsidRDefault="0012192F" w:rsidP="000A2E2F">
      <w:pPr>
        <w:pStyle w:val="Caption"/>
        <w:keepNext/>
        <w:spacing w:before="0"/>
        <w:jc w:val="center"/>
        <w:rPr>
          <w:lang w:val="sr-Latn-RS"/>
        </w:rPr>
      </w:pPr>
      <w:r w:rsidRPr="00D06E2E">
        <w:rPr>
          <w:lang w:val="sr-Latn-RS"/>
        </w:rPr>
        <w:t>Table</w:t>
      </w:r>
      <w:r w:rsidR="000A2E2F" w:rsidRPr="00D06E2E">
        <w:rPr>
          <w:lang w:val="sr-Latn-RS"/>
        </w:rPr>
        <w:t xml:space="preserve"> 18 – </w:t>
      </w:r>
      <w:r w:rsidRPr="00D06E2E">
        <w:rPr>
          <w:lang w:val="sr-Latn-RS"/>
        </w:rPr>
        <w:t>The overview of handled cases in 2023</w:t>
      </w:r>
      <w:r w:rsidR="000A2E2F" w:rsidRPr="00D06E2E">
        <w:rPr>
          <w:lang w:val="sr-Latn-RS"/>
        </w:rPr>
        <w:t xml:space="preserve"> </w:t>
      </w:r>
    </w:p>
    <w:tbl>
      <w:tblPr>
        <w:tblW w:w="8934"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4A0" w:firstRow="1" w:lastRow="0" w:firstColumn="1" w:lastColumn="0" w:noHBand="0" w:noVBand="1"/>
      </w:tblPr>
      <w:tblGrid>
        <w:gridCol w:w="5128"/>
        <w:gridCol w:w="1908"/>
        <w:gridCol w:w="1898"/>
      </w:tblGrid>
      <w:tr w:rsidR="000A2E2F" w:rsidRPr="00D06E2E" w14:paraId="750DE9D1" w14:textId="77777777" w:rsidTr="00937B4B">
        <w:trPr>
          <w:trHeight w:hRule="exact" w:val="329"/>
          <w:jc w:val="center"/>
        </w:trPr>
        <w:tc>
          <w:tcPr>
            <w:tcW w:w="5128" w:type="dxa"/>
            <w:vAlign w:val="center"/>
          </w:tcPr>
          <w:p w14:paraId="46FDB045" w14:textId="430F26EE" w:rsidR="000A2E2F" w:rsidRPr="00D06E2E" w:rsidRDefault="00B736F0" w:rsidP="00556F2C">
            <w:pPr>
              <w:spacing w:after="0"/>
              <w:rPr>
                <w:b/>
                <w:lang w:val="sr-Latn-RS"/>
              </w:rPr>
            </w:pPr>
            <w:r w:rsidRPr="00D06E2E">
              <w:rPr>
                <w:b/>
                <w:lang w:val="sr-Latn-RS"/>
              </w:rPr>
              <w:t>N</w:t>
            </w:r>
            <w:r w:rsidR="0012192F" w:rsidRPr="00D06E2E">
              <w:rPr>
                <w:b/>
                <w:lang w:val="sr-Latn-RS"/>
              </w:rPr>
              <w:t>umber of cases in 2023</w:t>
            </w:r>
          </w:p>
        </w:tc>
        <w:tc>
          <w:tcPr>
            <w:tcW w:w="1908" w:type="dxa"/>
            <w:vAlign w:val="center"/>
          </w:tcPr>
          <w:p w14:paraId="0D602F72" w14:textId="77777777" w:rsidR="000A2E2F" w:rsidRPr="00D06E2E" w:rsidRDefault="000A2E2F" w:rsidP="00556F2C">
            <w:pPr>
              <w:spacing w:after="0"/>
              <w:jc w:val="center"/>
              <w:rPr>
                <w:b/>
                <w:lang w:val="sr-Latn-RS"/>
              </w:rPr>
            </w:pPr>
            <w:r w:rsidRPr="00D06E2E">
              <w:rPr>
                <w:b/>
                <w:lang w:val="sr-Latn-RS"/>
              </w:rPr>
              <w:t>83</w:t>
            </w:r>
          </w:p>
        </w:tc>
        <w:tc>
          <w:tcPr>
            <w:tcW w:w="1898" w:type="dxa"/>
          </w:tcPr>
          <w:p w14:paraId="3E08DCDD" w14:textId="77777777" w:rsidR="000A2E2F" w:rsidRPr="00D06E2E" w:rsidRDefault="000A2E2F" w:rsidP="00556F2C">
            <w:pPr>
              <w:spacing w:after="0"/>
              <w:jc w:val="center"/>
              <w:rPr>
                <w:b/>
                <w:lang w:val="sr-Latn-RS"/>
              </w:rPr>
            </w:pPr>
            <w:r w:rsidRPr="00D06E2E">
              <w:rPr>
                <w:b/>
                <w:bCs/>
                <w:lang w:val="sr-Latn-RS"/>
              </w:rPr>
              <w:t>%</w:t>
            </w:r>
          </w:p>
        </w:tc>
      </w:tr>
      <w:tr w:rsidR="000A2E2F" w:rsidRPr="00D06E2E" w14:paraId="2FC130A6" w14:textId="77777777" w:rsidTr="00937B4B">
        <w:trPr>
          <w:trHeight w:hRule="exact" w:val="329"/>
          <w:jc w:val="center"/>
        </w:trPr>
        <w:tc>
          <w:tcPr>
            <w:tcW w:w="5128" w:type="dxa"/>
            <w:vAlign w:val="center"/>
          </w:tcPr>
          <w:p w14:paraId="31CFE778" w14:textId="3D97F862" w:rsidR="000A2E2F" w:rsidRPr="00D06E2E" w:rsidRDefault="00B736F0" w:rsidP="00556F2C">
            <w:pPr>
              <w:spacing w:after="0"/>
              <w:rPr>
                <w:lang w:val="sr-Latn-RS"/>
              </w:rPr>
            </w:pPr>
            <w:r w:rsidRPr="00D06E2E">
              <w:rPr>
                <w:lang w:val="sr-Latn-RS"/>
              </w:rPr>
              <w:t>N</w:t>
            </w:r>
            <w:r w:rsidR="0012192F" w:rsidRPr="00D06E2E">
              <w:rPr>
                <w:lang w:val="sr-Latn-RS"/>
              </w:rPr>
              <w:t>umber of completed cases in 2023</w:t>
            </w:r>
          </w:p>
        </w:tc>
        <w:tc>
          <w:tcPr>
            <w:tcW w:w="1908" w:type="dxa"/>
            <w:vAlign w:val="center"/>
          </w:tcPr>
          <w:p w14:paraId="0FEFB9D8" w14:textId="77777777" w:rsidR="000A2E2F" w:rsidRPr="00D06E2E" w:rsidRDefault="000A2E2F" w:rsidP="00556F2C">
            <w:pPr>
              <w:spacing w:after="0"/>
              <w:jc w:val="center"/>
              <w:rPr>
                <w:lang w:val="sr-Latn-RS"/>
              </w:rPr>
            </w:pPr>
            <w:r w:rsidRPr="00D06E2E">
              <w:rPr>
                <w:lang w:val="sr-Latn-RS"/>
              </w:rPr>
              <w:t>77</w:t>
            </w:r>
          </w:p>
        </w:tc>
        <w:tc>
          <w:tcPr>
            <w:tcW w:w="1898" w:type="dxa"/>
          </w:tcPr>
          <w:p w14:paraId="7AB93F60" w14:textId="6E674AD4" w:rsidR="000A2E2F" w:rsidRPr="00D06E2E" w:rsidRDefault="00B736F0" w:rsidP="00556F2C">
            <w:pPr>
              <w:spacing w:after="0"/>
              <w:jc w:val="center"/>
              <w:rPr>
                <w:lang w:val="sr-Latn-RS"/>
              </w:rPr>
            </w:pPr>
            <w:r w:rsidRPr="00D06E2E">
              <w:rPr>
                <w:lang w:val="sr-Latn-RS"/>
              </w:rPr>
              <w:t>92.</w:t>
            </w:r>
            <w:r w:rsidR="000A2E2F" w:rsidRPr="00D06E2E">
              <w:rPr>
                <w:lang w:val="sr-Latn-RS"/>
              </w:rPr>
              <w:t>77</w:t>
            </w:r>
            <w:r w:rsidR="000A2E2F" w:rsidRPr="00D06E2E">
              <w:rPr>
                <w:b/>
                <w:bCs/>
                <w:lang w:val="sr-Latn-RS"/>
              </w:rPr>
              <w:t>%</w:t>
            </w:r>
          </w:p>
        </w:tc>
      </w:tr>
      <w:tr w:rsidR="000A2E2F" w:rsidRPr="00D06E2E" w14:paraId="286C45C6" w14:textId="77777777" w:rsidTr="00937B4B">
        <w:trPr>
          <w:trHeight w:hRule="exact" w:val="329"/>
          <w:jc w:val="center"/>
        </w:trPr>
        <w:tc>
          <w:tcPr>
            <w:tcW w:w="5128" w:type="dxa"/>
            <w:vAlign w:val="center"/>
          </w:tcPr>
          <w:p w14:paraId="21742400" w14:textId="3F84824A" w:rsidR="000A2E2F" w:rsidRPr="00D06E2E" w:rsidRDefault="00B736F0" w:rsidP="0012192F">
            <w:pPr>
              <w:spacing w:after="0"/>
              <w:rPr>
                <w:lang w:val="sr-Latn-RS"/>
              </w:rPr>
            </w:pPr>
            <w:r w:rsidRPr="00D06E2E">
              <w:rPr>
                <w:lang w:val="sr-Latn-RS"/>
              </w:rPr>
              <w:t>N</w:t>
            </w:r>
            <w:r w:rsidR="0012192F" w:rsidRPr="00D06E2E">
              <w:rPr>
                <w:lang w:val="sr-Latn-RS"/>
              </w:rPr>
              <w:t>umber of cases in progress in 2023</w:t>
            </w:r>
          </w:p>
        </w:tc>
        <w:tc>
          <w:tcPr>
            <w:tcW w:w="1908" w:type="dxa"/>
            <w:vAlign w:val="center"/>
          </w:tcPr>
          <w:p w14:paraId="7F95E9B7" w14:textId="77777777" w:rsidR="000A2E2F" w:rsidRPr="00D06E2E" w:rsidRDefault="000A2E2F" w:rsidP="00556F2C">
            <w:pPr>
              <w:spacing w:after="0"/>
              <w:jc w:val="center"/>
              <w:rPr>
                <w:lang w:val="sr-Latn-RS"/>
              </w:rPr>
            </w:pPr>
            <w:r w:rsidRPr="00D06E2E">
              <w:rPr>
                <w:lang w:val="sr-Latn-RS"/>
              </w:rPr>
              <w:t>6</w:t>
            </w:r>
          </w:p>
        </w:tc>
        <w:tc>
          <w:tcPr>
            <w:tcW w:w="1898" w:type="dxa"/>
          </w:tcPr>
          <w:p w14:paraId="353409E4" w14:textId="41D28C8A" w:rsidR="000A2E2F" w:rsidRPr="00D06E2E" w:rsidRDefault="00B736F0" w:rsidP="00556F2C">
            <w:pPr>
              <w:spacing w:after="0"/>
              <w:jc w:val="center"/>
              <w:rPr>
                <w:lang w:val="sr-Latn-RS"/>
              </w:rPr>
            </w:pPr>
            <w:r w:rsidRPr="00D06E2E">
              <w:rPr>
                <w:lang w:val="sr-Latn-RS"/>
              </w:rPr>
              <w:t>7.</w:t>
            </w:r>
            <w:r w:rsidR="000A2E2F" w:rsidRPr="00D06E2E">
              <w:rPr>
                <w:lang w:val="sr-Latn-RS"/>
              </w:rPr>
              <w:t>23</w:t>
            </w:r>
            <w:r w:rsidR="000A2E2F" w:rsidRPr="00D06E2E">
              <w:rPr>
                <w:b/>
                <w:bCs/>
                <w:lang w:val="sr-Latn-RS"/>
              </w:rPr>
              <w:t>%</w:t>
            </w:r>
          </w:p>
        </w:tc>
      </w:tr>
    </w:tbl>
    <w:p w14:paraId="5CBD7D84" w14:textId="77777777" w:rsidR="000A2E2F" w:rsidRPr="00D06E2E" w:rsidRDefault="000A2E2F" w:rsidP="000A2E2F">
      <w:pPr>
        <w:pStyle w:val="Caption"/>
        <w:keepNext/>
        <w:spacing w:before="0" w:after="0"/>
        <w:jc w:val="center"/>
        <w:rPr>
          <w:lang w:val="sr-Latn-RS"/>
        </w:rPr>
      </w:pPr>
    </w:p>
    <w:p w14:paraId="6C8520D2" w14:textId="778591B2" w:rsidR="000A2E2F" w:rsidRPr="00D06E2E" w:rsidRDefault="0012192F" w:rsidP="000A2E2F">
      <w:pPr>
        <w:pStyle w:val="Caption"/>
        <w:keepNext/>
        <w:spacing w:before="0"/>
        <w:jc w:val="center"/>
        <w:rPr>
          <w:lang w:val="sr-Latn-RS"/>
        </w:rPr>
      </w:pPr>
      <w:r w:rsidRPr="00D06E2E">
        <w:rPr>
          <w:lang w:val="sr-Latn-RS"/>
        </w:rPr>
        <w:t xml:space="preserve">Table </w:t>
      </w:r>
      <w:r w:rsidR="000A2E2F" w:rsidRPr="00D06E2E">
        <w:rPr>
          <w:lang w:val="sr-Latn-RS"/>
        </w:rPr>
        <w:t xml:space="preserve">19 – </w:t>
      </w:r>
      <w:r w:rsidRPr="00D06E2E">
        <w:rPr>
          <w:lang w:val="sr-Latn-RS"/>
        </w:rPr>
        <w:t>The outcome of</w:t>
      </w:r>
      <w:r w:rsidR="00B736F0" w:rsidRPr="00D06E2E">
        <w:rPr>
          <w:lang w:val="sr-Latn-RS"/>
        </w:rPr>
        <w:t xml:space="preserve"> acting upon recommendations</w:t>
      </w:r>
    </w:p>
    <w:tbl>
      <w:tblPr>
        <w:tblW w:w="8934"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4A0" w:firstRow="1" w:lastRow="0" w:firstColumn="1" w:lastColumn="0" w:noHBand="0" w:noVBand="1"/>
      </w:tblPr>
      <w:tblGrid>
        <w:gridCol w:w="2593"/>
        <w:gridCol w:w="2307"/>
        <w:gridCol w:w="2266"/>
        <w:gridCol w:w="1768"/>
      </w:tblGrid>
      <w:tr w:rsidR="000A2E2F" w:rsidRPr="00D06E2E" w14:paraId="2AAF7B75" w14:textId="77777777" w:rsidTr="00937B4B">
        <w:trPr>
          <w:trHeight w:hRule="exact" w:val="924"/>
          <w:jc w:val="center"/>
        </w:trPr>
        <w:tc>
          <w:tcPr>
            <w:tcW w:w="2593" w:type="dxa"/>
            <w:vAlign w:val="center"/>
          </w:tcPr>
          <w:p w14:paraId="6C94811D" w14:textId="005F9636" w:rsidR="000A2E2F" w:rsidRPr="00D06E2E" w:rsidRDefault="00B736F0" w:rsidP="00B736F0">
            <w:pPr>
              <w:spacing w:after="0"/>
              <w:jc w:val="center"/>
              <w:rPr>
                <w:b/>
                <w:bCs/>
                <w:lang w:val="sr-Latn-RS"/>
              </w:rPr>
            </w:pPr>
            <w:r w:rsidRPr="00D06E2E">
              <w:rPr>
                <w:b/>
                <w:bCs/>
                <w:lang w:val="sr-Latn-RS"/>
              </w:rPr>
              <w:t>Number of issued recommendations</w:t>
            </w:r>
          </w:p>
        </w:tc>
        <w:tc>
          <w:tcPr>
            <w:tcW w:w="2307" w:type="dxa"/>
          </w:tcPr>
          <w:p w14:paraId="182A252E" w14:textId="77777777" w:rsidR="000A2E2F" w:rsidRPr="00D06E2E" w:rsidRDefault="000A2E2F" w:rsidP="00556F2C">
            <w:pPr>
              <w:spacing w:after="0"/>
              <w:jc w:val="center"/>
              <w:rPr>
                <w:b/>
                <w:bCs/>
                <w:lang w:val="sr-Latn-RS"/>
              </w:rPr>
            </w:pPr>
          </w:p>
          <w:p w14:paraId="23E12211" w14:textId="7B690979" w:rsidR="000A2E2F" w:rsidRPr="00D06E2E" w:rsidRDefault="00B736F0" w:rsidP="00B736F0">
            <w:pPr>
              <w:spacing w:after="0"/>
              <w:jc w:val="center"/>
              <w:rPr>
                <w:b/>
                <w:bCs/>
                <w:lang w:val="sr-Latn-RS"/>
              </w:rPr>
            </w:pPr>
            <w:r w:rsidRPr="00D06E2E">
              <w:rPr>
                <w:b/>
                <w:bCs/>
                <w:lang w:val="sr-Latn-RS"/>
              </w:rPr>
              <w:t>Number of due recommendations</w:t>
            </w:r>
          </w:p>
        </w:tc>
        <w:tc>
          <w:tcPr>
            <w:tcW w:w="2266" w:type="dxa"/>
            <w:vAlign w:val="center"/>
          </w:tcPr>
          <w:p w14:paraId="0EE49D2D" w14:textId="3C12690B" w:rsidR="000A2E2F" w:rsidRPr="00D06E2E" w:rsidRDefault="00B736F0" w:rsidP="00B736F0">
            <w:pPr>
              <w:spacing w:after="0"/>
              <w:jc w:val="center"/>
              <w:rPr>
                <w:b/>
                <w:bCs/>
                <w:lang w:val="sr-Latn-RS"/>
              </w:rPr>
            </w:pPr>
            <w:r w:rsidRPr="00D06E2E">
              <w:rPr>
                <w:b/>
                <w:bCs/>
                <w:lang w:val="sr-Latn-RS"/>
              </w:rPr>
              <w:t>Number of acepted recommendations</w:t>
            </w:r>
          </w:p>
        </w:tc>
        <w:tc>
          <w:tcPr>
            <w:tcW w:w="1768" w:type="dxa"/>
          </w:tcPr>
          <w:p w14:paraId="7247ECDA" w14:textId="310A918C" w:rsidR="000A2E2F" w:rsidRPr="00D06E2E" w:rsidRDefault="000A2E2F" w:rsidP="00B736F0">
            <w:pPr>
              <w:spacing w:after="0"/>
              <w:rPr>
                <w:b/>
                <w:bCs/>
                <w:lang w:val="sr-Latn-RS"/>
              </w:rPr>
            </w:pPr>
          </w:p>
          <w:p w14:paraId="4C566D64" w14:textId="6FE0BCDF" w:rsidR="000A2E2F" w:rsidRPr="00D06E2E" w:rsidRDefault="000A2E2F" w:rsidP="00B736F0">
            <w:pPr>
              <w:spacing w:after="0"/>
              <w:jc w:val="center"/>
              <w:rPr>
                <w:b/>
                <w:bCs/>
                <w:lang w:val="sr-Latn-RS"/>
              </w:rPr>
            </w:pPr>
            <w:r w:rsidRPr="00D06E2E">
              <w:rPr>
                <w:b/>
                <w:bCs/>
                <w:lang w:val="sr-Latn-RS"/>
              </w:rPr>
              <w:t xml:space="preserve">% </w:t>
            </w:r>
            <w:r w:rsidR="00B736F0" w:rsidRPr="00D06E2E">
              <w:rPr>
                <w:b/>
                <w:bCs/>
                <w:lang w:val="sr-Latn-RS"/>
              </w:rPr>
              <w:t>of accepted</w:t>
            </w:r>
          </w:p>
        </w:tc>
      </w:tr>
      <w:tr w:rsidR="000A2E2F" w:rsidRPr="00D06E2E" w14:paraId="1326508C" w14:textId="77777777" w:rsidTr="00937B4B">
        <w:trPr>
          <w:trHeight w:hRule="exact" w:val="329"/>
          <w:jc w:val="center"/>
        </w:trPr>
        <w:tc>
          <w:tcPr>
            <w:tcW w:w="2593" w:type="dxa"/>
            <w:vAlign w:val="center"/>
          </w:tcPr>
          <w:p w14:paraId="29200116" w14:textId="77777777" w:rsidR="000A2E2F" w:rsidRPr="00D06E2E" w:rsidRDefault="000A2E2F" w:rsidP="00556F2C">
            <w:pPr>
              <w:spacing w:after="0"/>
              <w:jc w:val="center"/>
              <w:rPr>
                <w:bCs/>
                <w:lang w:val="sr-Latn-RS"/>
              </w:rPr>
            </w:pPr>
            <w:r w:rsidRPr="00D06E2E">
              <w:rPr>
                <w:bCs/>
                <w:lang w:val="sr-Latn-RS"/>
              </w:rPr>
              <w:t>50</w:t>
            </w:r>
          </w:p>
        </w:tc>
        <w:tc>
          <w:tcPr>
            <w:tcW w:w="2307" w:type="dxa"/>
          </w:tcPr>
          <w:p w14:paraId="4BD66AB4" w14:textId="77777777" w:rsidR="000A2E2F" w:rsidRPr="00D06E2E" w:rsidRDefault="000A2E2F" w:rsidP="00556F2C">
            <w:pPr>
              <w:spacing w:after="0"/>
              <w:jc w:val="center"/>
              <w:rPr>
                <w:bCs/>
                <w:lang w:val="sr-Latn-RS"/>
              </w:rPr>
            </w:pPr>
            <w:r w:rsidRPr="00D06E2E">
              <w:rPr>
                <w:bCs/>
                <w:lang w:val="sr-Latn-RS"/>
              </w:rPr>
              <w:t>21</w:t>
            </w:r>
          </w:p>
        </w:tc>
        <w:tc>
          <w:tcPr>
            <w:tcW w:w="2266" w:type="dxa"/>
            <w:vAlign w:val="center"/>
          </w:tcPr>
          <w:p w14:paraId="7BC860B1" w14:textId="77777777" w:rsidR="000A2E2F" w:rsidRPr="00D06E2E" w:rsidRDefault="000A2E2F" w:rsidP="00556F2C">
            <w:pPr>
              <w:spacing w:after="0"/>
              <w:jc w:val="center"/>
              <w:rPr>
                <w:bCs/>
                <w:lang w:val="sr-Latn-RS"/>
              </w:rPr>
            </w:pPr>
            <w:r w:rsidRPr="00D06E2E">
              <w:rPr>
                <w:bCs/>
                <w:lang w:val="sr-Latn-RS"/>
              </w:rPr>
              <w:t>21</w:t>
            </w:r>
          </w:p>
        </w:tc>
        <w:tc>
          <w:tcPr>
            <w:tcW w:w="1768" w:type="dxa"/>
          </w:tcPr>
          <w:p w14:paraId="51325651" w14:textId="77777777" w:rsidR="000A2E2F" w:rsidRPr="00D06E2E" w:rsidRDefault="000A2E2F" w:rsidP="00556F2C">
            <w:pPr>
              <w:spacing w:after="0"/>
              <w:jc w:val="center"/>
              <w:rPr>
                <w:bCs/>
                <w:lang w:val="sr-Latn-RS"/>
              </w:rPr>
            </w:pPr>
            <w:r w:rsidRPr="00D06E2E">
              <w:rPr>
                <w:bCs/>
                <w:lang w:val="sr-Latn-RS"/>
              </w:rPr>
              <w:t xml:space="preserve">100 </w:t>
            </w:r>
            <w:r w:rsidRPr="00D06E2E">
              <w:rPr>
                <w:lang w:val="sr-Latn-RS"/>
              </w:rPr>
              <w:t>%</w:t>
            </w:r>
          </w:p>
        </w:tc>
      </w:tr>
    </w:tbl>
    <w:p w14:paraId="3FECCCA6" w14:textId="77777777" w:rsidR="000A2E2F" w:rsidRPr="00D06E2E" w:rsidRDefault="000A2E2F" w:rsidP="000A2E2F">
      <w:pPr>
        <w:spacing w:after="0"/>
        <w:rPr>
          <w:lang w:val="sr-Latn-RS"/>
        </w:rPr>
      </w:pPr>
    </w:p>
    <w:p w14:paraId="7A73C236" w14:textId="31BA267C" w:rsidR="000A2E2F" w:rsidRPr="00D06E2E" w:rsidRDefault="00B736F0" w:rsidP="000A2E2F">
      <w:pPr>
        <w:pStyle w:val="Caption"/>
        <w:keepNext/>
        <w:spacing w:before="0"/>
        <w:jc w:val="center"/>
        <w:rPr>
          <w:lang w:val="sr-Latn-RS"/>
        </w:rPr>
      </w:pPr>
      <w:r w:rsidRPr="00D06E2E">
        <w:rPr>
          <w:lang w:val="sr-Latn-RS"/>
        </w:rPr>
        <w:t>Table</w:t>
      </w:r>
      <w:r w:rsidR="000A2E2F" w:rsidRPr="00D06E2E">
        <w:rPr>
          <w:lang w:val="sr-Latn-RS"/>
        </w:rPr>
        <w:t xml:space="preserve"> 20 – </w:t>
      </w:r>
      <w:r w:rsidRPr="00D06E2E">
        <w:rPr>
          <w:lang w:val="sr-Latn-RS"/>
        </w:rPr>
        <w:t>Comparative overview of handled, completed cases and issued recommendations in 2023 and 2022</w:t>
      </w:r>
      <w:r w:rsidR="000A2E2F" w:rsidRPr="00D06E2E">
        <w:rPr>
          <w:lang w:val="sr-Latn-RS"/>
        </w:rPr>
        <w:t xml:space="preserve"> </w:t>
      </w:r>
    </w:p>
    <w:tbl>
      <w:tblPr>
        <w:tblW w:w="8963"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4A0" w:firstRow="1" w:lastRow="0" w:firstColumn="1" w:lastColumn="0" w:noHBand="0" w:noVBand="1"/>
      </w:tblPr>
      <w:tblGrid>
        <w:gridCol w:w="5134"/>
        <w:gridCol w:w="1929"/>
        <w:gridCol w:w="1900"/>
      </w:tblGrid>
      <w:tr w:rsidR="000A2E2F" w:rsidRPr="00D06E2E" w14:paraId="200F3DC1" w14:textId="77777777" w:rsidTr="00612B4E">
        <w:trPr>
          <w:trHeight w:hRule="exact" w:val="370"/>
          <w:jc w:val="center"/>
        </w:trPr>
        <w:tc>
          <w:tcPr>
            <w:tcW w:w="5134" w:type="dxa"/>
            <w:vAlign w:val="center"/>
          </w:tcPr>
          <w:p w14:paraId="45EE7D84" w14:textId="77777777" w:rsidR="000A2E2F" w:rsidRPr="00D06E2E" w:rsidRDefault="000A2E2F" w:rsidP="00556F2C">
            <w:pPr>
              <w:spacing w:after="0"/>
              <w:rPr>
                <w:b/>
                <w:bCs/>
                <w:lang w:val="sr-Latn-RS"/>
              </w:rPr>
            </w:pPr>
          </w:p>
        </w:tc>
        <w:tc>
          <w:tcPr>
            <w:tcW w:w="1929" w:type="dxa"/>
            <w:vAlign w:val="center"/>
          </w:tcPr>
          <w:p w14:paraId="6951FA02" w14:textId="2F0EB89E" w:rsidR="000A2E2F" w:rsidRPr="00D06E2E" w:rsidRDefault="00B736F0" w:rsidP="00556F2C">
            <w:pPr>
              <w:spacing w:after="0"/>
              <w:jc w:val="center"/>
              <w:rPr>
                <w:b/>
                <w:bCs/>
                <w:lang w:val="sr-Latn-RS"/>
              </w:rPr>
            </w:pPr>
            <w:r w:rsidRPr="00D06E2E">
              <w:rPr>
                <w:b/>
                <w:bCs/>
                <w:lang w:val="sr-Latn-RS"/>
              </w:rPr>
              <w:t>2023</w:t>
            </w:r>
          </w:p>
        </w:tc>
        <w:tc>
          <w:tcPr>
            <w:tcW w:w="1900" w:type="dxa"/>
          </w:tcPr>
          <w:p w14:paraId="08F0FC64" w14:textId="1E24A16B" w:rsidR="000A2E2F" w:rsidRPr="00D06E2E" w:rsidRDefault="00B736F0" w:rsidP="00556F2C">
            <w:pPr>
              <w:spacing w:after="0"/>
              <w:jc w:val="center"/>
              <w:rPr>
                <w:b/>
                <w:bCs/>
                <w:lang w:val="sr-Latn-RS"/>
              </w:rPr>
            </w:pPr>
            <w:r w:rsidRPr="00D06E2E">
              <w:rPr>
                <w:b/>
                <w:bCs/>
                <w:lang w:val="sr-Latn-RS"/>
              </w:rPr>
              <w:t>2022</w:t>
            </w:r>
          </w:p>
        </w:tc>
      </w:tr>
      <w:tr w:rsidR="000A2E2F" w:rsidRPr="00D06E2E" w14:paraId="4AE9E379" w14:textId="77777777" w:rsidTr="00612B4E">
        <w:trPr>
          <w:trHeight w:hRule="exact" w:val="370"/>
          <w:jc w:val="center"/>
        </w:trPr>
        <w:tc>
          <w:tcPr>
            <w:tcW w:w="5134" w:type="dxa"/>
            <w:vAlign w:val="center"/>
          </w:tcPr>
          <w:p w14:paraId="03C0DC26" w14:textId="32D38D53" w:rsidR="000A2E2F" w:rsidRPr="00D06E2E" w:rsidRDefault="00B736F0" w:rsidP="00556F2C">
            <w:pPr>
              <w:spacing w:after="0"/>
              <w:rPr>
                <w:lang w:val="sr-Latn-RS"/>
              </w:rPr>
            </w:pPr>
            <w:r w:rsidRPr="00D06E2E">
              <w:rPr>
                <w:lang w:val="sr-Latn-RS"/>
              </w:rPr>
              <w:t>Handled cases</w:t>
            </w:r>
          </w:p>
        </w:tc>
        <w:tc>
          <w:tcPr>
            <w:tcW w:w="1929" w:type="dxa"/>
            <w:vAlign w:val="center"/>
          </w:tcPr>
          <w:p w14:paraId="18CA58C7" w14:textId="77777777" w:rsidR="000A2E2F" w:rsidRPr="00D06E2E" w:rsidRDefault="000A2E2F" w:rsidP="00556F2C">
            <w:pPr>
              <w:spacing w:after="0"/>
              <w:jc w:val="center"/>
              <w:rPr>
                <w:lang w:val="sr-Latn-RS"/>
              </w:rPr>
            </w:pPr>
            <w:r w:rsidRPr="00D06E2E">
              <w:rPr>
                <w:lang w:val="sr-Latn-RS"/>
              </w:rPr>
              <w:t>83</w:t>
            </w:r>
          </w:p>
        </w:tc>
        <w:tc>
          <w:tcPr>
            <w:tcW w:w="1900" w:type="dxa"/>
          </w:tcPr>
          <w:p w14:paraId="25BC7BE6" w14:textId="77777777" w:rsidR="000A2E2F" w:rsidRPr="00D06E2E" w:rsidRDefault="000A2E2F" w:rsidP="00556F2C">
            <w:pPr>
              <w:spacing w:after="0"/>
              <w:jc w:val="center"/>
              <w:rPr>
                <w:lang w:val="sr-Latn-RS"/>
              </w:rPr>
            </w:pPr>
            <w:r w:rsidRPr="00D06E2E">
              <w:rPr>
                <w:lang w:val="sr-Latn-RS"/>
              </w:rPr>
              <w:t>80</w:t>
            </w:r>
          </w:p>
        </w:tc>
      </w:tr>
      <w:tr w:rsidR="000A2E2F" w:rsidRPr="00D06E2E" w14:paraId="282287B9" w14:textId="77777777" w:rsidTr="00612B4E">
        <w:trPr>
          <w:trHeight w:hRule="exact" w:val="370"/>
          <w:jc w:val="center"/>
        </w:trPr>
        <w:tc>
          <w:tcPr>
            <w:tcW w:w="5134" w:type="dxa"/>
            <w:vAlign w:val="center"/>
          </w:tcPr>
          <w:p w14:paraId="09C86649" w14:textId="589B6DF1" w:rsidR="000A2E2F" w:rsidRPr="00D06E2E" w:rsidRDefault="000A2E2F" w:rsidP="00B736F0">
            <w:pPr>
              <w:spacing w:after="0"/>
              <w:rPr>
                <w:lang w:val="sr-Latn-RS"/>
              </w:rPr>
            </w:pPr>
            <w:r w:rsidRPr="00D06E2E">
              <w:rPr>
                <w:lang w:val="sr-Latn-RS"/>
              </w:rPr>
              <w:t xml:space="preserve">% </w:t>
            </w:r>
            <w:r w:rsidR="00B736F0" w:rsidRPr="00D06E2E">
              <w:rPr>
                <w:lang w:val="sr-Latn-RS"/>
              </w:rPr>
              <w:t>completed cases</w:t>
            </w:r>
          </w:p>
        </w:tc>
        <w:tc>
          <w:tcPr>
            <w:tcW w:w="1929" w:type="dxa"/>
            <w:vAlign w:val="center"/>
          </w:tcPr>
          <w:p w14:paraId="6808C360" w14:textId="77777777" w:rsidR="000A2E2F" w:rsidRPr="00D06E2E" w:rsidRDefault="000A2E2F" w:rsidP="00556F2C">
            <w:pPr>
              <w:spacing w:after="0"/>
              <w:jc w:val="center"/>
              <w:rPr>
                <w:lang w:val="sr-Latn-RS"/>
              </w:rPr>
            </w:pPr>
            <w:r w:rsidRPr="00D06E2E">
              <w:rPr>
                <w:lang w:val="sr-Latn-RS"/>
              </w:rPr>
              <w:t>92,77%</w:t>
            </w:r>
          </w:p>
        </w:tc>
        <w:tc>
          <w:tcPr>
            <w:tcW w:w="1900" w:type="dxa"/>
          </w:tcPr>
          <w:p w14:paraId="333C374E" w14:textId="77777777" w:rsidR="000A2E2F" w:rsidRPr="00D06E2E" w:rsidRDefault="000A2E2F" w:rsidP="00556F2C">
            <w:pPr>
              <w:spacing w:after="0"/>
              <w:jc w:val="center"/>
              <w:rPr>
                <w:lang w:val="sr-Latn-RS"/>
              </w:rPr>
            </w:pPr>
            <w:r w:rsidRPr="00D06E2E">
              <w:rPr>
                <w:lang w:val="sr-Latn-RS"/>
              </w:rPr>
              <w:t>78,75%</w:t>
            </w:r>
          </w:p>
        </w:tc>
      </w:tr>
      <w:tr w:rsidR="000A2E2F" w:rsidRPr="00D06E2E" w14:paraId="1D94BDFC" w14:textId="77777777" w:rsidTr="00612B4E">
        <w:trPr>
          <w:trHeight w:hRule="exact" w:val="370"/>
          <w:jc w:val="center"/>
        </w:trPr>
        <w:tc>
          <w:tcPr>
            <w:tcW w:w="5134" w:type="dxa"/>
            <w:vAlign w:val="center"/>
          </w:tcPr>
          <w:p w14:paraId="4FBD9C9F" w14:textId="3D8E328D" w:rsidR="000A2E2F" w:rsidRPr="00D06E2E" w:rsidRDefault="00B736F0" w:rsidP="00556F2C">
            <w:pPr>
              <w:spacing w:after="0"/>
              <w:rPr>
                <w:lang w:val="sr-Latn-RS"/>
              </w:rPr>
            </w:pPr>
            <w:r w:rsidRPr="00D06E2E">
              <w:rPr>
                <w:lang w:val="sr-Latn-RS"/>
              </w:rPr>
              <w:t>Issued recommendations</w:t>
            </w:r>
            <w:r w:rsidR="000A2E2F" w:rsidRPr="00D06E2E">
              <w:rPr>
                <w:lang w:val="sr-Latn-RS"/>
              </w:rPr>
              <w:t xml:space="preserve"> </w:t>
            </w:r>
          </w:p>
        </w:tc>
        <w:tc>
          <w:tcPr>
            <w:tcW w:w="1929" w:type="dxa"/>
            <w:vAlign w:val="center"/>
          </w:tcPr>
          <w:p w14:paraId="382E667D" w14:textId="77777777" w:rsidR="000A2E2F" w:rsidRPr="00D06E2E" w:rsidRDefault="000A2E2F" w:rsidP="00556F2C">
            <w:pPr>
              <w:spacing w:after="0"/>
              <w:jc w:val="center"/>
              <w:rPr>
                <w:lang w:val="sr-Latn-RS"/>
              </w:rPr>
            </w:pPr>
            <w:r w:rsidRPr="00D06E2E">
              <w:rPr>
                <w:lang w:val="sr-Latn-RS"/>
              </w:rPr>
              <w:t>50</w:t>
            </w:r>
          </w:p>
        </w:tc>
        <w:tc>
          <w:tcPr>
            <w:tcW w:w="1900" w:type="dxa"/>
          </w:tcPr>
          <w:p w14:paraId="671EA45F" w14:textId="48B38EC4" w:rsidR="000A2E2F" w:rsidRPr="00D06E2E" w:rsidRDefault="001E38B6" w:rsidP="008643BF">
            <w:pPr>
              <w:spacing w:after="0"/>
              <w:jc w:val="center"/>
              <w:rPr>
                <w:lang w:val="sr-Latn-RS"/>
              </w:rPr>
            </w:pPr>
            <w:r w:rsidRPr="00D06E2E">
              <w:rPr>
                <w:lang w:val="sr-Latn-RS"/>
              </w:rPr>
              <w:t>1</w:t>
            </w:r>
            <w:r w:rsidR="000A2E2F" w:rsidRPr="00D06E2E">
              <w:rPr>
                <w:lang w:val="sr-Latn-RS"/>
              </w:rPr>
              <w:t>9</w:t>
            </w:r>
          </w:p>
        </w:tc>
      </w:tr>
    </w:tbl>
    <w:p w14:paraId="6E492E7B" w14:textId="77777777" w:rsidR="000A2E2F" w:rsidRPr="00D06E2E" w:rsidRDefault="000A2E2F" w:rsidP="000A2E2F">
      <w:pPr>
        <w:spacing w:after="0"/>
        <w:rPr>
          <w:lang w:val="sr-Latn-RS"/>
        </w:rPr>
      </w:pPr>
    </w:p>
    <w:p w14:paraId="08891EE5" w14:textId="53713320" w:rsidR="000A2E2F" w:rsidRPr="00D06E2E" w:rsidRDefault="00642AB1" w:rsidP="000A2E2F">
      <w:pPr>
        <w:pStyle w:val="Caption"/>
        <w:spacing w:before="0" w:after="0"/>
        <w:rPr>
          <w:b w:val="0"/>
          <w:bCs w:val="0"/>
          <w:lang w:val="sr-Latn-RS"/>
        </w:rPr>
      </w:pPr>
      <w:r w:rsidRPr="00D06E2E">
        <w:rPr>
          <w:b w:val="0"/>
          <w:bCs w:val="0"/>
          <w:lang w:val="sr-Latn-RS"/>
        </w:rPr>
        <w:t>A slight increase in the number of received cases, i.e. a high percentage of completed cases in 2023 was reflected also in the increase of the number of issued recommendations in the area of gender equality and rights of LGBTI persons by twice and a half as many.</w:t>
      </w:r>
    </w:p>
    <w:p w14:paraId="0D0BC3B5" w14:textId="77777777" w:rsidR="000A2E2F" w:rsidRPr="00D06E2E" w:rsidRDefault="000A2E2F" w:rsidP="000A2E2F">
      <w:pPr>
        <w:spacing w:after="0"/>
        <w:rPr>
          <w:lang w:val="sr-Latn-RS"/>
        </w:rPr>
      </w:pPr>
    </w:p>
    <w:p w14:paraId="3630BB15" w14:textId="3BC305F3" w:rsidR="00B736F0" w:rsidRPr="00D06E2E" w:rsidRDefault="00B736F0" w:rsidP="00B736F0">
      <w:pPr>
        <w:pStyle w:val="Caption"/>
        <w:keepNext/>
        <w:spacing w:before="0"/>
        <w:jc w:val="center"/>
        <w:rPr>
          <w:lang w:val="sr-Latn-RS"/>
        </w:rPr>
      </w:pPr>
      <w:r w:rsidRPr="00D06E2E">
        <w:rPr>
          <w:lang w:val="sr-Latn-RS"/>
        </w:rPr>
        <w:t>Table 21 – The outcome of acting upon closed cases in 2023</w:t>
      </w:r>
    </w:p>
    <w:tbl>
      <w:tblPr>
        <w:tblW w:w="8967"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4A0" w:firstRow="1" w:lastRow="0" w:firstColumn="1" w:lastColumn="0" w:noHBand="0" w:noVBand="1"/>
      </w:tblPr>
      <w:tblGrid>
        <w:gridCol w:w="6652"/>
        <w:gridCol w:w="1011"/>
        <w:gridCol w:w="1304"/>
      </w:tblGrid>
      <w:tr w:rsidR="000A2E2F" w:rsidRPr="00D06E2E" w14:paraId="75AA1F47" w14:textId="77777777" w:rsidTr="00937B4B">
        <w:trPr>
          <w:trHeight w:hRule="exact" w:val="329"/>
          <w:jc w:val="center"/>
        </w:trPr>
        <w:tc>
          <w:tcPr>
            <w:tcW w:w="7022" w:type="dxa"/>
            <w:vAlign w:val="center"/>
          </w:tcPr>
          <w:p w14:paraId="4F0948F6" w14:textId="77777777" w:rsidR="000A2E2F" w:rsidRPr="00D06E2E" w:rsidRDefault="000A2E2F" w:rsidP="00556F2C">
            <w:pPr>
              <w:spacing w:after="0"/>
              <w:rPr>
                <w:b/>
                <w:bCs/>
                <w:lang w:val="sr-Latn-RS"/>
              </w:rPr>
            </w:pPr>
          </w:p>
        </w:tc>
        <w:tc>
          <w:tcPr>
            <w:tcW w:w="708" w:type="dxa"/>
            <w:vAlign w:val="center"/>
          </w:tcPr>
          <w:p w14:paraId="3240F756" w14:textId="2AFB09A6" w:rsidR="000A2E2F" w:rsidRPr="00D06E2E" w:rsidRDefault="00B736F0" w:rsidP="00556F2C">
            <w:pPr>
              <w:jc w:val="center"/>
              <w:rPr>
                <w:b/>
                <w:bCs/>
                <w:lang w:val="sr-Latn-RS"/>
              </w:rPr>
            </w:pPr>
            <w:r w:rsidRPr="00D06E2E">
              <w:rPr>
                <w:b/>
                <w:bCs/>
                <w:lang w:val="sr-Latn-RS"/>
              </w:rPr>
              <w:t>number</w:t>
            </w:r>
          </w:p>
        </w:tc>
        <w:tc>
          <w:tcPr>
            <w:tcW w:w="1237" w:type="dxa"/>
            <w:noWrap/>
            <w:vAlign w:val="center"/>
          </w:tcPr>
          <w:p w14:paraId="015D5C49" w14:textId="70700C98" w:rsidR="000A2E2F" w:rsidRPr="00D06E2E" w:rsidRDefault="00B736F0" w:rsidP="00556F2C">
            <w:pPr>
              <w:jc w:val="center"/>
              <w:rPr>
                <w:b/>
                <w:bCs/>
                <w:lang w:val="sr-Latn-RS"/>
              </w:rPr>
            </w:pPr>
            <w:r w:rsidRPr="00D06E2E">
              <w:rPr>
                <w:b/>
                <w:bCs/>
                <w:lang w:val="sr-Latn-RS"/>
              </w:rPr>
              <w:t>percentage</w:t>
            </w:r>
          </w:p>
        </w:tc>
      </w:tr>
      <w:tr w:rsidR="000A2E2F" w:rsidRPr="00D06E2E" w14:paraId="22824952" w14:textId="77777777" w:rsidTr="00937B4B">
        <w:trPr>
          <w:trHeight w:hRule="exact" w:val="329"/>
          <w:jc w:val="center"/>
        </w:trPr>
        <w:tc>
          <w:tcPr>
            <w:tcW w:w="7022" w:type="dxa"/>
            <w:vAlign w:val="center"/>
          </w:tcPr>
          <w:p w14:paraId="1A7EE0EE" w14:textId="4DE3D66F" w:rsidR="000A2E2F" w:rsidRPr="00D06E2E" w:rsidRDefault="00642AB1" w:rsidP="008F61B3">
            <w:pPr>
              <w:pStyle w:val="ListParagraph"/>
              <w:numPr>
                <w:ilvl w:val="0"/>
                <w:numId w:val="20"/>
              </w:numPr>
              <w:spacing w:after="0"/>
              <w:contextualSpacing/>
              <w:rPr>
                <w:b/>
                <w:lang w:val="sr-Latn-RS"/>
              </w:rPr>
            </w:pPr>
            <w:r w:rsidRPr="00D06E2E">
              <w:rPr>
                <w:b/>
                <w:bCs/>
                <w:lang w:val="sr-Latn-RS"/>
              </w:rPr>
              <w:t>Inadmissible complaints</w:t>
            </w:r>
          </w:p>
        </w:tc>
        <w:tc>
          <w:tcPr>
            <w:tcW w:w="708" w:type="dxa"/>
            <w:vAlign w:val="center"/>
          </w:tcPr>
          <w:p w14:paraId="1087CC53" w14:textId="77777777" w:rsidR="000A2E2F" w:rsidRPr="00D06E2E" w:rsidRDefault="000A2E2F" w:rsidP="00556F2C">
            <w:pPr>
              <w:spacing w:after="0"/>
              <w:jc w:val="center"/>
              <w:rPr>
                <w:rFonts w:cs="Calibri"/>
                <w:b/>
                <w:color w:val="000000"/>
                <w:lang w:val="sr-Latn-RS"/>
              </w:rPr>
            </w:pPr>
            <w:r w:rsidRPr="00D06E2E">
              <w:rPr>
                <w:rFonts w:cs="Calibri"/>
                <w:b/>
                <w:color w:val="000000"/>
                <w:lang w:val="sr-Latn-RS"/>
              </w:rPr>
              <w:t>38</w:t>
            </w:r>
          </w:p>
        </w:tc>
        <w:tc>
          <w:tcPr>
            <w:tcW w:w="1237" w:type="dxa"/>
            <w:noWrap/>
            <w:vAlign w:val="center"/>
          </w:tcPr>
          <w:p w14:paraId="44B65907" w14:textId="1FB1DC3D" w:rsidR="000A2E2F" w:rsidRPr="00D06E2E" w:rsidRDefault="00642AB1" w:rsidP="00556F2C">
            <w:pPr>
              <w:spacing w:after="0"/>
              <w:jc w:val="center"/>
              <w:rPr>
                <w:rFonts w:cs="Calibri"/>
                <w:b/>
                <w:color w:val="000000"/>
                <w:lang w:val="sr-Latn-RS"/>
              </w:rPr>
            </w:pPr>
            <w:r w:rsidRPr="00D06E2E">
              <w:rPr>
                <w:rFonts w:cs="Calibri"/>
                <w:b/>
                <w:color w:val="000000"/>
                <w:lang w:val="sr-Latn-RS"/>
              </w:rPr>
              <w:t>49.</w:t>
            </w:r>
            <w:r w:rsidR="000A2E2F" w:rsidRPr="00D06E2E">
              <w:rPr>
                <w:rFonts w:cs="Calibri"/>
                <w:b/>
                <w:color w:val="000000"/>
                <w:lang w:val="sr-Latn-RS"/>
              </w:rPr>
              <w:t>35%</w:t>
            </w:r>
          </w:p>
        </w:tc>
      </w:tr>
      <w:tr w:rsidR="000A2E2F" w:rsidRPr="00D06E2E" w14:paraId="50AA9249" w14:textId="77777777" w:rsidTr="00937B4B">
        <w:trPr>
          <w:trHeight w:hRule="exact" w:val="329"/>
          <w:jc w:val="center"/>
        </w:trPr>
        <w:tc>
          <w:tcPr>
            <w:tcW w:w="7022" w:type="dxa"/>
            <w:vAlign w:val="center"/>
          </w:tcPr>
          <w:p w14:paraId="7B439837" w14:textId="1927CF83" w:rsidR="000A2E2F" w:rsidRPr="00D06E2E" w:rsidRDefault="000A2E2F" w:rsidP="00556F2C">
            <w:pPr>
              <w:pStyle w:val="ListParagraph"/>
              <w:spacing w:after="0"/>
              <w:ind w:left="170" w:hanging="133"/>
              <w:rPr>
                <w:lang w:val="sr-Latn-RS"/>
              </w:rPr>
            </w:pPr>
            <w:r w:rsidRPr="00D06E2E">
              <w:rPr>
                <w:lang w:val="sr-Latn-RS"/>
              </w:rPr>
              <w:t xml:space="preserve">1.1. </w:t>
            </w:r>
            <w:r w:rsidR="00642AB1" w:rsidRPr="00D06E2E">
              <w:rPr>
                <w:lang w:val="sr-Latn-RS"/>
              </w:rPr>
              <w:t>Unused legal remedies</w:t>
            </w:r>
            <w:r w:rsidRPr="00D06E2E">
              <w:rPr>
                <w:lang w:val="sr-Latn-RS"/>
              </w:rPr>
              <w:t xml:space="preserve">   </w:t>
            </w:r>
          </w:p>
        </w:tc>
        <w:tc>
          <w:tcPr>
            <w:tcW w:w="708" w:type="dxa"/>
            <w:vAlign w:val="center"/>
          </w:tcPr>
          <w:p w14:paraId="6B33767B" w14:textId="77777777" w:rsidR="000A2E2F" w:rsidRPr="00D06E2E" w:rsidRDefault="000A2E2F" w:rsidP="00556F2C">
            <w:pPr>
              <w:spacing w:after="0"/>
              <w:jc w:val="center"/>
              <w:rPr>
                <w:rFonts w:cs="Calibri"/>
                <w:color w:val="000000"/>
                <w:lang w:val="sr-Latn-RS"/>
              </w:rPr>
            </w:pPr>
            <w:r w:rsidRPr="00D06E2E">
              <w:rPr>
                <w:rFonts w:cs="Calibri"/>
                <w:color w:val="000000"/>
                <w:lang w:val="sr-Latn-RS"/>
              </w:rPr>
              <w:t>22</w:t>
            </w:r>
          </w:p>
        </w:tc>
        <w:tc>
          <w:tcPr>
            <w:tcW w:w="1237" w:type="dxa"/>
            <w:noWrap/>
            <w:vAlign w:val="center"/>
          </w:tcPr>
          <w:p w14:paraId="30553A4E" w14:textId="39B1B994" w:rsidR="000A2E2F" w:rsidRPr="00D06E2E" w:rsidRDefault="00642AB1" w:rsidP="00556F2C">
            <w:pPr>
              <w:spacing w:after="0"/>
              <w:jc w:val="center"/>
              <w:rPr>
                <w:rFonts w:cs="Calibri"/>
                <w:color w:val="000000"/>
                <w:lang w:val="sr-Latn-RS"/>
              </w:rPr>
            </w:pPr>
            <w:r w:rsidRPr="00D06E2E">
              <w:rPr>
                <w:rFonts w:cs="Calibri"/>
                <w:color w:val="000000"/>
                <w:lang w:val="sr-Latn-RS"/>
              </w:rPr>
              <w:t>57.</w:t>
            </w:r>
            <w:r w:rsidR="000A2E2F" w:rsidRPr="00D06E2E">
              <w:rPr>
                <w:rFonts w:cs="Calibri"/>
                <w:color w:val="000000"/>
                <w:lang w:val="sr-Latn-RS"/>
              </w:rPr>
              <w:t>89%</w:t>
            </w:r>
          </w:p>
        </w:tc>
      </w:tr>
      <w:tr w:rsidR="000A2E2F" w:rsidRPr="00D06E2E" w14:paraId="09A4DDBB" w14:textId="77777777" w:rsidTr="00937B4B">
        <w:trPr>
          <w:trHeight w:hRule="exact" w:val="329"/>
          <w:jc w:val="center"/>
        </w:trPr>
        <w:tc>
          <w:tcPr>
            <w:tcW w:w="7022" w:type="dxa"/>
            <w:vAlign w:val="center"/>
          </w:tcPr>
          <w:p w14:paraId="3ABACD17" w14:textId="354A70CA" w:rsidR="000A2E2F" w:rsidRPr="00D06E2E" w:rsidRDefault="000A2E2F" w:rsidP="00556F2C">
            <w:pPr>
              <w:pStyle w:val="ListParagraph"/>
              <w:spacing w:after="0"/>
              <w:ind w:left="170" w:hanging="133"/>
              <w:rPr>
                <w:lang w:val="sr-Latn-RS"/>
              </w:rPr>
            </w:pPr>
            <w:r w:rsidRPr="00D06E2E">
              <w:rPr>
                <w:lang w:val="sr-Latn-RS"/>
              </w:rPr>
              <w:t xml:space="preserve">1.2. </w:t>
            </w:r>
            <w:r w:rsidR="00642AB1" w:rsidRPr="00D06E2E">
              <w:rPr>
                <w:lang w:val="sr-Latn-RS"/>
              </w:rPr>
              <w:t>Incompetence</w:t>
            </w:r>
          </w:p>
        </w:tc>
        <w:tc>
          <w:tcPr>
            <w:tcW w:w="708" w:type="dxa"/>
            <w:vAlign w:val="center"/>
          </w:tcPr>
          <w:p w14:paraId="2B5ACBA4" w14:textId="77777777" w:rsidR="000A2E2F" w:rsidRPr="00D06E2E" w:rsidRDefault="000A2E2F" w:rsidP="00556F2C">
            <w:pPr>
              <w:spacing w:after="0"/>
              <w:jc w:val="center"/>
              <w:rPr>
                <w:rFonts w:cs="Calibri"/>
                <w:color w:val="000000"/>
                <w:lang w:val="sr-Latn-RS"/>
              </w:rPr>
            </w:pPr>
            <w:r w:rsidRPr="00D06E2E">
              <w:rPr>
                <w:rFonts w:cs="Calibri"/>
                <w:color w:val="000000"/>
                <w:lang w:val="sr-Latn-RS"/>
              </w:rPr>
              <w:t>12</w:t>
            </w:r>
          </w:p>
        </w:tc>
        <w:tc>
          <w:tcPr>
            <w:tcW w:w="1237" w:type="dxa"/>
            <w:noWrap/>
            <w:vAlign w:val="center"/>
          </w:tcPr>
          <w:p w14:paraId="554315B7" w14:textId="076A8DD2" w:rsidR="000A2E2F" w:rsidRPr="00D06E2E" w:rsidRDefault="00642AB1" w:rsidP="00556F2C">
            <w:pPr>
              <w:spacing w:after="0"/>
              <w:jc w:val="center"/>
              <w:rPr>
                <w:rFonts w:cs="Calibri"/>
                <w:color w:val="000000"/>
                <w:lang w:val="sr-Latn-RS"/>
              </w:rPr>
            </w:pPr>
            <w:r w:rsidRPr="00D06E2E">
              <w:rPr>
                <w:rFonts w:cs="Calibri"/>
                <w:color w:val="000000"/>
                <w:lang w:val="sr-Latn-RS"/>
              </w:rPr>
              <w:t>31.</w:t>
            </w:r>
            <w:r w:rsidR="000A2E2F" w:rsidRPr="00D06E2E">
              <w:rPr>
                <w:rFonts w:cs="Calibri"/>
                <w:color w:val="000000"/>
                <w:lang w:val="sr-Latn-RS"/>
              </w:rPr>
              <w:t>58%</w:t>
            </w:r>
          </w:p>
        </w:tc>
      </w:tr>
      <w:tr w:rsidR="000A2E2F" w:rsidRPr="00D06E2E" w14:paraId="4BDB7769" w14:textId="77777777" w:rsidTr="00937B4B">
        <w:trPr>
          <w:trHeight w:hRule="exact" w:val="329"/>
          <w:jc w:val="center"/>
        </w:trPr>
        <w:tc>
          <w:tcPr>
            <w:tcW w:w="7022" w:type="dxa"/>
            <w:vAlign w:val="center"/>
          </w:tcPr>
          <w:p w14:paraId="14DB1704" w14:textId="693C6F72" w:rsidR="000A2E2F" w:rsidRPr="00D06E2E" w:rsidRDefault="000A2E2F" w:rsidP="00556F2C">
            <w:pPr>
              <w:pStyle w:val="ListParagraph"/>
              <w:spacing w:after="0"/>
              <w:ind w:left="170" w:hanging="133"/>
              <w:rPr>
                <w:lang w:val="sr-Latn-RS"/>
              </w:rPr>
            </w:pPr>
            <w:r w:rsidRPr="00D06E2E">
              <w:rPr>
                <w:lang w:val="sr-Latn-RS"/>
              </w:rPr>
              <w:t xml:space="preserve">1.3. </w:t>
            </w:r>
            <w:r w:rsidR="00642AB1" w:rsidRPr="00D06E2E">
              <w:rPr>
                <w:lang w:val="sr-Latn-RS"/>
              </w:rPr>
              <w:t>Formally deficient complaint</w:t>
            </w:r>
          </w:p>
        </w:tc>
        <w:tc>
          <w:tcPr>
            <w:tcW w:w="708" w:type="dxa"/>
            <w:vAlign w:val="center"/>
          </w:tcPr>
          <w:p w14:paraId="340EC441" w14:textId="77777777" w:rsidR="000A2E2F" w:rsidRPr="00D06E2E" w:rsidRDefault="000A2E2F" w:rsidP="00556F2C">
            <w:pPr>
              <w:spacing w:after="0"/>
              <w:jc w:val="center"/>
              <w:rPr>
                <w:rFonts w:cs="Calibri"/>
                <w:color w:val="000000"/>
                <w:lang w:val="sr-Latn-RS"/>
              </w:rPr>
            </w:pPr>
            <w:r w:rsidRPr="00D06E2E">
              <w:rPr>
                <w:rFonts w:cs="Calibri"/>
                <w:color w:val="000000"/>
                <w:lang w:val="sr-Latn-RS"/>
              </w:rPr>
              <w:t>3</w:t>
            </w:r>
          </w:p>
        </w:tc>
        <w:tc>
          <w:tcPr>
            <w:tcW w:w="1237" w:type="dxa"/>
            <w:noWrap/>
            <w:vAlign w:val="center"/>
          </w:tcPr>
          <w:p w14:paraId="358BB640" w14:textId="6FB8312A" w:rsidR="000A2E2F" w:rsidRPr="00D06E2E" w:rsidRDefault="00642AB1" w:rsidP="00556F2C">
            <w:pPr>
              <w:spacing w:after="0"/>
              <w:jc w:val="center"/>
              <w:rPr>
                <w:rFonts w:cs="Calibri"/>
                <w:color w:val="000000"/>
                <w:lang w:val="sr-Latn-RS"/>
              </w:rPr>
            </w:pPr>
            <w:r w:rsidRPr="00D06E2E">
              <w:rPr>
                <w:rFonts w:cs="Calibri"/>
                <w:color w:val="000000"/>
                <w:lang w:val="sr-Latn-RS"/>
              </w:rPr>
              <w:t>7.</w:t>
            </w:r>
            <w:r w:rsidR="000A2E2F" w:rsidRPr="00D06E2E">
              <w:rPr>
                <w:rFonts w:cs="Calibri"/>
                <w:color w:val="000000"/>
                <w:lang w:val="sr-Latn-RS"/>
              </w:rPr>
              <w:t>89%</w:t>
            </w:r>
          </w:p>
        </w:tc>
      </w:tr>
      <w:tr w:rsidR="000A2E2F" w:rsidRPr="00D06E2E" w14:paraId="4CFC88DF" w14:textId="77777777" w:rsidTr="00937B4B">
        <w:trPr>
          <w:trHeight w:hRule="exact" w:val="329"/>
          <w:jc w:val="center"/>
        </w:trPr>
        <w:tc>
          <w:tcPr>
            <w:tcW w:w="7022" w:type="dxa"/>
            <w:vAlign w:val="center"/>
          </w:tcPr>
          <w:p w14:paraId="3D80DFE5" w14:textId="43EACC0F" w:rsidR="000A2E2F" w:rsidRPr="00D06E2E" w:rsidRDefault="000A2E2F" w:rsidP="00556F2C">
            <w:pPr>
              <w:pStyle w:val="ListParagraph"/>
              <w:spacing w:after="0"/>
              <w:ind w:left="170" w:hanging="133"/>
              <w:rPr>
                <w:lang w:val="sr-Latn-RS"/>
              </w:rPr>
            </w:pPr>
            <w:r w:rsidRPr="00D06E2E">
              <w:rPr>
                <w:lang w:val="sr-Latn-RS"/>
              </w:rPr>
              <w:t xml:space="preserve">1.4. </w:t>
            </w:r>
            <w:r w:rsidR="00642AB1" w:rsidRPr="00D06E2E">
              <w:rPr>
                <w:lang w:val="sr-Latn-RS"/>
              </w:rPr>
              <w:t>Unauthorized applicant</w:t>
            </w:r>
          </w:p>
        </w:tc>
        <w:tc>
          <w:tcPr>
            <w:tcW w:w="708" w:type="dxa"/>
            <w:vAlign w:val="center"/>
          </w:tcPr>
          <w:p w14:paraId="141A2B7C" w14:textId="77777777" w:rsidR="000A2E2F" w:rsidRPr="00D06E2E" w:rsidRDefault="000A2E2F" w:rsidP="00556F2C">
            <w:pPr>
              <w:spacing w:after="0"/>
              <w:jc w:val="center"/>
              <w:rPr>
                <w:rFonts w:cs="Calibri"/>
                <w:color w:val="000000"/>
                <w:lang w:val="sr-Latn-RS"/>
              </w:rPr>
            </w:pPr>
            <w:r w:rsidRPr="00D06E2E">
              <w:rPr>
                <w:rFonts w:cs="Calibri"/>
                <w:color w:val="000000"/>
                <w:lang w:val="sr-Latn-RS"/>
              </w:rPr>
              <w:t>1</w:t>
            </w:r>
          </w:p>
        </w:tc>
        <w:tc>
          <w:tcPr>
            <w:tcW w:w="1237" w:type="dxa"/>
            <w:noWrap/>
            <w:vAlign w:val="center"/>
          </w:tcPr>
          <w:p w14:paraId="4B02FEFA" w14:textId="21DE432E" w:rsidR="000A2E2F" w:rsidRPr="00D06E2E" w:rsidRDefault="00642AB1" w:rsidP="00556F2C">
            <w:pPr>
              <w:spacing w:after="0"/>
              <w:jc w:val="center"/>
              <w:rPr>
                <w:rFonts w:cs="Calibri"/>
                <w:color w:val="000000"/>
                <w:lang w:val="sr-Latn-RS"/>
              </w:rPr>
            </w:pPr>
            <w:r w:rsidRPr="00D06E2E">
              <w:rPr>
                <w:rFonts w:cs="Calibri"/>
                <w:color w:val="000000"/>
                <w:lang w:val="sr-Latn-RS"/>
              </w:rPr>
              <w:t>2.</w:t>
            </w:r>
            <w:r w:rsidR="000A2E2F" w:rsidRPr="00D06E2E">
              <w:rPr>
                <w:rFonts w:cs="Calibri"/>
                <w:color w:val="000000"/>
                <w:lang w:val="sr-Latn-RS"/>
              </w:rPr>
              <w:t>63%</w:t>
            </w:r>
          </w:p>
        </w:tc>
      </w:tr>
      <w:tr w:rsidR="000A2E2F" w:rsidRPr="00D06E2E" w14:paraId="592E81C6" w14:textId="77777777" w:rsidTr="00937B4B">
        <w:trPr>
          <w:trHeight w:hRule="exact" w:val="329"/>
          <w:jc w:val="center"/>
        </w:trPr>
        <w:tc>
          <w:tcPr>
            <w:tcW w:w="7022" w:type="dxa"/>
            <w:vAlign w:val="center"/>
          </w:tcPr>
          <w:p w14:paraId="0F1BBADE" w14:textId="588DA620" w:rsidR="000A2E2F" w:rsidRPr="00D06E2E" w:rsidRDefault="00642AB1" w:rsidP="008F61B3">
            <w:pPr>
              <w:pStyle w:val="ListParagraph"/>
              <w:numPr>
                <w:ilvl w:val="0"/>
                <w:numId w:val="20"/>
              </w:numPr>
              <w:spacing w:after="0"/>
              <w:contextualSpacing/>
              <w:rPr>
                <w:b/>
                <w:lang w:val="sr-Latn-RS"/>
              </w:rPr>
            </w:pPr>
            <w:r w:rsidRPr="00D06E2E">
              <w:rPr>
                <w:b/>
                <w:lang w:val="sr-Latn-RS"/>
              </w:rPr>
              <w:t>Unfounded complaints</w:t>
            </w:r>
          </w:p>
        </w:tc>
        <w:tc>
          <w:tcPr>
            <w:tcW w:w="708" w:type="dxa"/>
            <w:vAlign w:val="center"/>
          </w:tcPr>
          <w:p w14:paraId="35DC80AF" w14:textId="77777777" w:rsidR="000A2E2F" w:rsidRPr="00D06E2E" w:rsidRDefault="000A2E2F" w:rsidP="00556F2C">
            <w:pPr>
              <w:spacing w:after="0"/>
              <w:jc w:val="center"/>
              <w:rPr>
                <w:rFonts w:cs="Calibri"/>
                <w:b/>
                <w:color w:val="000000"/>
                <w:lang w:val="sr-Latn-RS"/>
              </w:rPr>
            </w:pPr>
            <w:r w:rsidRPr="00D06E2E">
              <w:rPr>
                <w:rFonts w:cs="Calibri"/>
                <w:b/>
                <w:color w:val="000000"/>
                <w:lang w:val="sr-Latn-RS"/>
              </w:rPr>
              <w:t>18</w:t>
            </w:r>
          </w:p>
        </w:tc>
        <w:tc>
          <w:tcPr>
            <w:tcW w:w="1237" w:type="dxa"/>
            <w:noWrap/>
            <w:vAlign w:val="center"/>
          </w:tcPr>
          <w:p w14:paraId="67418F97" w14:textId="4EF30391" w:rsidR="000A2E2F" w:rsidRPr="00D06E2E" w:rsidRDefault="00642AB1" w:rsidP="00556F2C">
            <w:pPr>
              <w:spacing w:after="0"/>
              <w:jc w:val="center"/>
              <w:rPr>
                <w:rFonts w:cs="Calibri"/>
                <w:b/>
                <w:color w:val="000000"/>
                <w:lang w:val="sr-Latn-RS"/>
              </w:rPr>
            </w:pPr>
            <w:r w:rsidRPr="00D06E2E">
              <w:rPr>
                <w:rFonts w:cs="Calibri"/>
                <w:b/>
                <w:color w:val="000000"/>
                <w:lang w:val="sr-Latn-RS"/>
              </w:rPr>
              <w:t>23.</w:t>
            </w:r>
            <w:r w:rsidR="000A2E2F" w:rsidRPr="00D06E2E">
              <w:rPr>
                <w:rFonts w:cs="Calibri"/>
                <w:b/>
                <w:color w:val="000000"/>
                <w:lang w:val="sr-Latn-RS"/>
              </w:rPr>
              <w:t>38%</w:t>
            </w:r>
          </w:p>
        </w:tc>
      </w:tr>
      <w:tr w:rsidR="000A2E2F" w:rsidRPr="00D06E2E" w14:paraId="4CFFF1E9" w14:textId="77777777" w:rsidTr="00937B4B">
        <w:trPr>
          <w:trHeight w:hRule="exact" w:val="329"/>
          <w:jc w:val="center"/>
        </w:trPr>
        <w:tc>
          <w:tcPr>
            <w:tcW w:w="7022" w:type="dxa"/>
            <w:vAlign w:val="center"/>
          </w:tcPr>
          <w:p w14:paraId="683574AD" w14:textId="157FDA18" w:rsidR="000A2E2F" w:rsidRPr="00D06E2E" w:rsidRDefault="00A450E2" w:rsidP="008F61B3">
            <w:pPr>
              <w:pStyle w:val="ListParagraph"/>
              <w:numPr>
                <w:ilvl w:val="0"/>
                <w:numId w:val="20"/>
              </w:numPr>
              <w:spacing w:after="0"/>
              <w:contextualSpacing/>
              <w:rPr>
                <w:b/>
                <w:lang w:val="sr-Latn-RS"/>
              </w:rPr>
            </w:pPr>
            <w:r w:rsidRPr="00D06E2E">
              <w:rPr>
                <w:b/>
                <w:bCs/>
                <w:lang w:val="sr-Latn-RS"/>
              </w:rPr>
              <w:lastRenderedPageBreak/>
              <w:t>Informed and advised complainant</w:t>
            </w:r>
          </w:p>
        </w:tc>
        <w:tc>
          <w:tcPr>
            <w:tcW w:w="708" w:type="dxa"/>
            <w:vAlign w:val="center"/>
          </w:tcPr>
          <w:p w14:paraId="65C9F254" w14:textId="77777777" w:rsidR="000A2E2F" w:rsidRPr="00D06E2E" w:rsidRDefault="000A2E2F" w:rsidP="00556F2C">
            <w:pPr>
              <w:spacing w:after="0"/>
              <w:jc w:val="center"/>
              <w:rPr>
                <w:rFonts w:cs="Calibri"/>
                <w:b/>
                <w:color w:val="000000"/>
                <w:lang w:val="sr-Latn-RS"/>
              </w:rPr>
            </w:pPr>
            <w:r w:rsidRPr="00D06E2E">
              <w:rPr>
                <w:rFonts w:cs="Calibri"/>
                <w:b/>
                <w:color w:val="000000"/>
                <w:lang w:val="sr-Latn-RS"/>
              </w:rPr>
              <w:t>9</w:t>
            </w:r>
          </w:p>
        </w:tc>
        <w:tc>
          <w:tcPr>
            <w:tcW w:w="1237" w:type="dxa"/>
            <w:noWrap/>
            <w:vAlign w:val="center"/>
          </w:tcPr>
          <w:p w14:paraId="0F62666C" w14:textId="64BAFD3C" w:rsidR="000A2E2F" w:rsidRPr="00D06E2E" w:rsidRDefault="00642AB1" w:rsidP="00556F2C">
            <w:pPr>
              <w:spacing w:after="0"/>
              <w:jc w:val="center"/>
              <w:rPr>
                <w:rFonts w:cs="Calibri"/>
                <w:b/>
                <w:color w:val="000000"/>
                <w:lang w:val="sr-Latn-RS"/>
              </w:rPr>
            </w:pPr>
            <w:r w:rsidRPr="00D06E2E">
              <w:rPr>
                <w:rFonts w:cs="Calibri"/>
                <w:b/>
                <w:color w:val="000000"/>
                <w:lang w:val="sr-Latn-RS"/>
              </w:rPr>
              <w:t>11.</w:t>
            </w:r>
            <w:r w:rsidR="000A2E2F" w:rsidRPr="00D06E2E">
              <w:rPr>
                <w:rFonts w:cs="Calibri"/>
                <w:b/>
                <w:color w:val="000000"/>
                <w:lang w:val="sr-Latn-RS"/>
              </w:rPr>
              <w:t>69%</w:t>
            </w:r>
          </w:p>
        </w:tc>
      </w:tr>
      <w:tr w:rsidR="000A2E2F" w:rsidRPr="00D06E2E" w14:paraId="62EE8330" w14:textId="77777777" w:rsidTr="00A450E2">
        <w:trPr>
          <w:trHeight w:hRule="exact" w:val="572"/>
          <w:jc w:val="center"/>
        </w:trPr>
        <w:tc>
          <w:tcPr>
            <w:tcW w:w="7022" w:type="dxa"/>
            <w:vAlign w:val="center"/>
          </w:tcPr>
          <w:p w14:paraId="11F045B9" w14:textId="347156D0" w:rsidR="000A2E2F" w:rsidRPr="00D06E2E" w:rsidRDefault="00642AB1" w:rsidP="00A450E2">
            <w:pPr>
              <w:pStyle w:val="ListParagraph"/>
              <w:numPr>
                <w:ilvl w:val="0"/>
                <w:numId w:val="20"/>
              </w:numPr>
              <w:spacing w:after="0"/>
              <w:contextualSpacing/>
              <w:rPr>
                <w:b/>
                <w:lang w:val="sr-Latn-RS"/>
              </w:rPr>
            </w:pPr>
            <w:r w:rsidRPr="00D06E2E">
              <w:rPr>
                <w:b/>
                <w:bCs/>
                <w:lang w:val="sr-Latn-RS"/>
              </w:rPr>
              <w:t>Cases closed by recommendations from the expedited oversight procedure</w:t>
            </w:r>
            <w:r w:rsidRPr="00D06E2E">
              <w:rPr>
                <w:b/>
                <w:lang w:val="sr-Latn-RS"/>
              </w:rPr>
              <w:t xml:space="preserve"> </w:t>
            </w:r>
          </w:p>
        </w:tc>
        <w:tc>
          <w:tcPr>
            <w:tcW w:w="708" w:type="dxa"/>
            <w:vAlign w:val="center"/>
          </w:tcPr>
          <w:p w14:paraId="49AF8806" w14:textId="77777777" w:rsidR="000A2E2F" w:rsidRPr="00D06E2E" w:rsidRDefault="000A2E2F" w:rsidP="00556F2C">
            <w:pPr>
              <w:spacing w:after="0"/>
              <w:jc w:val="center"/>
              <w:rPr>
                <w:rFonts w:cs="Calibri"/>
                <w:b/>
                <w:color w:val="000000"/>
                <w:lang w:val="sr-Latn-RS"/>
              </w:rPr>
            </w:pPr>
            <w:r w:rsidRPr="00D06E2E">
              <w:rPr>
                <w:rFonts w:cs="Calibri"/>
                <w:b/>
                <w:color w:val="000000"/>
                <w:lang w:val="sr-Latn-RS"/>
              </w:rPr>
              <w:t>6</w:t>
            </w:r>
          </w:p>
        </w:tc>
        <w:tc>
          <w:tcPr>
            <w:tcW w:w="1237" w:type="dxa"/>
            <w:noWrap/>
            <w:vAlign w:val="center"/>
          </w:tcPr>
          <w:p w14:paraId="6E022266" w14:textId="41A7AAE0" w:rsidR="000A2E2F" w:rsidRPr="00D06E2E" w:rsidRDefault="00642AB1" w:rsidP="00556F2C">
            <w:pPr>
              <w:spacing w:after="0"/>
              <w:jc w:val="center"/>
              <w:rPr>
                <w:rFonts w:cs="Calibri"/>
                <w:b/>
                <w:color w:val="000000"/>
                <w:lang w:val="sr-Latn-RS"/>
              </w:rPr>
            </w:pPr>
            <w:r w:rsidRPr="00D06E2E">
              <w:rPr>
                <w:rFonts w:cs="Calibri"/>
                <w:b/>
                <w:color w:val="000000"/>
                <w:lang w:val="sr-Latn-RS"/>
              </w:rPr>
              <w:t>7.</w:t>
            </w:r>
            <w:r w:rsidR="000A2E2F" w:rsidRPr="00D06E2E">
              <w:rPr>
                <w:rFonts w:cs="Calibri"/>
                <w:b/>
                <w:color w:val="000000"/>
                <w:lang w:val="sr-Latn-RS"/>
              </w:rPr>
              <w:t>79%</w:t>
            </w:r>
          </w:p>
        </w:tc>
      </w:tr>
      <w:tr w:rsidR="000A2E2F" w:rsidRPr="00D06E2E" w14:paraId="108123AC" w14:textId="77777777" w:rsidTr="00A450E2">
        <w:trPr>
          <w:trHeight w:hRule="exact" w:val="365"/>
          <w:jc w:val="center"/>
        </w:trPr>
        <w:tc>
          <w:tcPr>
            <w:tcW w:w="7022" w:type="dxa"/>
            <w:vAlign w:val="center"/>
          </w:tcPr>
          <w:p w14:paraId="732BA412" w14:textId="35160286" w:rsidR="000A2E2F" w:rsidRPr="00D06E2E" w:rsidRDefault="00A450E2" w:rsidP="00A450E2">
            <w:pPr>
              <w:pStyle w:val="ListParagraph"/>
              <w:numPr>
                <w:ilvl w:val="0"/>
                <w:numId w:val="20"/>
              </w:numPr>
              <w:spacing w:after="0"/>
              <w:contextualSpacing/>
              <w:rPr>
                <w:b/>
                <w:lang w:val="sr-Latn-RS"/>
              </w:rPr>
            </w:pPr>
            <w:r w:rsidRPr="00D06E2E">
              <w:rPr>
                <w:b/>
                <w:bCs/>
                <w:lang w:val="sr-Latn-RS"/>
              </w:rPr>
              <w:t>Cases closed by recommendations from oversight procedure</w:t>
            </w:r>
            <w:r w:rsidRPr="00D06E2E">
              <w:rPr>
                <w:b/>
                <w:lang w:val="sr-Latn-RS"/>
              </w:rPr>
              <w:t xml:space="preserve"> </w:t>
            </w:r>
          </w:p>
        </w:tc>
        <w:tc>
          <w:tcPr>
            <w:tcW w:w="708" w:type="dxa"/>
            <w:vAlign w:val="center"/>
          </w:tcPr>
          <w:p w14:paraId="6C424C5C" w14:textId="77777777" w:rsidR="000A2E2F" w:rsidRPr="00D06E2E" w:rsidRDefault="000A2E2F" w:rsidP="00556F2C">
            <w:pPr>
              <w:spacing w:after="0"/>
              <w:jc w:val="center"/>
              <w:rPr>
                <w:rFonts w:cs="Calibri"/>
                <w:b/>
                <w:color w:val="000000"/>
                <w:lang w:val="sr-Latn-RS"/>
              </w:rPr>
            </w:pPr>
            <w:r w:rsidRPr="00D06E2E">
              <w:rPr>
                <w:rFonts w:cs="Calibri"/>
                <w:b/>
                <w:color w:val="000000"/>
                <w:lang w:val="sr-Latn-RS"/>
              </w:rPr>
              <w:t>3</w:t>
            </w:r>
          </w:p>
        </w:tc>
        <w:tc>
          <w:tcPr>
            <w:tcW w:w="1237" w:type="dxa"/>
            <w:noWrap/>
            <w:vAlign w:val="center"/>
          </w:tcPr>
          <w:p w14:paraId="46784F25" w14:textId="4763ACE1" w:rsidR="000A2E2F" w:rsidRPr="00D06E2E" w:rsidRDefault="00642AB1" w:rsidP="00556F2C">
            <w:pPr>
              <w:spacing w:after="0"/>
              <w:jc w:val="center"/>
              <w:rPr>
                <w:rFonts w:cs="Calibri"/>
                <w:b/>
                <w:color w:val="000000"/>
                <w:lang w:val="sr-Latn-RS"/>
              </w:rPr>
            </w:pPr>
            <w:r w:rsidRPr="00D06E2E">
              <w:rPr>
                <w:rFonts w:cs="Calibri"/>
                <w:b/>
                <w:color w:val="000000"/>
                <w:lang w:val="sr-Latn-RS"/>
              </w:rPr>
              <w:t>3.</w:t>
            </w:r>
            <w:r w:rsidR="000A2E2F" w:rsidRPr="00D06E2E">
              <w:rPr>
                <w:rFonts w:cs="Calibri"/>
                <w:b/>
                <w:color w:val="000000"/>
                <w:lang w:val="sr-Latn-RS"/>
              </w:rPr>
              <w:t>90%</w:t>
            </w:r>
          </w:p>
        </w:tc>
      </w:tr>
      <w:tr w:rsidR="000A2E2F" w:rsidRPr="00D06E2E" w14:paraId="66FDF990" w14:textId="77777777" w:rsidTr="00937B4B">
        <w:trPr>
          <w:trHeight w:hRule="exact" w:val="329"/>
          <w:jc w:val="center"/>
        </w:trPr>
        <w:tc>
          <w:tcPr>
            <w:tcW w:w="7022" w:type="dxa"/>
            <w:vAlign w:val="center"/>
          </w:tcPr>
          <w:p w14:paraId="4542402C" w14:textId="1E563886" w:rsidR="000A2E2F" w:rsidRPr="00D06E2E" w:rsidRDefault="00642AB1" w:rsidP="008F61B3">
            <w:pPr>
              <w:pStyle w:val="ListParagraph"/>
              <w:numPr>
                <w:ilvl w:val="0"/>
                <w:numId w:val="20"/>
              </w:numPr>
              <w:spacing w:after="0"/>
              <w:contextualSpacing/>
              <w:rPr>
                <w:b/>
                <w:lang w:val="sr-Latn-RS"/>
              </w:rPr>
            </w:pPr>
            <w:r w:rsidRPr="00D06E2E">
              <w:rPr>
                <w:b/>
                <w:bCs/>
                <w:lang w:val="sr-Latn-RS"/>
              </w:rPr>
              <w:t>Withdrawal of the complainant</w:t>
            </w:r>
          </w:p>
        </w:tc>
        <w:tc>
          <w:tcPr>
            <w:tcW w:w="708" w:type="dxa"/>
            <w:vAlign w:val="center"/>
          </w:tcPr>
          <w:p w14:paraId="19A4A4CA" w14:textId="77777777" w:rsidR="000A2E2F" w:rsidRPr="00D06E2E" w:rsidRDefault="000A2E2F" w:rsidP="00556F2C">
            <w:pPr>
              <w:spacing w:after="0"/>
              <w:jc w:val="center"/>
              <w:rPr>
                <w:rFonts w:cs="Calibri"/>
                <w:b/>
                <w:color w:val="000000"/>
                <w:lang w:val="sr-Latn-RS"/>
              </w:rPr>
            </w:pPr>
            <w:r w:rsidRPr="00D06E2E">
              <w:rPr>
                <w:rFonts w:cs="Calibri"/>
                <w:b/>
                <w:color w:val="000000"/>
                <w:lang w:val="sr-Latn-RS"/>
              </w:rPr>
              <w:t>2</w:t>
            </w:r>
          </w:p>
        </w:tc>
        <w:tc>
          <w:tcPr>
            <w:tcW w:w="1237" w:type="dxa"/>
            <w:noWrap/>
            <w:vAlign w:val="center"/>
          </w:tcPr>
          <w:p w14:paraId="5C5293D3" w14:textId="4EFE5A1E" w:rsidR="000A2E2F" w:rsidRPr="00D06E2E" w:rsidRDefault="00642AB1" w:rsidP="00556F2C">
            <w:pPr>
              <w:spacing w:after="0"/>
              <w:jc w:val="center"/>
              <w:rPr>
                <w:rFonts w:cs="Calibri"/>
                <w:b/>
                <w:color w:val="000000"/>
                <w:lang w:val="sr-Latn-RS"/>
              </w:rPr>
            </w:pPr>
            <w:r w:rsidRPr="00D06E2E">
              <w:rPr>
                <w:rFonts w:cs="Calibri"/>
                <w:b/>
                <w:color w:val="000000"/>
                <w:lang w:val="sr-Latn-RS"/>
              </w:rPr>
              <w:t>2.</w:t>
            </w:r>
            <w:r w:rsidR="000A2E2F" w:rsidRPr="00D06E2E">
              <w:rPr>
                <w:rFonts w:cs="Calibri"/>
                <w:b/>
                <w:color w:val="000000"/>
                <w:lang w:val="sr-Latn-RS"/>
              </w:rPr>
              <w:t>60%</w:t>
            </w:r>
          </w:p>
        </w:tc>
      </w:tr>
      <w:tr w:rsidR="000A2E2F" w:rsidRPr="00D06E2E" w14:paraId="5BE83AF9" w14:textId="77777777" w:rsidTr="00A450E2">
        <w:trPr>
          <w:trHeight w:hRule="exact" w:val="302"/>
          <w:jc w:val="center"/>
        </w:trPr>
        <w:tc>
          <w:tcPr>
            <w:tcW w:w="7022" w:type="dxa"/>
            <w:vAlign w:val="center"/>
          </w:tcPr>
          <w:p w14:paraId="385C0971" w14:textId="1AF0DBF5" w:rsidR="000A2E2F" w:rsidRPr="00D06E2E" w:rsidRDefault="00A450E2" w:rsidP="00A450E2">
            <w:pPr>
              <w:pStyle w:val="ListParagraph"/>
              <w:numPr>
                <w:ilvl w:val="0"/>
                <w:numId w:val="20"/>
              </w:numPr>
              <w:spacing w:after="0"/>
              <w:contextualSpacing/>
              <w:rPr>
                <w:b/>
                <w:lang w:val="sr-Latn-RS"/>
              </w:rPr>
            </w:pPr>
            <w:r w:rsidRPr="00D06E2E">
              <w:rPr>
                <w:b/>
                <w:bCs/>
                <w:lang w:val="sr-Latn-RS"/>
              </w:rPr>
              <w:t>Cases closed by recommendations from Special Report</w:t>
            </w:r>
          </w:p>
        </w:tc>
        <w:tc>
          <w:tcPr>
            <w:tcW w:w="708" w:type="dxa"/>
            <w:vAlign w:val="center"/>
          </w:tcPr>
          <w:p w14:paraId="3DE2FEC1" w14:textId="77777777" w:rsidR="000A2E2F" w:rsidRPr="00D06E2E" w:rsidRDefault="000A2E2F" w:rsidP="00556F2C">
            <w:pPr>
              <w:spacing w:after="0"/>
              <w:jc w:val="center"/>
              <w:rPr>
                <w:rFonts w:cs="Calibri"/>
                <w:b/>
                <w:color w:val="000000"/>
                <w:lang w:val="sr-Latn-RS"/>
              </w:rPr>
            </w:pPr>
            <w:r w:rsidRPr="00D06E2E">
              <w:rPr>
                <w:rFonts w:cs="Calibri"/>
                <w:b/>
                <w:color w:val="000000"/>
                <w:lang w:val="sr-Latn-RS"/>
              </w:rPr>
              <w:t>1</w:t>
            </w:r>
          </w:p>
        </w:tc>
        <w:tc>
          <w:tcPr>
            <w:tcW w:w="1237" w:type="dxa"/>
            <w:noWrap/>
            <w:vAlign w:val="center"/>
          </w:tcPr>
          <w:p w14:paraId="48540FA0" w14:textId="36FD7887" w:rsidR="000A2E2F" w:rsidRPr="00D06E2E" w:rsidRDefault="00642AB1" w:rsidP="00556F2C">
            <w:pPr>
              <w:spacing w:after="0"/>
              <w:jc w:val="center"/>
              <w:rPr>
                <w:rFonts w:cs="Calibri"/>
                <w:b/>
                <w:color w:val="000000"/>
                <w:lang w:val="sr-Latn-RS"/>
              </w:rPr>
            </w:pPr>
            <w:r w:rsidRPr="00D06E2E">
              <w:rPr>
                <w:rFonts w:cs="Calibri"/>
                <w:b/>
                <w:color w:val="000000"/>
                <w:lang w:val="sr-Latn-RS"/>
              </w:rPr>
              <w:t>1.</w:t>
            </w:r>
            <w:r w:rsidR="000A2E2F" w:rsidRPr="00D06E2E">
              <w:rPr>
                <w:rFonts w:cs="Calibri"/>
                <w:b/>
                <w:color w:val="000000"/>
                <w:lang w:val="sr-Latn-RS"/>
              </w:rPr>
              <w:t>30%</w:t>
            </w:r>
          </w:p>
        </w:tc>
      </w:tr>
      <w:tr w:rsidR="000A2E2F" w:rsidRPr="00D06E2E" w14:paraId="7B5FE42E" w14:textId="77777777" w:rsidTr="00937B4B">
        <w:trPr>
          <w:trHeight w:hRule="exact" w:val="329"/>
          <w:jc w:val="center"/>
        </w:trPr>
        <w:tc>
          <w:tcPr>
            <w:tcW w:w="7022" w:type="dxa"/>
            <w:vAlign w:val="center"/>
          </w:tcPr>
          <w:p w14:paraId="772B5817" w14:textId="5EA13EBA" w:rsidR="000A2E2F" w:rsidRPr="00D06E2E" w:rsidRDefault="00642AB1" w:rsidP="00556F2C">
            <w:pPr>
              <w:spacing w:after="0"/>
              <w:rPr>
                <w:b/>
                <w:bCs/>
                <w:lang w:val="sr-Latn-RS"/>
              </w:rPr>
            </w:pPr>
            <w:r w:rsidRPr="00D06E2E">
              <w:rPr>
                <w:b/>
                <w:bCs/>
                <w:lang w:val="sr-Latn-RS"/>
              </w:rPr>
              <w:t>Total</w:t>
            </w:r>
          </w:p>
        </w:tc>
        <w:tc>
          <w:tcPr>
            <w:tcW w:w="708" w:type="dxa"/>
            <w:vAlign w:val="center"/>
          </w:tcPr>
          <w:p w14:paraId="54DF714D" w14:textId="77777777" w:rsidR="000A2E2F" w:rsidRPr="00D06E2E" w:rsidRDefault="000A2E2F" w:rsidP="00556F2C">
            <w:pPr>
              <w:spacing w:after="0"/>
              <w:jc w:val="center"/>
              <w:rPr>
                <w:b/>
                <w:bCs/>
                <w:lang w:val="sr-Latn-RS"/>
              </w:rPr>
            </w:pPr>
            <w:r w:rsidRPr="00D06E2E">
              <w:rPr>
                <w:b/>
                <w:bCs/>
                <w:lang w:val="sr-Latn-RS"/>
              </w:rPr>
              <w:t>77</w:t>
            </w:r>
          </w:p>
        </w:tc>
        <w:tc>
          <w:tcPr>
            <w:tcW w:w="1237" w:type="dxa"/>
            <w:noWrap/>
            <w:vAlign w:val="center"/>
          </w:tcPr>
          <w:p w14:paraId="1B0A760F" w14:textId="77777777" w:rsidR="000A2E2F" w:rsidRPr="00D06E2E" w:rsidRDefault="000A2E2F" w:rsidP="00556F2C">
            <w:pPr>
              <w:spacing w:after="0"/>
              <w:jc w:val="center"/>
              <w:rPr>
                <w:b/>
                <w:bCs/>
                <w:lang w:val="sr-Latn-RS"/>
              </w:rPr>
            </w:pPr>
            <w:r w:rsidRPr="00D06E2E">
              <w:rPr>
                <w:b/>
                <w:bCs/>
                <w:lang w:val="sr-Latn-RS"/>
              </w:rPr>
              <w:t>100%</w:t>
            </w:r>
          </w:p>
        </w:tc>
      </w:tr>
    </w:tbl>
    <w:p w14:paraId="28C1A489" w14:textId="77777777" w:rsidR="000A2E2F" w:rsidRPr="00D06E2E" w:rsidRDefault="000A2E2F" w:rsidP="000A2E2F">
      <w:pPr>
        <w:spacing w:after="0"/>
        <w:rPr>
          <w:lang w:val="sr-Latn-RS"/>
        </w:rPr>
      </w:pPr>
    </w:p>
    <w:p w14:paraId="27D1DDEF" w14:textId="53ABFA13" w:rsidR="000A2E2F" w:rsidRPr="00D06E2E" w:rsidRDefault="00A450E2" w:rsidP="00A450E2">
      <w:pPr>
        <w:spacing w:after="0"/>
        <w:rPr>
          <w:rFonts w:cs="Arial"/>
          <w:lang w:val="sr-Latn-RS"/>
        </w:rPr>
      </w:pPr>
      <w:r w:rsidRPr="00D06E2E">
        <w:rPr>
          <w:rFonts w:cs="Arial"/>
          <w:lang w:val="sr-Latn-RS"/>
        </w:rPr>
        <w:t xml:space="preserve">The greatest number of received complaints is </w:t>
      </w:r>
      <w:r w:rsidRPr="00D06E2E">
        <w:rPr>
          <w:rFonts w:cstheme="minorHAnsi"/>
          <w:lang w:val="sr-Latn-RS"/>
        </w:rPr>
        <w:t xml:space="preserve">inadmissible </w:t>
      </w:r>
      <w:r w:rsidRPr="00D06E2E">
        <w:rPr>
          <w:rFonts w:cs="Arial"/>
          <w:lang w:val="sr-Latn-RS"/>
        </w:rPr>
        <w:t xml:space="preserve">by the Protector of Citizens because the legally prescribed conditions for acting upon them are not fulfilled. The complaints are </w:t>
      </w:r>
      <w:r w:rsidRPr="00D06E2E">
        <w:rPr>
          <w:rFonts w:cstheme="minorHAnsi"/>
          <w:lang w:val="sr-Latn-RS"/>
        </w:rPr>
        <w:t xml:space="preserve">inadmissible </w:t>
      </w:r>
      <w:r w:rsidRPr="00D06E2E">
        <w:rPr>
          <w:rFonts w:cs="Arial"/>
          <w:lang w:val="sr-Latn-RS"/>
        </w:rPr>
        <w:t xml:space="preserve">due to incompetence, untimeliness, prematurity, anonymity and formal deficiency. A very important segment of acting of the Protector of Citizens upon complaints is the provision of advisory-legal assistance which is provided by the Protector of Citizens even when the complaint is </w:t>
      </w:r>
      <w:r w:rsidRPr="00D06E2E">
        <w:rPr>
          <w:rFonts w:cstheme="minorHAnsi"/>
          <w:lang w:val="sr-Latn-RS"/>
        </w:rPr>
        <w:t xml:space="preserve">inadmissible </w:t>
      </w:r>
      <w:r w:rsidRPr="00D06E2E">
        <w:rPr>
          <w:rFonts w:cs="Arial"/>
          <w:lang w:val="sr-Latn-RS"/>
        </w:rPr>
        <w:t>because of incompetence or prematurity. Such advisory</w:t>
      </w:r>
      <w:r w:rsidR="000A2E2F" w:rsidRPr="00D06E2E">
        <w:rPr>
          <w:lang w:val="sr-Latn-RS"/>
        </w:rPr>
        <w:t xml:space="preserve"> </w:t>
      </w:r>
      <w:r w:rsidRPr="00D06E2E">
        <w:rPr>
          <w:rFonts w:cs="Arial"/>
          <w:lang w:val="sr-Latn-RS"/>
        </w:rPr>
        <w:t xml:space="preserve">assistance is provided to citizens in </w:t>
      </w:r>
      <w:r w:rsidR="000A2E2F" w:rsidRPr="00D06E2E">
        <w:rPr>
          <w:lang w:val="sr-Latn-RS"/>
        </w:rPr>
        <w:t>89</w:t>
      </w:r>
      <w:r w:rsidRPr="00D06E2E">
        <w:rPr>
          <w:lang w:val="sr-Latn-RS"/>
        </w:rPr>
        <w:t>.</w:t>
      </w:r>
      <w:r w:rsidR="000A2E2F" w:rsidRPr="00D06E2E">
        <w:rPr>
          <w:lang w:val="sr-Latn-RS"/>
        </w:rPr>
        <w:t xml:space="preserve">47 </w:t>
      </w:r>
      <w:r w:rsidRPr="00D06E2E">
        <w:rPr>
          <w:bCs/>
          <w:lang w:val="sr-Latn-RS"/>
        </w:rPr>
        <w:t>percent of inadmissible cases</w:t>
      </w:r>
      <w:r w:rsidR="000A2E2F" w:rsidRPr="00D06E2E">
        <w:rPr>
          <w:lang w:val="sr-Latn-RS"/>
        </w:rPr>
        <w:t xml:space="preserve"> (34) </w:t>
      </w:r>
      <w:r w:rsidRPr="00D06E2E">
        <w:rPr>
          <w:rFonts w:cs="Arial"/>
          <w:lang w:val="sr-Latn-RS"/>
        </w:rPr>
        <w:t xml:space="preserve">in this </w:t>
      </w:r>
      <w:r w:rsidRPr="00D06E2E">
        <w:rPr>
          <w:bCs/>
          <w:lang w:val="sr-Latn-RS"/>
        </w:rPr>
        <w:t>area</w:t>
      </w:r>
      <w:r w:rsidRPr="00D06E2E">
        <w:rPr>
          <w:rFonts w:cs="Arial"/>
          <w:lang w:val="sr-Latn-RS"/>
        </w:rPr>
        <w:t xml:space="preserve">. </w:t>
      </w:r>
      <w:r w:rsidRPr="00D06E2E">
        <w:rPr>
          <w:rFonts w:cs="Times New Roman"/>
          <w:lang w:val="sr-Latn-RS"/>
        </w:rPr>
        <w:t>In such cases the Protector of Citizens refers the complainant to the competent body or advises them on available legal remedies.</w:t>
      </w:r>
      <w:r w:rsidR="000A2E2F" w:rsidRPr="00D06E2E">
        <w:rPr>
          <w:lang w:val="sr-Latn-RS"/>
        </w:rPr>
        <w:t xml:space="preserve"> </w:t>
      </w:r>
    </w:p>
    <w:p w14:paraId="393BDC36" w14:textId="0E4279FB" w:rsidR="000A2E2F" w:rsidRPr="00D06E2E" w:rsidRDefault="00A450E2" w:rsidP="000A2E2F">
      <w:pPr>
        <w:spacing w:after="0"/>
        <w:rPr>
          <w:lang w:val="sr-Latn-RS"/>
        </w:rPr>
      </w:pPr>
      <w:r w:rsidRPr="00D06E2E">
        <w:rPr>
          <w:lang w:val="sr-Latn-RS"/>
        </w:rPr>
        <w:t>In the area of gender equality in 83 cases it was indicated to 106 violations of rights whose significant part refers to domestic violence, rights of pregnant women and nursing mothers and the right to earning compensation at the time of absence due to pregnancy leave, maternity leave and child care</w:t>
      </w:r>
      <w:r w:rsidR="000A2E2F" w:rsidRPr="00D06E2E">
        <w:rPr>
          <w:lang w:val="sr-Latn-RS"/>
        </w:rPr>
        <w:t xml:space="preserve">, </w:t>
      </w:r>
      <w:r w:rsidRPr="00D06E2E">
        <w:rPr>
          <w:lang w:val="sr-Latn-RS"/>
        </w:rPr>
        <w:t xml:space="preserve">violence against LGBTI persons and legal consequences of sex adjustment. </w:t>
      </w:r>
    </w:p>
    <w:p w14:paraId="487BDAE9" w14:textId="77777777" w:rsidR="000A2E2F" w:rsidRPr="00D06E2E" w:rsidRDefault="000A2E2F" w:rsidP="000A2E2F">
      <w:pPr>
        <w:spacing w:after="0"/>
        <w:rPr>
          <w:lang w:val="sr-Latn-RS"/>
        </w:rPr>
      </w:pPr>
    </w:p>
    <w:p w14:paraId="5289E792" w14:textId="784F3E74" w:rsidR="000A2E2F" w:rsidRPr="00D06E2E" w:rsidRDefault="00A450E2" w:rsidP="000A2E2F">
      <w:pPr>
        <w:pStyle w:val="Caption"/>
        <w:keepNext/>
        <w:spacing w:before="0" w:after="0"/>
        <w:jc w:val="center"/>
        <w:rPr>
          <w:lang w:val="sr-Latn-RS"/>
        </w:rPr>
      </w:pPr>
      <w:r w:rsidRPr="00D06E2E">
        <w:rPr>
          <w:lang w:val="sr-Latn-RS"/>
        </w:rPr>
        <w:t>Chart 4 – Categories of authorities and organizations about whose operations citizens complained most frequently in t</w:t>
      </w:r>
      <w:r w:rsidR="00BA297C" w:rsidRPr="00D06E2E">
        <w:rPr>
          <w:lang w:val="sr-Latn-RS"/>
        </w:rPr>
        <w:t xml:space="preserve">he area of gender equality and </w:t>
      </w:r>
      <w:r w:rsidRPr="00D06E2E">
        <w:rPr>
          <w:lang w:val="sr-Latn-RS"/>
        </w:rPr>
        <w:t>LGBTI rights</w:t>
      </w:r>
    </w:p>
    <w:p w14:paraId="0F85BE75" w14:textId="30A04A1A" w:rsidR="000A2E2F" w:rsidRPr="00D06E2E" w:rsidRDefault="00EB5503" w:rsidP="000A2E2F">
      <w:pPr>
        <w:pStyle w:val="Caption"/>
        <w:jc w:val="center"/>
        <w:rPr>
          <w:lang w:val="sr-Latn-RS"/>
        </w:rPr>
      </w:pPr>
      <w:r w:rsidRPr="00D06E2E">
        <w:rPr>
          <w:noProof/>
          <w:lang w:val="sr-Latn-RS"/>
        </w:rPr>
        <w:drawing>
          <wp:inline distT="0" distB="0" distL="0" distR="0" wp14:anchorId="10478B1C" wp14:editId="40090EB9">
            <wp:extent cx="5732145" cy="4043680"/>
            <wp:effectExtent l="0" t="0" r="1905"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771428" w14:textId="752D96A0" w:rsidR="0060478B" w:rsidRPr="00D06E2E" w:rsidRDefault="00D0747C" w:rsidP="0060478B">
      <w:pPr>
        <w:jc w:val="center"/>
        <w:rPr>
          <w:sz w:val="24"/>
          <w:szCs w:val="24"/>
          <w:lang w:val="sr-Latn-RS"/>
        </w:rPr>
      </w:pPr>
      <w:r w:rsidRPr="00D06E2E">
        <w:rPr>
          <w:sz w:val="24"/>
          <w:szCs w:val="24"/>
          <w:lang w:val="sr-Latn-RS"/>
        </w:rPr>
        <w:lastRenderedPageBreak/>
        <w:t>ACTIVITIES OF THE PROTECTOR OF CITIZENS</w:t>
      </w:r>
    </w:p>
    <w:p w14:paraId="2A9C45B8" w14:textId="3D1006B6" w:rsidR="0060478B" w:rsidRPr="00D06E2E" w:rsidRDefault="00D0747C" w:rsidP="001525D1">
      <w:pPr>
        <w:rPr>
          <w:b/>
          <w:bCs/>
          <w:lang w:val="sr-Latn-RS"/>
        </w:rPr>
      </w:pPr>
      <w:r w:rsidRPr="00D06E2E">
        <w:rPr>
          <w:b/>
          <w:bCs/>
          <w:lang w:val="sr-Latn-RS"/>
        </w:rPr>
        <w:t>Gender equality</w:t>
      </w:r>
    </w:p>
    <w:p w14:paraId="243D4D1A" w14:textId="3C2C8F15" w:rsidR="00B61AA4" w:rsidRPr="00D06E2E" w:rsidRDefault="00677748" w:rsidP="00B61AA4">
      <w:pPr>
        <w:rPr>
          <w:lang w:val="sr-Latn-RS"/>
        </w:rPr>
      </w:pPr>
      <w:r w:rsidRPr="00D06E2E">
        <w:rPr>
          <w:lang w:val="sr-Latn-RS"/>
        </w:rPr>
        <w:t>Pursuant to the Law on Gender Equality, the Protector of Citizens issued an Opinion with recommendation</w:t>
      </w:r>
      <w:r w:rsidR="00B61AA4" w:rsidRPr="00D06E2E">
        <w:rPr>
          <w:rStyle w:val="FootnoteReference"/>
          <w:lang w:val="sr-Latn-RS"/>
        </w:rPr>
        <w:footnoteReference w:id="70"/>
      </w:r>
      <w:r w:rsidR="00B61AA4" w:rsidRPr="00D06E2E">
        <w:rPr>
          <w:lang w:val="sr-Latn-RS"/>
        </w:rPr>
        <w:t xml:space="preserve"> </w:t>
      </w:r>
      <w:r w:rsidRPr="00D06E2E">
        <w:rPr>
          <w:lang w:val="sr-Latn-RS"/>
        </w:rPr>
        <w:t>to the Ministry of Health, Ministry of Finance and Ministry of Labor, Employment, Veteran and Social Policy</w:t>
      </w:r>
      <w:r w:rsidR="007E387A" w:rsidRPr="00D06E2E">
        <w:rPr>
          <w:lang w:val="sr-Latn-RS"/>
        </w:rPr>
        <w:t xml:space="preserve"> to, in cooperation with the Ministry of Human and Minority Rights and Social Dialog execute drafts of amendments to relevant regulations from their competence which would create the legal basis to provide the exercise of rights to health insurance on the basis of unpaid work at home (household keeping, taking care of raising children, taking care of other family members as well as work at a farm, etc.) to unemployed persons who do not have health insurance on any other basis. After issued Opinion, the Ministry of Health informed the Protector of Citizens</w:t>
      </w:r>
      <w:r w:rsidR="00B61AA4" w:rsidRPr="00D06E2E">
        <w:rPr>
          <w:rStyle w:val="FootnoteReference"/>
          <w:lang w:val="sr-Latn-RS"/>
        </w:rPr>
        <w:footnoteReference w:id="71"/>
      </w:r>
      <w:r w:rsidR="00B61AA4" w:rsidRPr="00D06E2E">
        <w:rPr>
          <w:lang w:val="sr-Latn-RS"/>
        </w:rPr>
        <w:t xml:space="preserve"> </w:t>
      </w:r>
      <w:r w:rsidR="007E387A" w:rsidRPr="00D06E2E">
        <w:rPr>
          <w:lang w:val="sr-Latn-RS"/>
        </w:rPr>
        <w:t xml:space="preserve">that it plans during 2024 the execution of the draft to the amendment to the Law on Health Insurance. </w:t>
      </w:r>
    </w:p>
    <w:p w14:paraId="11BEA585" w14:textId="68F48946" w:rsidR="00B61AA4" w:rsidRPr="00D06E2E" w:rsidRDefault="007E387A" w:rsidP="00B61AA4">
      <w:pPr>
        <w:rPr>
          <w:lang w:val="sr-Latn-RS"/>
        </w:rPr>
      </w:pPr>
      <w:r w:rsidRPr="00D06E2E">
        <w:rPr>
          <w:lang w:val="sr-Latn-RS"/>
        </w:rPr>
        <w:t>By adopted amendments to the Law on Financial Aid to Families with Children</w:t>
      </w:r>
      <w:r w:rsidR="00B61AA4" w:rsidRPr="00D06E2E">
        <w:rPr>
          <w:rStyle w:val="FootnoteReference"/>
          <w:lang w:val="sr-Latn-RS"/>
        </w:rPr>
        <w:footnoteReference w:id="72"/>
      </w:r>
      <w:r w:rsidR="00B61AA4" w:rsidRPr="00D06E2E">
        <w:rPr>
          <w:lang w:val="sr-Latn-RS"/>
        </w:rPr>
        <w:t xml:space="preserve"> </w:t>
      </w:r>
      <w:r w:rsidRPr="00D06E2E">
        <w:rPr>
          <w:lang w:val="sr-Latn-RS"/>
        </w:rPr>
        <w:t xml:space="preserve">it was acted in compliance with earlier normative opinions and recommendations from regular annual reports of the Protector of Citizens in which this independent public authority highlighted that the provisions of the stated Law which regulate the compensation of other income on the bases of the birth and care of the child and special care of the child lead to different legal position in the same legal and factual situation (pregnancy, labor, care and special care of the child) employed women and women who perform independent activity, agricultural work or perform ocasional and temporary activities. In the provisions of the earlier valid Law on Financial Aid to Families with Children and contrary to the provisions of the Labor Law so far it was not possible for female entrepreneurs, female farmers, female agricultural insurance beneficiaries and women who perform occasional and temporary activities to exercise the right to the earnings compensation in the same volume and duration of two years after the birth of the third child as </w:t>
      </w:r>
      <w:r w:rsidR="00814385" w:rsidRPr="00D06E2E">
        <w:rPr>
          <w:lang w:val="sr-Latn-RS"/>
        </w:rPr>
        <w:t xml:space="preserve">it was for </w:t>
      </w:r>
      <w:r w:rsidRPr="00D06E2E">
        <w:rPr>
          <w:lang w:val="sr-Latn-RS"/>
        </w:rPr>
        <w:t>employed women</w:t>
      </w:r>
      <w:r w:rsidR="00814385" w:rsidRPr="00D06E2E">
        <w:rPr>
          <w:lang w:val="sr-Latn-RS"/>
        </w:rPr>
        <w:t>. The Protector of Citizens previously in its normative Opinion</w:t>
      </w:r>
      <w:r w:rsidR="00B61AA4" w:rsidRPr="00D06E2E">
        <w:rPr>
          <w:rStyle w:val="FootnoteReference"/>
          <w:lang w:val="sr-Latn-RS"/>
        </w:rPr>
        <w:footnoteReference w:id="73"/>
      </w:r>
      <w:r w:rsidR="00B61AA4" w:rsidRPr="00D06E2E">
        <w:rPr>
          <w:lang w:val="sr-Latn-RS"/>
        </w:rPr>
        <w:t xml:space="preserve"> </w:t>
      </w:r>
      <w:r w:rsidR="00814385" w:rsidRPr="00D06E2E">
        <w:rPr>
          <w:lang w:val="sr-Latn-RS"/>
        </w:rPr>
        <w:t xml:space="preserve">from March 2023 praised the proposed change. </w:t>
      </w:r>
    </w:p>
    <w:p w14:paraId="59E091D1" w14:textId="264686AB" w:rsidR="00B61AA4" w:rsidRPr="00D06E2E" w:rsidRDefault="00814385" w:rsidP="00B61AA4">
      <w:pPr>
        <w:rPr>
          <w:lang w:val="sr-Latn-RS"/>
        </w:rPr>
      </w:pPr>
      <w:r w:rsidRPr="00D06E2E">
        <w:rPr>
          <w:lang w:val="sr-Latn-RS"/>
        </w:rPr>
        <w:t>By the adoption of the Regulation of the Serbian Government on more detailed conditions and manner of exercise of the right to financial funds for the participation in the purchase and for the purchase of the family residential building or apartment on the basis of childbirth</w:t>
      </w:r>
      <w:r w:rsidR="00B61AA4" w:rsidRPr="00D06E2E">
        <w:rPr>
          <w:rStyle w:val="FootnoteReference"/>
          <w:lang w:val="sr-Latn-RS"/>
        </w:rPr>
        <w:footnoteReference w:id="74"/>
      </w:r>
      <w:r w:rsidR="00B61AA4" w:rsidRPr="00D06E2E">
        <w:rPr>
          <w:lang w:val="sr-Latn-RS"/>
        </w:rPr>
        <w:t xml:space="preserve"> </w:t>
      </w:r>
      <w:r w:rsidRPr="00D06E2E">
        <w:rPr>
          <w:lang w:val="sr-Latn-RS"/>
        </w:rPr>
        <w:t>in March 2023, it was a factual acceptance of the Opinion</w:t>
      </w:r>
      <w:r w:rsidR="00B61AA4" w:rsidRPr="00D06E2E">
        <w:rPr>
          <w:rStyle w:val="FootnoteReference"/>
          <w:lang w:val="sr-Latn-RS"/>
        </w:rPr>
        <w:footnoteReference w:id="75"/>
      </w:r>
      <w:r w:rsidR="00B61AA4" w:rsidRPr="00D06E2E">
        <w:rPr>
          <w:lang w:val="sr-Latn-RS"/>
        </w:rPr>
        <w:t xml:space="preserve"> </w:t>
      </w:r>
      <w:r w:rsidRPr="00D06E2E">
        <w:rPr>
          <w:lang w:val="sr-Latn-RS"/>
        </w:rPr>
        <w:t xml:space="preserve">of the Protector of Citizens dated December 30, 2022 which proposes the amendment to the Regulation on granting subsidies to mothers for the purchase of the first real estate so that shorter deadlines for decision making per requests and for the transfer of approved funds to the escrow account as well as the need to consider the option of the exercise of rights on the basis of this regulation to those citizens who failed to exercise this right due to misunderstanding of the prescribed procedure would </w:t>
      </w:r>
      <w:r w:rsidRPr="00D06E2E">
        <w:rPr>
          <w:lang w:val="sr-Latn-RS"/>
        </w:rPr>
        <w:lastRenderedPageBreak/>
        <w:t>be prescribed. By passing of the new Regulation it was entirely acted</w:t>
      </w:r>
      <w:r w:rsidR="00B61AA4" w:rsidRPr="00D06E2E">
        <w:rPr>
          <w:rStyle w:val="FootnoteReference"/>
          <w:lang w:val="sr-Latn-RS"/>
        </w:rPr>
        <w:footnoteReference w:id="76"/>
      </w:r>
      <w:r w:rsidR="00B61AA4" w:rsidRPr="00D06E2E">
        <w:rPr>
          <w:lang w:val="sr-Latn-RS"/>
        </w:rPr>
        <w:t xml:space="preserve"> </w:t>
      </w:r>
      <w:r w:rsidRPr="00D06E2E">
        <w:rPr>
          <w:lang w:val="sr-Latn-RS"/>
        </w:rPr>
        <w:t>in compliance with the mentioned Opinion</w:t>
      </w:r>
      <w:r w:rsidR="00B61AA4" w:rsidRPr="00D06E2E">
        <w:rPr>
          <w:lang w:val="sr-Latn-RS"/>
        </w:rPr>
        <w:t xml:space="preserve">. </w:t>
      </w:r>
    </w:p>
    <w:p w14:paraId="7D1EBD85" w14:textId="3919B01B" w:rsidR="00333C3B" w:rsidRPr="00D06E2E" w:rsidRDefault="00333C3B" w:rsidP="00B61AA4">
      <w:pPr>
        <w:rPr>
          <w:lang w:val="sr-Latn-RS"/>
        </w:rPr>
      </w:pPr>
      <w:r w:rsidRPr="00D06E2E">
        <w:rPr>
          <w:lang w:val="sr-Latn-RS"/>
        </w:rPr>
        <w:t xml:space="preserve">Acting upon its own initiative, the Protector of Citizens conducted investigations in cases of femicide and domestic and partner </w:t>
      </w:r>
      <w:r w:rsidR="000E7434" w:rsidRPr="00D06E2E">
        <w:rPr>
          <w:lang w:val="sr-Latn-RS"/>
        </w:rPr>
        <w:t xml:space="preserve">relationship </w:t>
      </w:r>
      <w:r w:rsidRPr="00D06E2E">
        <w:rPr>
          <w:lang w:val="sr-Latn-RS"/>
        </w:rPr>
        <w:t>violence. With the aim of the improvement of operation of the authority in the system of protection against domestic violence, prevention of violence and more efficient victim protection, the Protector of Citizens issued to competent authorities the Report on the case with recommendations</w:t>
      </w:r>
      <w:r w:rsidR="00B61AA4" w:rsidRPr="00D06E2E">
        <w:rPr>
          <w:rStyle w:val="FootnoteReference"/>
          <w:lang w:val="sr-Latn-RS"/>
        </w:rPr>
        <w:footnoteReference w:id="77"/>
      </w:r>
      <w:r w:rsidR="00B61AA4" w:rsidRPr="00D06E2E">
        <w:rPr>
          <w:lang w:val="sr-Latn-RS"/>
        </w:rPr>
        <w:t xml:space="preserve"> </w:t>
      </w:r>
      <w:r w:rsidRPr="00D06E2E">
        <w:rPr>
          <w:lang w:val="sr-Latn-RS"/>
        </w:rPr>
        <w:t>for the purpose of the improvement of functioning and work of the group for coordination and cooperation as well as better mutual coordination of competent authorities included in the system of victim protection. It was indicated also in recommendations to the need for amendment to the Law on Prevention of Domestic Violence so that the Law could also refer to minor domestic violence offenders as well as with regards to recognition of children as victims of violence and training of acting officers about that. The Protector of Citizens indicated also to the necessity of passing of new General and special protocols for the protection of women against domestic and partner relation</w:t>
      </w:r>
      <w:r w:rsidR="000E7434" w:rsidRPr="00D06E2E">
        <w:rPr>
          <w:lang w:val="sr-Latn-RS"/>
        </w:rPr>
        <w:t>ship</w:t>
      </w:r>
      <w:r w:rsidRPr="00D06E2E">
        <w:rPr>
          <w:lang w:val="sr-Latn-RS"/>
        </w:rPr>
        <w:t xml:space="preserve"> violence which will be harmonized with amended Law on Prevention of Domestic Violence.</w:t>
      </w:r>
    </w:p>
    <w:p w14:paraId="16694CAF" w14:textId="4A0B4194" w:rsidR="00B61AA4" w:rsidRPr="00D06E2E" w:rsidRDefault="00B32A16" w:rsidP="00B61AA4">
      <w:pPr>
        <w:rPr>
          <w:lang w:val="sr-Latn-RS"/>
        </w:rPr>
      </w:pPr>
      <w:r w:rsidRPr="00D06E2E">
        <w:rPr>
          <w:lang w:val="sr-Latn-RS"/>
        </w:rPr>
        <w:t>The Protection of Citizens conducted the investigation related to complaints indicating to the problem of inhumane treatment of women in Serbian maternity hospitals and treatment of pregnant women during induced abortions. Even though the omissions in work of “Narodni front” clinic for gynaecology and obstetrics were not confirmed, the Protector of Citizens believes that cases of negative experiences during labor or procedure of induced abortion at maternity hospitals which citizens presented via media or social networks, contrary to an inconsiderable number of complaints of patients submitted to GOC “Narodni front” in the period for which the Protector of Citizens asked the data (years 2021 and 2022), which refer to the problem of obstetric violence, undoubtedly sho possible existence of the problem in the area of health care protection of women as well as insufficient information of patients on their rights and mechanisms of protection they have at their disposal. With regards to that and with the aim of the improvement of the rights of patients, the Protector of Citizens issued an Opinion</w:t>
      </w:r>
      <w:r w:rsidR="00B61AA4" w:rsidRPr="00D06E2E">
        <w:rPr>
          <w:rStyle w:val="FootnoteReference"/>
          <w:rFonts w:cs="Calibri"/>
          <w:lang w:val="sr-Latn-RS"/>
        </w:rPr>
        <w:footnoteReference w:id="78"/>
      </w:r>
      <w:r w:rsidR="00B61AA4" w:rsidRPr="00D06E2E">
        <w:rPr>
          <w:rFonts w:cs="Calibri"/>
          <w:lang w:val="sr-Latn-RS"/>
        </w:rPr>
        <w:t xml:space="preserve"> </w:t>
      </w:r>
      <w:r w:rsidRPr="00D06E2E">
        <w:rPr>
          <w:rFonts w:cs="Calibri"/>
          <w:lang w:val="sr-Latn-RS"/>
        </w:rPr>
        <w:t>to the Ministry of Health, Serbian Medical Chamber and Serbian Chamber of Nurses and Medical Technicians</w:t>
      </w:r>
      <w:r w:rsidR="00B61AA4" w:rsidRPr="00D06E2E">
        <w:rPr>
          <w:rStyle w:val="FootnoteReference"/>
          <w:rFonts w:eastAsia="Times New Roman" w:cs="Calibri"/>
          <w:lang w:val="sr-Latn-RS"/>
        </w:rPr>
        <w:footnoteReference w:id="79"/>
      </w:r>
      <w:r w:rsidR="00B61AA4" w:rsidRPr="00D06E2E">
        <w:rPr>
          <w:rFonts w:cs="Calibri"/>
          <w:lang w:val="sr-Latn-RS"/>
        </w:rPr>
        <w:t>.</w:t>
      </w:r>
    </w:p>
    <w:p w14:paraId="60AF9EED" w14:textId="4E6D070E" w:rsidR="00B61AA4" w:rsidRPr="00D06E2E" w:rsidRDefault="00FC09F4" w:rsidP="00B61AA4">
      <w:pPr>
        <w:rPr>
          <w:lang w:val="sr-Latn-RS"/>
        </w:rPr>
      </w:pPr>
      <w:r w:rsidRPr="00D06E2E">
        <w:rPr>
          <w:lang w:val="sr-Latn-RS"/>
        </w:rPr>
        <w:lastRenderedPageBreak/>
        <w:t>Acting upon own initiative, on the basis of media publications that a nurse from “Narodni front”Clinic for gynaecology and obstetrics recorded live labor on social media, the Protector of Citizens initiated investigation procedure of oversight of legality and regularity of operation of this health care institution and department for health care inspection of the Ministry of Health. After initiation of the inspection</w:t>
      </w:r>
      <w:r w:rsidR="00347873" w:rsidRPr="00D06E2E">
        <w:rPr>
          <w:lang w:val="sr-Latn-RS"/>
        </w:rPr>
        <w:t xml:space="preserve"> procedure, interim director of “Narodni front” Clinic for gynaecology and obstetrics passed the decision on the removal of the nurse from work and she also received the warning before termination of the labor contract. The Ministry of Health conducted extraordinary inspection monitoring after which a request was filed to the Misdemeanor Court in Belgrade for the initiation of misdemeanor proceedings against the employed nurse because of the violation of the right to privacy and confidentiality pursuant to the Law on Patient Rights</w:t>
      </w:r>
      <w:r w:rsidR="00B61AA4" w:rsidRPr="00D06E2E">
        <w:rPr>
          <w:rStyle w:val="FootnoteReference"/>
          <w:lang w:val="sr-Latn-RS"/>
        </w:rPr>
        <w:footnoteReference w:id="80"/>
      </w:r>
      <w:r w:rsidR="00B61AA4" w:rsidRPr="00D06E2E">
        <w:rPr>
          <w:lang w:val="sr-Latn-RS"/>
        </w:rPr>
        <w:t>.</w:t>
      </w:r>
    </w:p>
    <w:p w14:paraId="00EC5159" w14:textId="3E201747" w:rsidR="00347873" w:rsidRPr="00D06E2E" w:rsidRDefault="00347873" w:rsidP="00FE6EFD">
      <w:pPr>
        <w:rPr>
          <w:lang w:val="sr-Latn-RS"/>
        </w:rPr>
      </w:pPr>
      <w:r w:rsidRPr="00D06E2E">
        <w:rPr>
          <w:lang w:val="sr-Latn-RS"/>
        </w:rPr>
        <w:t>The Protector of Citizens executed a Special report on the presence of services of social and health care protection for elderly women living in rural areas: availability and content of services of assistance in household and home treatment with recommendations</w:t>
      </w:r>
      <w:r w:rsidR="00FE6EFD" w:rsidRPr="00D06E2E">
        <w:rPr>
          <w:rStyle w:val="FootnoteReference"/>
          <w:lang w:val="sr-Latn-RS"/>
        </w:rPr>
        <w:footnoteReference w:id="81"/>
      </w:r>
      <w:r w:rsidR="00FE6EFD" w:rsidRPr="00D06E2E">
        <w:rPr>
          <w:lang w:val="sr-Latn-RS"/>
        </w:rPr>
        <w:t xml:space="preserve">, </w:t>
      </w:r>
      <w:r w:rsidRPr="00D06E2E">
        <w:rPr>
          <w:lang w:val="sr-Latn-RS"/>
        </w:rPr>
        <w:t>which contains results of the research on the exercise of social and economic rights of elderly women (age 65 and more) in rural areas, conducted in the first half o</w:t>
      </w:r>
      <w:r w:rsidR="00DD3D20" w:rsidRPr="00D06E2E">
        <w:rPr>
          <w:lang w:val="sr-Latn-RS"/>
        </w:rPr>
        <w:t>f 2023 and on this occasion the data on the distribution and quality of the provison of services of assistance in household and home treatment of elderly women in rural areas as well as on other issues of importance for the exercise of social and economic rights were collected. The report was presented in Belgrade to public authorities at the republic, provincial and local level whereas the report was presented to civil society organizations at four regional round tables in Belgrade, Novi Sad, Niš and Kragujevac.</w:t>
      </w:r>
    </w:p>
    <w:p w14:paraId="4C70E3A2" w14:textId="3CEFE9D2" w:rsidR="00B61AA4" w:rsidRPr="00D06E2E" w:rsidRDefault="00DD3D20" w:rsidP="00DD3D20">
      <w:pPr>
        <w:rPr>
          <w:lang w:val="sr-Latn-RS"/>
        </w:rPr>
      </w:pPr>
      <w:r w:rsidRPr="00D06E2E">
        <w:rPr>
          <w:lang w:val="sr-Latn-RS"/>
        </w:rPr>
        <w:t>In collaboration with OSCE Mission in the Republic of Serbia, the Protector of Citizens organized round table “Fight against sexual harassment in academic community”, with the aim of initiating the dialog and formulating recommendations which would contribute to more efficient mechanisms by representatives of public institutions, academic community, civil society and international organizations for finding sustainable solutions to prevent violence in any form. It was preceded by issuing of the Opinion</w:t>
      </w:r>
      <w:r w:rsidR="00B61AA4" w:rsidRPr="00D06E2E">
        <w:rPr>
          <w:rStyle w:val="FootnoteReference"/>
          <w:lang w:val="sr-Latn-RS"/>
        </w:rPr>
        <w:footnoteReference w:id="82"/>
      </w:r>
      <w:r w:rsidR="00B61AA4" w:rsidRPr="00D06E2E">
        <w:rPr>
          <w:lang w:val="sr-Latn-RS"/>
        </w:rPr>
        <w:t xml:space="preserve"> </w:t>
      </w:r>
      <w:r w:rsidRPr="00D06E2E">
        <w:rPr>
          <w:lang w:val="sr-Latn-RS"/>
        </w:rPr>
        <w:t xml:space="preserve">and recommendations of the Protector of Citizens. </w:t>
      </w:r>
    </w:p>
    <w:p w14:paraId="50F2859F" w14:textId="436DDB02" w:rsidR="00A6357D" w:rsidRPr="00D06E2E" w:rsidRDefault="00A6357D" w:rsidP="0060478B">
      <w:pPr>
        <w:spacing w:after="0"/>
        <w:rPr>
          <w:b/>
          <w:bCs/>
          <w:lang w:val="sr-Latn-RS"/>
        </w:rPr>
      </w:pPr>
    </w:p>
    <w:p w14:paraId="482B675B" w14:textId="22D4C61B" w:rsidR="0060478B" w:rsidRPr="00D06E2E" w:rsidRDefault="00C82594" w:rsidP="0060478B">
      <w:pPr>
        <w:rPr>
          <w:lang w:val="sr-Latn-RS"/>
        </w:rPr>
      </w:pPr>
      <w:r w:rsidRPr="00D06E2E">
        <w:rPr>
          <w:b/>
          <w:lang w:val="sr-Latn-RS"/>
        </w:rPr>
        <w:t>Rights of LGBTI persons</w:t>
      </w:r>
      <w:r w:rsidR="0060478B" w:rsidRPr="00D06E2E">
        <w:rPr>
          <w:b/>
          <w:lang w:val="sr-Latn-RS"/>
        </w:rPr>
        <w:t xml:space="preserve"> </w:t>
      </w:r>
    </w:p>
    <w:p w14:paraId="49A96208" w14:textId="3C61F45A" w:rsidR="00452911" w:rsidRPr="00D06E2E" w:rsidRDefault="00653674" w:rsidP="004061FE">
      <w:pPr>
        <w:rPr>
          <w:lang w:val="sr-Latn-RS"/>
        </w:rPr>
      </w:pPr>
      <w:r w:rsidRPr="00D06E2E">
        <w:rPr>
          <w:lang w:val="sr-Latn-RS"/>
        </w:rPr>
        <w:lastRenderedPageBreak/>
        <w:t xml:space="preserve">After conducted </w:t>
      </w:r>
      <w:r w:rsidR="00347873" w:rsidRPr="00D06E2E">
        <w:rPr>
          <w:lang w:val="sr-Latn-RS"/>
        </w:rPr>
        <w:t>inspection</w:t>
      </w:r>
      <w:r w:rsidRPr="00D06E2E">
        <w:rPr>
          <w:lang w:val="sr-Latn-RS"/>
        </w:rPr>
        <w:t xml:space="preserve"> procedure initiated after learning that a detained convict, who is an LGBTI person, even though an HIV positive person does not received the regular prescribed antiretroviral therapy even though the use of this therapy should not be interrupted, the Protector of Citizens issued the Report on the case with recommendations to the Penal correctional institute in Niš in future work with all persons serving prison sentence, detention measures or safety measures, who are infected with HIV virus, to timely provide medicines required as therapy for such disease as well as with the same aim to act in compliance with the procedure established by the Administration for the enforcement of penal sanctions</w:t>
      </w:r>
      <w:r w:rsidR="004061FE" w:rsidRPr="00D06E2E">
        <w:rPr>
          <w:vertAlign w:val="superscript"/>
          <w:lang w:val="sr-Latn-RS"/>
        </w:rPr>
        <w:footnoteReference w:id="83"/>
      </w:r>
      <w:r w:rsidR="004061FE" w:rsidRPr="00D06E2E">
        <w:rPr>
          <w:lang w:val="sr-Latn-RS"/>
        </w:rPr>
        <w:t xml:space="preserve">. </w:t>
      </w:r>
      <w:r w:rsidRPr="00D06E2E">
        <w:rPr>
          <w:lang w:val="sr-Latn-RS"/>
        </w:rPr>
        <w:t>The Penal correctional institute in Niš and Administration for the enforcement of penal sanctions entirely acted upon recommendations of the Protector of Citizens and this independent public authority was informed about the new procedure of the Special prison hospital with provision of therapy for persons deprived of liberty infected with HIV</w:t>
      </w:r>
      <w:r w:rsidR="004061FE" w:rsidRPr="00D06E2E">
        <w:rPr>
          <w:lang w:val="sr-Latn-RS"/>
        </w:rPr>
        <w:t>.</w:t>
      </w:r>
    </w:p>
    <w:p w14:paraId="676616C8" w14:textId="1B4DD592" w:rsidR="003173A2" w:rsidRPr="00D06E2E" w:rsidRDefault="00452911" w:rsidP="003173A2">
      <w:pPr>
        <w:rPr>
          <w:lang w:val="sr-Latn-RS"/>
        </w:rPr>
      </w:pPr>
      <w:r w:rsidRPr="00D06E2E">
        <w:rPr>
          <w:lang w:val="sr-Latn-RS"/>
        </w:rPr>
        <w:t>According to the findings of the investigation of the Protector of Citizens on peer violence in schools, the stigmatization of LGBTI persons is present during the period of schooling which is the basis for potential later display of the act of violence aimed at LGBTI persons. Almost every child in Serbia (87 percent) heared at school that among students for LGBTI persons derogative or offensive qualifications are used. Of the total sample of students, almost a half (44.8 percent) is frequently exposed to such terms. Even 41.5 percent of students heared also from their teachers offensive words referring to LGBTI persons and 7,3 percent of them think that it happens frequently. At the same time, about 10 percent of teachers heard their colleagues using offensive words when LGBTI persons are mentioned</w:t>
      </w:r>
      <w:r w:rsidR="008C4165" w:rsidRPr="00D06E2E">
        <w:rPr>
          <w:rStyle w:val="FootnoteReference"/>
          <w:lang w:val="sr-Latn-RS"/>
        </w:rPr>
        <w:footnoteReference w:id="84"/>
      </w:r>
      <w:r w:rsidR="003173A2" w:rsidRPr="00D06E2E">
        <w:rPr>
          <w:lang w:val="sr-Latn-RS"/>
        </w:rPr>
        <w:t xml:space="preserve">.  </w:t>
      </w:r>
    </w:p>
    <w:p w14:paraId="320ECB4E" w14:textId="27802A42" w:rsidR="00452911" w:rsidRPr="00D06E2E" w:rsidRDefault="00452911" w:rsidP="003173A2">
      <w:pPr>
        <w:rPr>
          <w:lang w:val="sr-Latn-RS"/>
        </w:rPr>
      </w:pPr>
      <w:r w:rsidRPr="00D06E2E">
        <w:rPr>
          <w:lang w:val="sr-Latn-RS"/>
        </w:rPr>
        <w:t>With the support of the Embassy of Canada in Serbia, the Protector of Citizens and Duga (Rainbow) Association realized in the period from December 2022 to March 2023 the project with the aim of providing LGBTI persons and other vulnerable social groups with benefits from comprensive and inclusive local strategic framework</w:t>
      </w:r>
      <w:r w:rsidR="003173A2" w:rsidRPr="00D06E2E">
        <w:rPr>
          <w:rStyle w:val="FootnoteReference"/>
          <w:lang w:val="sr-Latn-RS"/>
        </w:rPr>
        <w:footnoteReference w:id="85"/>
      </w:r>
      <w:r w:rsidR="003173A2" w:rsidRPr="00D06E2E">
        <w:rPr>
          <w:lang w:val="sr-Latn-RS"/>
        </w:rPr>
        <w:t xml:space="preserve">, </w:t>
      </w:r>
      <w:r w:rsidRPr="00D06E2E">
        <w:rPr>
          <w:lang w:val="sr-Latn-RS"/>
        </w:rPr>
        <w:t>in compliance with recommendations of national and international bodies for human rights. Within project trainings were conducted</w:t>
      </w:r>
      <w:r w:rsidR="003173A2" w:rsidRPr="00D06E2E">
        <w:rPr>
          <w:rStyle w:val="FootnoteReference"/>
          <w:lang w:val="sr-Latn-RS"/>
        </w:rPr>
        <w:footnoteReference w:id="86"/>
      </w:r>
      <w:r w:rsidR="003173A2" w:rsidRPr="00D06E2E">
        <w:rPr>
          <w:lang w:val="sr-Latn-RS"/>
        </w:rPr>
        <w:t xml:space="preserve"> </w:t>
      </w:r>
      <w:r w:rsidRPr="00D06E2E">
        <w:rPr>
          <w:lang w:val="sr-Latn-RS"/>
        </w:rPr>
        <w:t xml:space="preserve">dedicated to preparation, budgeting and supervision of the implementation of local action plans, taking into account specific needs of LGBTI persons and other vulnerable social groups in which 63 persons took part, male and female representatives of 24 local self-government units. Moreover, mentor support was provided to local self-government units in the execution of local action plans in the area of gender equality, social welfare </w:t>
      </w:r>
      <w:r w:rsidR="00FC09F4" w:rsidRPr="00D06E2E">
        <w:rPr>
          <w:lang w:val="sr-Latn-RS"/>
        </w:rPr>
        <w:t xml:space="preserve">or youth, so that they would be comprehensive, realistic and stipulate measurable </w:t>
      </w:r>
      <w:r w:rsidR="00FC09F4" w:rsidRPr="00D06E2E">
        <w:rPr>
          <w:lang w:val="sr-Latn-RS"/>
        </w:rPr>
        <w:lastRenderedPageBreak/>
        <w:t>activities, whose implementation would improve the position of LGBTI persons and other vulnerable social groups.</w:t>
      </w:r>
    </w:p>
    <w:p w14:paraId="6E04DE3B" w14:textId="65CD31EC" w:rsidR="003173A2" w:rsidRPr="00D06E2E" w:rsidRDefault="0018736F" w:rsidP="003173A2">
      <w:pPr>
        <w:spacing w:after="0"/>
        <w:rPr>
          <w:lang w:val="sr-Latn-RS"/>
        </w:rPr>
      </w:pPr>
      <w:r w:rsidRPr="00D06E2E">
        <w:rPr>
          <w:lang w:val="sr-Latn-RS"/>
        </w:rPr>
        <w:t>The delegation of the European Commission against rasism and intolerance of the Council of Europe (ECRI) paid the official visit to the Republic of Serbia within the sixth cycle of moniroring cycle. On this occasion, the protector of Citizens, Zoran P</w:t>
      </w:r>
      <w:r w:rsidR="00B0419E" w:rsidRPr="00D06E2E">
        <w:rPr>
          <w:lang w:val="sr-Latn-RS"/>
        </w:rPr>
        <w:t>ašalić and deputy protector of citizens for child rights and gender equality met the ECRI representatives and talked to them on inclusive education, hate speech and violence-motivated hate.</w:t>
      </w:r>
      <w:r w:rsidR="003173A2" w:rsidRPr="00D06E2E">
        <w:rPr>
          <w:lang w:val="sr-Latn-RS"/>
        </w:rPr>
        <w:t xml:space="preserve"> </w:t>
      </w:r>
    </w:p>
    <w:p w14:paraId="3E10CDEF" w14:textId="77777777" w:rsidR="0060478B" w:rsidRPr="00D06E2E" w:rsidRDefault="0060478B" w:rsidP="0060478B">
      <w:pPr>
        <w:keepNext/>
        <w:keepLines/>
        <w:spacing w:after="0"/>
        <w:jc w:val="center"/>
        <w:outlineLvl w:val="2"/>
        <w:rPr>
          <w:bCs/>
          <w:sz w:val="24"/>
          <w:szCs w:val="24"/>
          <w:lang w:val="sr-Latn-RS"/>
        </w:rPr>
      </w:pPr>
    </w:p>
    <w:p w14:paraId="25B91820" w14:textId="6B11F6AC" w:rsidR="00C82594" w:rsidRPr="00D06E2E" w:rsidRDefault="00C82594" w:rsidP="00C82594">
      <w:pPr>
        <w:spacing w:after="0"/>
        <w:jc w:val="center"/>
        <w:rPr>
          <w:lang w:val="sr-Latn-RS"/>
        </w:rPr>
      </w:pPr>
      <w:r w:rsidRPr="00D06E2E">
        <w:rPr>
          <w:bCs/>
          <w:sz w:val="24"/>
          <w:szCs w:val="24"/>
          <w:lang w:val="sr-Latn-RS"/>
        </w:rPr>
        <w:t>PROPOSALS OF THE PROMOTION OF GENDER EQUALITY AND IMPROVEMENT OF THE STATUS OF LGBTI PERSONS IN RELATION TO ADMINISTRATIVE AUTHORITIES</w:t>
      </w:r>
      <w:r w:rsidR="0060478B" w:rsidRPr="00D06E2E">
        <w:rPr>
          <w:bCs/>
          <w:sz w:val="24"/>
          <w:szCs w:val="24"/>
          <w:lang w:val="sr-Latn-RS"/>
        </w:rPr>
        <w:t xml:space="preserve"> </w:t>
      </w:r>
    </w:p>
    <w:p w14:paraId="3B005C30" w14:textId="518D7393" w:rsidR="0060478B" w:rsidRPr="00D06E2E" w:rsidRDefault="0060478B" w:rsidP="0060478B">
      <w:pPr>
        <w:jc w:val="center"/>
        <w:rPr>
          <w:lang w:val="sr-Latn-RS"/>
        </w:rPr>
      </w:pPr>
    </w:p>
    <w:p w14:paraId="17DD7EB2" w14:textId="74B14098" w:rsidR="0060478B" w:rsidRPr="00D06E2E" w:rsidRDefault="000E7434" w:rsidP="0060478B">
      <w:pPr>
        <w:rPr>
          <w:rFonts w:cstheme="minorBidi"/>
          <w:i/>
          <w:lang w:val="sr-Latn-RS"/>
        </w:rPr>
      </w:pPr>
      <w:r w:rsidRPr="00D06E2E">
        <w:rPr>
          <w:rFonts w:cstheme="minorBidi"/>
          <w:i/>
          <w:lang w:val="sr-Latn-RS"/>
        </w:rPr>
        <w:t>Even though pursuant to Article 19 Paragraph 2 of the Law on the Protector of Citizens, the Protector of Citizens is not authorized to oversee the work of the National Assembly and the Government, the Protector of Citizens thinks it would be useful for the stated authorities to review its proposals.</w:t>
      </w:r>
      <w:r w:rsidR="0060478B" w:rsidRPr="00D06E2E">
        <w:rPr>
          <w:rFonts w:cstheme="minorBidi"/>
          <w:i/>
          <w:lang w:val="sr-Latn-RS"/>
        </w:rPr>
        <w:t xml:space="preserve"> </w:t>
      </w:r>
    </w:p>
    <w:p w14:paraId="6016D95F" w14:textId="0ACF2DE9" w:rsidR="00CA3F93" w:rsidRPr="00D06E2E" w:rsidRDefault="000E7434" w:rsidP="000E7434">
      <w:pPr>
        <w:pStyle w:val="CommentText"/>
        <w:numPr>
          <w:ilvl w:val="0"/>
          <w:numId w:val="11"/>
        </w:numPr>
        <w:spacing w:after="120" w:line="240" w:lineRule="auto"/>
        <w:ind w:left="426" w:hanging="426"/>
        <w:jc w:val="both"/>
        <w:rPr>
          <w:rFonts w:ascii="Book Antiqua" w:hAnsi="Book Antiqua"/>
          <w:spacing w:val="3"/>
          <w:sz w:val="22"/>
          <w:szCs w:val="22"/>
          <w:lang w:val="sr-Latn-RS"/>
        </w:rPr>
      </w:pPr>
      <w:r w:rsidRPr="00D06E2E">
        <w:rPr>
          <w:rFonts w:ascii="Book Antiqua" w:hAnsi="Book Antiqua"/>
          <w:b/>
          <w:sz w:val="22"/>
          <w:szCs w:val="22"/>
          <w:lang w:val="sr-Latn-RS"/>
        </w:rPr>
        <w:t xml:space="preserve">The Government </w:t>
      </w:r>
      <w:r w:rsidRPr="00D06E2E">
        <w:rPr>
          <w:rFonts w:ascii="Book Antiqua" w:hAnsi="Book Antiqua"/>
          <w:spacing w:val="3"/>
          <w:sz w:val="22"/>
          <w:szCs w:val="22"/>
          <w:lang w:val="sr-Latn-RS"/>
        </w:rPr>
        <w:t>should take activities for the purpose of the adoption of the Action plan for the implementation of National Strategy for prevention and suppression of domestic and partner relationship violence</w:t>
      </w:r>
      <w:r w:rsidR="00CA3F93" w:rsidRPr="00D06E2E">
        <w:rPr>
          <w:rStyle w:val="FootnoteReference"/>
          <w:sz w:val="22"/>
          <w:szCs w:val="22"/>
          <w:lang w:val="sr-Latn-RS"/>
        </w:rPr>
        <w:footnoteReference w:id="87"/>
      </w:r>
      <w:r w:rsidR="00CA3F93" w:rsidRPr="00D06E2E">
        <w:rPr>
          <w:rFonts w:ascii="Book Antiqua" w:hAnsi="Book Antiqua"/>
          <w:sz w:val="22"/>
          <w:szCs w:val="22"/>
          <w:lang w:val="sr-Latn-RS"/>
        </w:rPr>
        <w:t xml:space="preserve">; </w:t>
      </w:r>
    </w:p>
    <w:p w14:paraId="679E0413" w14:textId="6DEB4338" w:rsidR="00CA3F93" w:rsidRPr="00D06E2E" w:rsidRDefault="000E7434" w:rsidP="000E7434">
      <w:pPr>
        <w:pStyle w:val="CommentText"/>
        <w:numPr>
          <w:ilvl w:val="0"/>
          <w:numId w:val="11"/>
        </w:numPr>
        <w:spacing w:after="120" w:line="240" w:lineRule="auto"/>
        <w:ind w:left="426" w:hanging="426"/>
        <w:jc w:val="both"/>
        <w:rPr>
          <w:rFonts w:ascii="Book Antiqua" w:hAnsi="Book Antiqua"/>
          <w:spacing w:val="3"/>
          <w:sz w:val="22"/>
          <w:szCs w:val="22"/>
          <w:lang w:val="sr-Latn-RS"/>
        </w:rPr>
      </w:pPr>
      <w:r w:rsidRPr="00D06E2E">
        <w:rPr>
          <w:rFonts w:ascii="Book Antiqua" w:hAnsi="Book Antiqua"/>
          <w:b/>
          <w:sz w:val="22"/>
          <w:szCs w:val="22"/>
          <w:lang w:val="sr-Latn-RS"/>
        </w:rPr>
        <w:t xml:space="preserve">The Government </w:t>
      </w:r>
      <w:r w:rsidRPr="00D06E2E">
        <w:rPr>
          <w:rFonts w:ascii="Book Antiqua" w:hAnsi="Book Antiqua"/>
          <w:spacing w:val="3"/>
          <w:sz w:val="22"/>
          <w:szCs w:val="22"/>
          <w:lang w:val="sr-Latn-RS"/>
        </w:rPr>
        <w:t>should take activities for the purpose of amendments to the Criminal Code with the aim of harmonization with Istanbul Convention;</w:t>
      </w:r>
    </w:p>
    <w:p w14:paraId="340F42B1" w14:textId="739C244B" w:rsidR="00CA3F93" w:rsidRPr="00D06E2E" w:rsidRDefault="000E7434" w:rsidP="000E7434">
      <w:pPr>
        <w:pStyle w:val="CommentText"/>
        <w:numPr>
          <w:ilvl w:val="0"/>
          <w:numId w:val="11"/>
        </w:numPr>
        <w:spacing w:after="120" w:line="240" w:lineRule="auto"/>
        <w:ind w:left="426" w:hanging="426"/>
        <w:jc w:val="both"/>
        <w:rPr>
          <w:rFonts w:ascii="Book Antiqua" w:hAnsi="Book Antiqua"/>
          <w:spacing w:val="3"/>
          <w:sz w:val="22"/>
          <w:szCs w:val="22"/>
          <w:lang w:val="sr-Latn-RS"/>
        </w:rPr>
      </w:pPr>
      <w:r w:rsidRPr="00D06E2E">
        <w:rPr>
          <w:rFonts w:ascii="Book Antiqua" w:hAnsi="Book Antiqua"/>
          <w:b/>
          <w:sz w:val="22"/>
          <w:szCs w:val="22"/>
          <w:lang w:val="sr-Latn-RS"/>
        </w:rPr>
        <w:t xml:space="preserve">The Government </w:t>
      </w:r>
      <w:r w:rsidRPr="00D06E2E">
        <w:rPr>
          <w:rFonts w:ascii="Book Antiqua" w:hAnsi="Book Antiqua"/>
          <w:spacing w:val="3"/>
          <w:sz w:val="22"/>
          <w:szCs w:val="22"/>
          <w:lang w:val="sr-Latn-RS"/>
        </w:rPr>
        <w:t>should take activities for the purpose of amendments to the Criminal Code in which in all criminal acts, whose goal is punishment and prevention of racism and intolerance, incriminate the action of execution of these criminal acts also on the basis of sexual orientation and gender identity</w:t>
      </w:r>
      <w:r w:rsidR="00CA3F93" w:rsidRPr="00D06E2E">
        <w:rPr>
          <w:rFonts w:ascii="Book Antiqua" w:hAnsi="Book Antiqua"/>
          <w:sz w:val="22"/>
          <w:szCs w:val="22"/>
          <w:lang w:val="sr-Latn-RS"/>
        </w:rPr>
        <w:t xml:space="preserve">; </w:t>
      </w:r>
    </w:p>
    <w:p w14:paraId="487E4875" w14:textId="5AEF0347" w:rsidR="00CA3F93" w:rsidRPr="00D06E2E" w:rsidRDefault="000E7434" w:rsidP="000E7434">
      <w:pPr>
        <w:pStyle w:val="CommentText"/>
        <w:numPr>
          <w:ilvl w:val="0"/>
          <w:numId w:val="11"/>
        </w:numPr>
        <w:spacing w:after="120" w:line="240" w:lineRule="auto"/>
        <w:ind w:left="426" w:hanging="426"/>
        <w:jc w:val="both"/>
        <w:rPr>
          <w:rFonts w:ascii="Book Antiqua" w:hAnsi="Book Antiqua"/>
          <w:spacing w:val="3"/>
          <w:sz w:val="22"/>
          <w:szCs w:val="22"/>
          <w:lang w:val="sr-Latn-RS"/>
        </w:rPr>
      </w:pPr>
      <w:r w:rsidRPr="00D06E2E">
        <w:rPr>
          <w:rFonts w:ascii="Book Antiqua" w:hAnsi="Book Antiqua"/>
          <w:b/>
          <w:sz w:val="22"/>
          <w:szCs w:val="22"/>
          <w:lang w:val="sr-Latn-RS"/>
        </w:rPr>
        <w:t xml:space="preserve">The Government </w:t>
      </w:r>
      <w:r w:rsidRPr="00D06E2E">
        <w:rPr>
          <w:rFonts w:ascii="Book Antiqua" w:hAnsi="Book Antiqua"/>
          <w:spacing w:val="3"/>
          <w:sz w:val="22"/>
          <w:szCs w:val="22"/>
          <w:lang w:val="sr-Latn-RS"/>
        </w:rPr>
        <w:t>should take activities for the purpose of amendments to the Family Law</w:t>
      </w:r>
      <w:r w:rsidR="00CA3F93" w:rsidRPr="00D06E2E">
        <w:rPr>
          <w:rStyle w:val="FootnoteReference"/>
          <w:sz w:val="22"/>
          <w:szCs w:val="22"/>
          <w:lang w:val="sr-Latn-RS"/>
        </w:rPr>
        <w:footnoteReference w:id="88"/>
      </w:r>
      <w:r w:rsidR="00CA3F93" w:rsidRPr="00D06E2E">
        <w:rPr>
          <w:rFonts w:ascii="Book Antiqua" w:hAnsi="Book Antiqua"/>
          <w:sz w:val="22"/>
          <w:szCs w:val="22"/>
          <w:lang w:val="sr-Latn-RS"/>
        </w:rPr>
        <w:t xml:space="preserve"> </w:t>
      </w:r>
      <w:r w:rsidRPr="00D06E2E">
        <w:rPr>
          <w:rFonts w:ascii="Book Antiqua" w:hAnsi="Book Antiqua"/>
          <w:spacing w:val="3"/>
          <w:sz w:val="22"/>
          <w:szCs w:val="22"/>
          <w:lang w:val="sr-Latn-RS"/>
        </w:rPr>
        <w:t>including the change of the definition of domestic violence, prescription of new measures of protection of victims of domestic violence, such as issuing of orders for the inclusion in the psychosocial treatment or specialized program of domestic violence offender and issuing of order for treatment of alcoholism and substance addiction;</w:t>
      </w:r>
    </w:p>
    <w:p w14:paraId="10209B11" w14:textId="23393D5F" w:rsidR="00ED206B" w:rsidRPr="00D06E2E" w:rsidRDefault="000E7434" w:rsidP="00ED206B">
      <w:pPr>
        <w:pStyle w:val="CommentText"/>
        <w:numPr>
          <w:ilvl w:val="0"/>
          <w:numId w:val="11"/>
        </w:numPr>
        <w:spacing w:after="120" w:line="240" w:lineRule="auto"/>
        <w:ind w:left="426" w:hanging="426"/>
        <w:jc w:val="both"/>
        <w:rPr>
          <w:rFonts w:ascii="Book Antiqua" w:hAnsi="Book Antiqua"/>
          <w:spacing w:val="3"/>
          <w:sz w:val="22"/>
          <w:szCs w:val="22"/>
          <w:lang w:val="sr-Latn-RS"/>
        </w:rPr>
      </w:pPr>
      <w:r w:rsidRPr="00D06E2E">
        <w:rPr>
          <w:rFonts w:ascii="Book Antiqua" w:hAnsi="Book Antiqua"/>
          <w:b/>
          <w:sz w:val="22"/>
          <w:szCs w:val="22"/>
          <w:lang w:val="sr-Latn-RS"/>
        </w:rPr>
        <w:t xml:space="preserve">The Government </w:t>
      </w:r>
      <w:r w:rsidR="00ED206B" w:rsidRPr="00D06E2E">
        <w:rPr>
          <w:rFonts w:ascii="Book Antiqua" w:hAnsi="Book Antiqua"/>
          <w:spacing w:val="3"/>
          <w:sz w:val="22"/>
          <w:szCs w:val="22"/>
          <w:lang w:val="sr-Latn-RS"/>
        </w:rPr>
        <w:t>should take activities for the purpose of amendments to the Law on Prevention of Domestic Violence</w:t>
      </w:r>
      <w:r w:rsidR="00CA3F93" w:rsidRPr="00D06E2E">
        <w:rPr>
          <w:rStyle w:val="FootnoteReference"/>
          <w:sz w:val="22"/>
          <w:szCs w:val="22"/>
          <w:lang w:val="sr-Latn-RS"/>
        </w:rPr>
        <w:footnoteReference w:id="89"/>
      </w:r>
      <w:r w:rsidR="00CA3F93" w:rsidRPr="00D06E2E">
        <w:rPr>
          <w:rFonts w:ascii="Book Antiqua" w:hAnsi="Book Antiqua"/>
          <w:sz w:val="22"/>
          <w:szCs w:val="22"/>
          <w:lang w:val="sr-Latn-RS"/>
        </w:rPr>
        <w:t xml:space="preserve"> </w:t>
      </w:r>
      <w:r w:rsidR="00ED206B" w:rsidRPr="00D06E2E">
        <w:rPr>
          <w:rFonts w:ascii="Book Antiqua" w:hAnsi="Book Antiqua"/>
          <w:spacing w:val="3"/>
          <w:sz w:val="22"/>
          <w:szCs w:val="22"/>
          <w:lang w:val="sr-Latn-RS"/>
        </w:rPr>
        <w:t>so as to provide its application also to minor domestic violence offenders in comparison to the provisions which prescribe the obligation of performing risk assessment, review of such cases in groups for coordination and cooperation and execution of individual plans of protection and support to the victim;</w:t>
      </w:r>
    </w:p>
    <w:p w14:paraId="558848F1" w14:textId="5C4C6E53" w:rsidR="00CA3F93" w:rsidRPr="00D06E2E" w:rsidRDefault="000E7434" w:rsidP="00ED206B">
      <w:pPr>
        <w:pStyle w:val="CommentText"/>
        <w:numPr>
          <w:ilvl w:val="0"/>
          <w:numId w:val="11"/>
        </w:numPr>
        <w:spacing w:after="120" w:line="240" w:lineRule="auto"/>
        <w:ind w:left="426" w:hanging="426"/>
        <w:jc w:val="both"/>
        <w:rPr>
          <w:rFonts w:ascii="Book Antiqua" w:hAnsi="Book Antiqua"/>
          <w:spacing w:val="3"/>
          <w:sz w:val="22"/>
          <w:szCs w:val="22"/>
          <w:lang w:val="sr-Latn-RS"/>
        </w:rPr>
      </w:pPr>
      <w:r w:rsidRPr="00D06E2E">
        <w:rPr>
          <w:rFonts w:ascii="Book Antiqua" w:hAnsi="Book Antiqua"/>
          <w:b/>
          <w:sz w:val="22"/>
          <w:szCs w:val="22"/>
          <w:lang w:val="sr-Latn-RS"/>
        </w:rPr>
        <w:t>The Government</w:t>
      </w:r>
      <w:r w:rsidR="00CA3F93" w:rsidRPr="00D06E2E">
        <w:rPr>
          <w:rFonts w:ascii="Book Antiqua" w:hAnsi="Book Antiqua"/>
          <w:b/>
          <w:sz w:val="22"/>
          <w:szCs w:val="22"/>
          <w:lang w:val="sr-Latn-RS"/>
        </w:rPr>
        <w:t xml:space="preserve"> </w:t>
      </w:r>
      <w:r w:rsidR="00ED206B" w:rsidRPr="00D06E2E">
        <w:rPr>
          <w:rFonts w:ascii="Book Antiqua" w:hAnsi="Book Antiqua"/>
          <w:spacing w:val="3"/>
          <w:sz w:val="22"/>
          <w:szCs w:val="22"/>
          <w:lang w:val="sr-Latn-RS"/>
        </w:rPr>
        <w:t>should take activities for the purpose of the change of relevant laws which would prescribe special measures to convicts for criminal acts against sexual freedom and in cases when they were committed to adults after the completion of the sentence and termination of their staying at penal-correctional insitutions, with the aim of prevention of committing such acts again;</w:t>
      </w:r>
    </w:p>
    <w:p w14:paraId="4B883BA3" w14:textId="0B89D193" w:rsidR="00AD63BA" w:rsidRPr="00D06E2E" w:rsidRDefault="0018736F" w:rsidP="00AD63BA">
      <w:pPr>
        <w:numPr>
          <w:ilvl w:val="0"/>
          <w:numId w:val="11"/>
        </w:numPr>
        <w:tabs>
          <w:tab w:val="left" w:pos="426"/>
        </w:tabs>
        <w:ind w:left="426" w:hanging="426"/>
        <w:rPr>
          <w:lang w:val="sr-Latn-RS"/>
        </w:rPr>
      </w:pPr>
      <w:r w:rsidRPr="00D06E2E">
        <w:rPr>
          <w:b/>
          <w:bCs/>
          <w:lang w:val="sr-Latn-RS"/>
        </w:rPr>
        <w:t>Competent authorities</w:t>
      </w:r>
      <w:r w:rsidR="00AD63BA" w:rsidRPr="00D06E2E">
        <w:rPr>
          <w:b/>
          <w:bCs/>
          <w:lang w:val="sr-Latn-RS"/>
        </w:rPr>
        <w:t xml:space="preserve"> </w:t>
      </w:r>
      <w:r w:rsidRPr="00D06E2E">
        <w:rPr>
          <w:bCs/>
          <w:lang w:val="sr-Latn-RS"/>
        </w:rPr>
        <w:t xml:space="preserve">should provide measures of prevention of domestic violence and network of services for victims, including the available and quality free legal aid for all </w:t>
      </w:r>
      <w:r w:rsidRPr="00D06E2E">
        <w:rPr>
          <w:bCs/>
          <w:lang w:val="sr-Latn-RS"/>
        </w:rPr>
        <w:lastRenderedPageBreak/>
        <w:t>victims, accessibility fo services of health protection and improvement of service in the community, service of specialized support for female victims and child victims and witnesses of domestic violence, persons with physical</w:t>
      </w:r>
      <w:r w:rsidR="00AD63BA" w:rsidRPr="00D06E2E">
        <w:rPr>
          <w:lang w:val="sr-Latn-RS"/>
        </w:rPr>
        <w:t>,</w:t>
      </w:r>
      <w:r w:rsidRPr="00D06E2E">
        <w:rPr>
          <w:lang w:val="sr-Latn-RS"/>
        </w:rPr>
        <w:t xml:space="preserve"> sensory, mental and psychic disability and the elderly and their efficient implementation in practice;</w:t>
      </w:r>
      <w:r w:rsidR="00AD63BA" w:rsidRPr="00D06E2E">
        <w:rPr>
          <w:lang w:val="sr-Latn-RS"/>
        </w:rPr>
        <w:t xml:space="preserve"> </w:t>
      </w:r>
    </w:p>
    <w:p w14:paraId="68632E73" w14:textId="08A9BF32" w:rsidR="00CA3F93" w:rsidRPr="00D06E2E" w:rsidRDefault="00C17E6A" w:rsidP="00C17E6A">
      <w:pPr>
        <w:pStyle w:val="ListParagraph"/>
        <w:numPr>
          <w:ilvl w:val="0"/>
          <w:numId w:val="11"/>
        </w:numPr>
        <w:tabs>
          <w:tab w:val="left" w:pos="426"/>
        </w:tabs>
        <w:ind w:left="426" w:hanging="426"/>
        <w:rPr>
          <w:lang w:val="sr-Latn-RS"/>
        </w:rPr>
      </w:pPr>
      <w:r w:rsidRPr="00D06E2E">
        <w:rPr>
          <w:b/>
          <w:lang w:val="sr-Latn-RS"/>
        </w:rPr>
        <w:t>The Government</w:t>
      </w:r>
      <w:r w:rsidR="00CA3F93" w:rsidRPr="00D06E2E">
        <w:rPr>
          <w:b/>
          <w:lang w:val="sr-Latn-RS"/>
        </w:rPr>
        <w:t>,</w:t>
      </w:r>
      <w:r w:rsidRPr="00D06E2E">
        <w:rPr>
          <w:lang w:val="sr-Latn-RS"/>
        </w:rPr>
        <w:t xml:space="preserve"> </w:t>
      </w:r>
      <w:r w:rsidRPr="00D06E2E">
        <w:rPr>
          <w:b/>
          <w:lang w:val="sr-Latn-RS"/>
        </w:rPr>
        <w:t xml:space="preserve">autonomous province authorities and authorities of the local self-government unit authorities </w:t>
      </w:r>
      <w:r w:rsidRPr="00D06E2E">
        <w:rPr>
          <w:lang w:val="sr-Latn-RS"/>
        </w:rPr>
        <w:t>should provide complete exercise of the rights of LGBTI persons as well as implementation of measures and activities dedicated to raising of the public awareness on the necessity and observance of LGBTI rights;</w:t>
      </w:r>
    </w:p>
    <w:p w14:paraId="3FF9D701" w14:textId="1A30D0EF" w:rsidR="00CA3F93" w:rsidRPr="00D06E2E" w:rsidRDefault="00C17E6A" w:rsidP="00C17E6A">
      <w:pPr>
        <w:numPr>
          <w:ilvl w:val="0"/>
          <w:numId w:val="11"/>
        </w:numPr>
        <w:tabs>
          <w:tab w:val="left" w:pos="426"/>
        </w:tabs>
        <w:ind w:left="426" w:hanging="426"/>
        <w:rPr>
          <w:lang w:val="sr-Latn-RS"/>
        </w:rPr>
      </w:pPr>
      <w:r w:rsidRPr="00D06E2E">
        <w:rPr>
          <w:b/>
          <w:lang w:val="sr-Latn-RS"/>
        </w:rPr>
        <w:t xml:space="preserve">The Ministry of Health, Ministry of Finance, Ministry of Labor, Employment, Veteran and Social Policy in cooperation with the Ministry of Human and Minority Rights and Social Dialog and other competent authorities </w:t>
      </w:r>
      <w:r w:rsidRPr="00D06E2E">
        <w:rPr>
          <w:lang w:val="sr-Latn-RS"/>
        </w:rPr>
        <w:t>should provide the exercise of the right to health insurance on the basis of unpaid work at home</w:t>
      </w:r>
      <w:r w:rsidR="00CA3F93" w:rsidRPr="00D06E2E">
        <w:rPr>
          <w:rStyle w:val="FootnoteReference"/>
          <w:rFonts w:cs="Calibri"/>
          <w:lang w:val="sr-Latn-RS"/>
        </w:rPr>
        <w:footnoteReference w:id="90"/>
      </w:r>
      <w:r w:rsidR="00CA3F93" w:rsidRPr="00D06E2E">
        <w:rPr>
          <w:rFonts w:cs="Calibri"/>
          <w:lang w:val="sr-Latn-RS"/>
        </w:rPr>
        <w:t>;</w:t>
      </w:r>
    </w:p>
    <w:p w14:paraId="5F2AA126" w14:textId="722CA031" w:rsidR="00E72DA9" w:rsidRPr="00D06E2E" w:rsidRDefault="00E72DA9" w:rsidP="00C17E6A">
      <w:pPr>
        <w:numPr>
          <w:ilvl w:val="0"/>
          <w:numId w:val="11"/>
        </w:numPr>
        <w:tabs>
          <w:tab w:val="left" w:pos="426"/>
        </w:tabs>
        <w:ind w:left="426" w:hanging="426"/>
        <w:rPr>
          <w:lang w:val="sr-Latn-RS"/>
        </w:rPr>
      </w:pPr>
      <w:r w:rsidRPr="00D06E2E">
        <w:rPr>
          <w:b/>
          <w:lang w:val="sr-Latn-RS"/>
        </w:rPr>
        <w:t>The Ministry of Health</w:t>
      </w:r>
      <w:r w:rsidR="00CA3F93" w:rsidRPr="00D06E2E">
        <w:rPr>
          <w:lang w:val="sr-Latn-RS"/>
        </w:rPr>
        <w:t xml:space="preserve"> </w:t>
      </w:r>
      <w:r w:rsidRPr="00D06E2E">
        <w:rPr>
          <w:lang w:val="sr-Latn-RS"/>
        </w:rPr>
        <w:t xml:space="preserve">should, in cooperation with other competent authorities and organizations, provide the implementation of the program of depathologization of trans identity pursuant to the revision of the International </w:t>
      </w:r>
      <w:r w:rsidR="00C17E6A" w:rsidRPr="00D06E2E">
        <w:rPr>
          <w:lang w:val="sr-Latn-RS"/>
        </w:rPr>
        <w:t xml:space="preserve">Classification of </w:t>
      </w:r>
      <w:r w:rsidRPr="00D06E2E">
        <w:rPr>
          <w:lang w:val="sr-Latn-RS"/>
        </w:rPr>
        <w:t>Disease</w:t>
      </w:r>
      <w:r w:rsidR="00C17E6A" w:rsidRPr="00D06E2E">
        <w:rPr>
          <w:lang w:val="sr-Latn-RS"/>
        </w:rPr>
        <w:t>s</w:t>
      </w:r>
      <w:r w:rsidRPr="00D06E2E">
        <w:rPr>
          <w:lang w:val="sr-Latn-RS"/>
        </w:rPr>
        <w:t xml:space="preserve"> (IDC 11)</w:t>
      </w:r>
      <w:r w:rsidR="00C17E6A" w:rsidRPr="00D06E2E">
        <w:rPr>
          <w:lang w:val="sr-Latn-RS"/>
        </w:rPr>
        <w:t xml:space="preserve"> of the World Health Organization in which the transgender identity was removed from the list of mental illnesses;</w:t>
      </w:r>
    </w:p>
    <w:p w14:paraId="0C64FD0C" w14:textId="72D4B27F" w:rsidR="00E72DA9" w:rsidRPr="00D06E2E" w:rsidRDefault="00E72DA9" w:rsidP="00E72DA9">
      <w:pPr>
        <w:numPr>
          <w:ilvl w:val="0"/>
          <w:numId w:val="11"/>
        </w:numPr>
        <w:tabs>
          <w:tab w:val="left" w:pos="426"/>
        </w:tabs>
        <w:ind w:left="426" w:hanging="426"/>
        <w:rPr>
          <w:b/>
          <w:lang w:val="sr-Latn-RS"/>
        </w:rPr>
      </w:pPr>
      <w:r w:rsidRPr="00D06E2E">
        <w:rPr>
          <w:b/>
          <w:lang w:val="sr-Latn-RS"/>
        </w:rPr>
        <w:t xml:space="preserve">The Ministry of Interior </w:t>
      </w:r>
      <w:r w:rsidRPr="00D06E2E">
        <w:rPr>
          <w:lang w:val="sr-Latn-RS"/>
        </w:rPr>
        <w:t>should propose the amendment to the Law on Police which will introduce the explicit prohibition of discrimination on the basis of sexual orientation and provide trainings for employees at the police with the aim of sensibilization toward LGBTI persons, recognition of hate crime, inter alia, on the basis of sexual orientation and gender identity and adequate response with the aim of prevention of secondary victimization of LGBTI persons and identification of the attackers of these persons;</w:t>
      </w:r>
    </w:p>
    <w:p w14:paraId="6DAB4494" w14:textId="3D8AEECF" w:rsidR="00CA3F93" w:rsidRPr="00D06E2E" w:rsidRDefault="00E72DA9" w:rsidP="00E72DA9">
      <w:pPr>
        <w:numPr>
          <w:ilvl w:val="0"/>
          <w:numId w:val="11"/>
        </w:numPr>
        <w:tabs>
          <w:tab w:val="left" w:pos="426"/>
        </w:tabs>
        <w:ind w:left="426" w:hanging="426"/>
        <w:rPr>
          <w:lang w:val="sr-Latn-RS"/>
        </w:rPr>
      </w:pPr>
      <w:r w:rsidRPr="00D06E2E">
        <w:rPr>
          <w:b/>
          <w:lang w:val="sr-Latn-RS"/>
        </w:rPr>
        <w:t>The Ministry</w:t>
      </w:r>
      <w:r w:rsidR="00CA3F93" w:rsidRPr="00D06E2E">
        <w:rPr>
          <w:b/>
          <w:lang w:val="sr-Latn-RS"/>
        </w:rPr>
        <w:t xml:space="preserve"> </w:t>
      </w:r>
      <w:r w:rsidRPr="00D06E2E">
        <w:rPr>
          <w:b/>
          <w:lang w:val="sr-Latn-RS"/>
        </w:rPr>
        <w:t xml:space="preserve">of Education </w:t>
      </w:r>
      <w:r w:rsidRPr="00D06E2E">
        <w:rPr>
          <w:lang w:val="sr-Latn-RS"/>
        </w:rPr>
        <w:t>should ensure that the trainings for employees at educational institutions with the aim of sensibilization toward LGBTI persons;</w:t>
      </w:r>
    </w:p>
    <w:p w14:paraId="0A7E6B06" w14:textId="34583242" w:rsidR="00E72DA9" w:rsidRPr="00D06E2E" w:rsidRDefault="00E72DA9" w:rsidP="00CA3F93">
      <w:pPr>
        <w:numPr>
          <w:ilvl w:val="0"/>
          <w:numId w:val="11"/>
        </w:numPr>
        <w:tabs>
          <w:tab w:val="left" w:pos="426"/>
        </w:tabs>
        <w:ind w:left="426" w:hanging="426"/>
        <w:rPr>
          <w:lang w:val="sr-Latn-RS"/>
        </w:rPr>
      </w:pPr>
      <w:r w:rsidRPr="00D06E2E">
        <w:rPr>
          <w:b/>
          <w:lang w:val="sr-Latn-RS"/>
        </w:rPr>
        <w:t>Authorities of local self-government units</w:t>
      </w:r>
      <w:r w:rsidR="00CA3F93" w:rsidRPr="00D06E2E">
        <w:rPr>
          <w:b/>
          <w:lang w:val="sr-Latn-RS"/>
        </w:rPr>
        <w:t xml:space="preserve"> </w:t>
      </w:r>
      <w:r w:rsidRPr="00D06E2E">
        <w:rPr>
          <w:lang w:val="sr-Latn-RS"/>
        </w:rPr>
        <w:t>should include into local action plans all vulnerable groups at the territory of the local self-governemt unit, including LGBTI persons and elderly women from rural areas and prescribe measures for the improvement of the position of these persons and to allocate for these activities adequate budget funds</w:t>
      </w:r>
    </w:p>
    <w:p w14:paraId="45FB29B9" w14:textId="229A6941" w:rsidR="00B60BA0" w:rsidRPr="00D06E2E" w:rsidRDefault="00B60BA0" w:rsidP="00C228CA">
      <w:pPr>
        <w:jc w:val="center"/>
        <w:rPr>
          <w:sz w:val="24"/>
          <w:szCs w:val="24"/>
          <w:lang w:val="sr-Latn-RS"/>
        </w:rPr>
      </w:pPr>
    </w:p>
    <w:p w14:paraId="18C4A5FA" w14:textId="37A945D8" w:rsidR="00C34F2A" w:rsidRPr="00D06E2E" w:rsidRDefault="00C34F2A" w:rsidP="00C228CA">
      <w:pPr>
        <w:jc w:val="center"/>
        <w:rPr>
          <w:sz w:val="24"/>
          <w:szCs w:val="24"/>
          <w:lang w:val="sr-Latn-RS"/>
        </w:rPr>
      </w:pPr>
    </w:p>
    <w:p w14:paraId="73E947E2" w14:textId="24F847E2" w:rsidR="00C34F2A" w:rsidRPr="00D06E2E" w:rsidRDefault="00C34F2A" w:rsidP="00C228CA">
      <w:pPr>
        <w:jc w:val="center"/>
        <w:rPr>
          <w:sz w:val="24"/>
          <w:szCs w:val="24"/>
          <w:lang w:val="sr-Latn-RS"/>
        </w:rPr>
      </w:pPr>
    </w:p>
    <w:p w14:paraId="63EA77B3" w14:textId="008E1112" w:rsidR="00C34F2A" w:rsidRPr="00D06E2E" w:rsidRDefault="00C34F2A" w:rsidP="00C228CA">
      <w:pPr>
        <w:jc w:val="center"/>
        <w:rPr>
          <w:sz w:val="24"/>
          <w:szCs w:val="24"/>
          <w:lang w:val="sr-Latn-RS"/>
        </w:rPr>
      </w:pPr>
    </w:p>
    <w:p w14:paraId="65318D51" w14:textId="5F3011D7" w:rsidR="008C4165" w:rsidRPr="00D06E2E" w:rsidRDefault="008C4165" w:rsidP="00C228CA">
      <w:pPr>
        <w:jc w:val="center"/>
        <w:rPr>
          <w:sz w:val="24"/>
          <w:szCs w:val="24"/>
          <w:lang w:val="sr-Latn-RS"/>
        </w:rPr>
      </w:pPr>
    </w:p>
    <w:p w14:paraId="52294F5A" w14:textId="639A05F8" w:rsidR="008C4165" w:rsidRPr="00D06E2E" w:rsidRDefault="008C4165" w:rsidP="00C228CA">
      <w:pPr>
        <w:jc w:val="center"/>
        <w:rPr>
          <w:sz w:val="24"/>
          <w:szCs w:val="24"/>
          <w:lang w:val="sr-Latn-RS"/>
        </w:rPr>
      </w:pPr>
    </w:p>
    <w:p w14:paraId="26E3E74B" w14:textId="324825EB" w:rsidR="008C4165" w:rsidRPr="00D06E2E" w:rsidRDefault="008C4165" w:rsidP="00C228CA">
      <w:pPr>
        <w:jc w:val="center"/>
        <w:rPr>
          <w:sz w:val="24"/>
          <w:szCs w:val="24"/>
          <w:lang w:val="sr-Latn-RS"/>
        </w:rPr>
      </w:pPr>
    </w:p>
    <w:p w14:paraId="14E385A9" w14:textId="7962E952" w:rsidR="008C4165" w:rsidRPr="00D06E2E" w:rsidRDefault="008C4165" w:rsidP="00C228CA">
      <w:pPr>
        <w:jc w:val="center"/>
        <w:rPr>
          <w:sz w:val="24"/>
          <w:szCs w:val="24"/>
          <w:lang w:val="sr-Latn-RS"/>
        </w:rPr>
      </w:pPr>
    </w:p>
    <w:p w14:paraId="629DE2ED" w14:textId="77777777" w:rsidR="00333C3B" w:rsidRPr="00D06E2E" w:rsidRDefault="00333C3B" w:rsidP="00C228CA">
      <w:pPr>
        <w:jc w:val="center"/>
        <w:rPr>
          <w:sz w:val="24"/>
          <w:szCs w:val="24"/>
          <w:lang w:val="sr-Latn-RS"/>
        </w:rPr>
      </w:pPr>
    </w:p>
    <w:p w14:paraId="1EB1E4FB" w14:textId="77777777" w:rsidR="008C4165" w:rsidRPr="00D06E2E" w:rsidRDefault="008C4165" w:rsidP="00C228CA">
      <w:pPr>
        <w:jc w:val="center"/>
        <w:rPr>
          <w:sz w:val="24"/>
          <w:szCs w:val="24"/>
          <w:lang w:val="sr-Latn-RS"/>
        </w:rPr>
      </w:pPr>
    </w:p>
    <w:p w14:paraId="0BEE6EA4" w14:textId="2FB5285E" w:rsidR="00D637AE" w:rsidRPr="00D06E2E" w:rsidRDefault="00C82594" w:rsidP="001B384F">
      <w:pPr>
        <w:pStyle w:val="Heading2"/>
        <w:spacing w:before="0" w:after="0"/>
        <w:rPr>
          <w:lang w:val="sr-Latn-RS"/>
        </w:rPr>
      </w:pPr>
      <w:bookmarkStart w:id="50" w:name="_Toc35172756"/>
      <w:bookmarkStart w:id="51" w:name="_Toc161659200"/>
      <w:r w:rsidRPr="00D06E2E">
        <w:rPr>
          <w:lang w:val="sr-Latn-RS"/>
        </w:rPr>
        <w:lastRenderedPageBreak/>
        <w:t>R</w:t>
      </w:r>
      <w:r w:rsidR="00477BC8" w:rsidRPr="00D06E2E">
        <w:rPr>
          <w:lang w:val="sr-Latn-RS"/>
        </w:rPr>
        <w:t>IGHTS OF PERSONS WITH DISABILITIES</w:t>
      </w:r>
      <w:r w:rsidRPr="00D06E2E">
        <w:rPr>
          <w:lang w:val="sr-Latn-RS"/>
        </w:rPr>
        <w:t xml:space="preserve"> AND RIGHTS OF THE ELDERLY</w:t>
      </w:r>
      <w:r w:rsidR="00D201B0" w:rsidRPr="00D06E2E">
        <w:rPr>
          <w:lang w:val="sr-Latn-RS"/>
        </w:rPr>
        <w:t xml:space="preserve"> </w:t>
      </w:r>
      <w:bookmarkEnd w:id="50"/>
      <w:bookmarkEnd w:id="51"/>
    </w:p>
    <w:p w14:paraId="55173676" w14:textId="77777777" w:rsidR="003504FA" w:rsidRPr="00D06E2E" w:rsidRDefault="003504FA" w:rsidP="001B384F">
      <w:pPr>
        <w:spacing w:after="0"/>
        <w:rPr>
          <w:b/>
          <w:lang w:val="sr-Latn-RS"/>
        </w:rPr>
      </w:pPr>
    </w:p>
    <w:p w14:paraId="76911F23" w14:textId="6215FBDD" w:rsidR="003504FA" w:rsidRPr="00D06E2E" w:rsidRDefault="00C82594" w:rsidP="00DF7C51">
      <w:pPr>
        <w:pStyle w:val="ListParagraph"/>
        <w:ind w:left="0"/>
        <w:jc w:val="center"/>
        <w:rPr>
          <w:sz w:val="24"/>
          <w:szCs w:val="24"/>
          <w:lang w:val="sr-Latn-RS"/>
        </w:rPr>
      </w:pPr>
      <w:bookmarkStart w:id="52" w:name="_Toc35172757"/>
      <w:r w:rsidRPr="00D06E2E">
        <w:rPr>
          <w:sz w:val="24"/>
          <w:szCs w:val="24"/>
          <w:lang w:val="sr-Latn-RS"/>
        </w:rPr>
        <w:t>STATISTICS</w:t>
      </w:r>
    </w:p>
    <w:bookmarkEnd w:id="52"/>
    <w:p w14:paraId="6C2635AC" w14:textId="2A75512E" w:rsidR="00934219" w:rsidRPr="00D06E2E" w:rsidRDefault="00934219" w:rsidP="00DF7C51">
      <w:pPr>
        <w:rPr>
          <w:lang w:val="sr-Latn-RS"/>
        </w:rPr>
      </w:pPr>
      <w:r w:rsidRPr="00D06E2E">
        <w:rPr>
          <w:lang w:val="sr-Latn-RS"/>
        </w:rPr>
        <w:t>In the area of rights of persons with disab</w:t>
      </w:r>
      <w:r w:rsidR="00A450E2" w:rsidRPr="00D06E2E">
        <w:rPr>
          <w:lang w:val="sr-Latn-RS"/>
        </w:rPr>
        <w:t>ilities and the elderly, in 2023</w:t>
      </w:r>
      <w:r w:rsidRPr="00D06E2E">
        <w:rPr>
          <w:lang w:val="sr-Latn-RS"/>
        </w:rPr>
        <w:t xml:space="preserve"> the Protector of Citizens handled </w:t>
      </w:r>
      <w:r w:rsidR="00DF7C51" w:rsidRPr="00D06E2E">
        <w:rPr>
          <w:lang w:val="sr-Latn-RS"/>
        </w:rPr>
        <w:t xml:space="preserve">153 </w:t>
      </w:r>
      <w:r w:rsidRPr="00D06E2E">
        <w:rPr>
          <w:lang w:val="sr-Latn-RS"/>
        </w:rPr>
        <w:t>cases</w:t>
      </w:r>
      <w:r w:rsidR="00DF7C51" w:rsidRPr="00D06E2E">
        <w:rPr>
          <w:lang w:val="sr-Latn-RS"/>
        </w:rPr>
        <w:t xml:space="preserve">, </w:t>
      </w:r>
      <w:r w:rsidRPr="00D06E2E">
        <w:rPr>
          <w:lang w:val="sr-Latn-RS"/>
        </w:rPr>
        <w:t xml:space="preserve">of which there were </w:t>
      </w:r>
      <w:r w:rsidR="00DF7C51" w:rsidRPr="00D06E2E">
        <w:rPr>
          <w:lang w:val="sr-Latn-RS"/>
        </w:rPr>
        <w:t xml:space="preserve">150 </w:t>
      </w:r>
      <w:r w:rsidRPr="00D06E2E">
        <w:rPr>
          <w:lang w:val="sr-Latn-RS"/>
        </w:rPr>
        <w:t>complaints of citizens and thr</w:t>
      </w:r>
      <w:r w:rsidR="00A450E2" w:rsidRPr="00D06E2E">
        <w:rPr>
          <w:lang w:val="sr-Latn-RS"/>
        </w:rPr>
        <w:t>e</w:t>
      </w:r>
      <w:r w:rsidRPr="00D06E2E">
        <w:rPr>
          <w:lang w:val="sr-Latn-RS"/>
        </w:rPr>
        <w:t xml:space="preserve">e cases initiated upon own initiative. Out of 153 handled cases, the Protector of Citizens completed the work </w:t>
      </w:r>
      <w:r w:rsidR="009D2617" w:rsidRPr="00D06E2E">
        <w:rPr>
          <w:lang w:val="sr-Latn-RS"/>
        </w:rPr>
        <w:t>in</w:t>
      </w:r>
      <w:r w:rsidRPr="00D06E2E">
        <w:rPr>
          <w:lang w:val="sr-Latn-RS"/>
        </w:rPr>
        <w:t xml:space="preserve"> 100 cases. In 2023, the work was also terminated on 15 cases from previous years. The cases from this area make 3.46 percent of the total number of handled cases in 2023.</w:t>
      </w:r>
      <w:r w:rsidR="00DF7C51" w:rsidRPr="00D06E2E">
        <w:rPr>
          <w:lang w:val="sr-Latn-RS"/>
        </w:rPr>
        <w:t xml:space="preserve"> </w:t>
      </w:r>
      <w:r w:rsidRPr="00D06E2E">
        <w:rPr>
          <w:lang w:val="sr-Latn-RS"/>
        </w:rPr>
        <w:t xml:space="preserve">The Protector of Citizens issued 11 recommendations to administrative authorities, nine of which reached execution during reporting period. Administrative authorities acted on all submitted recommendations (100 percent). The cases </w:t>
      </w:r>
      <w:r w:rsidR="00642AB1" w:rsidRPr="00D06E2E">
        <w:rPr>
          <w:lang w:val="sr-Latn-RS"/>
        </w:rPr>
        <w:t>handled</w:t>
      </w:r>
      <w:r w:rsidRPr="00D06E2E">
        <w:rPr>
          <w:lang w:val="sr-Latn-RS"/>
        </w:rPr>
        <w:t xml:space="preserve"> in the reporting period, the outcome of acting upon completed cases and outcome of acting upon recommendations are shown in the tables below.</w:t>
      </w:r>
    </w:p>
    <w:p w14:paraId="1EB79643" w14:textId="77777777" w:rsidR="00DF7C51" w:rsidRPr="00D06E2E" w:rsidRDefault="00DF7C51" w:rsidP="00DF7C51">
      <w:pPr>
        <w:pStyle w:val="Caption"/>
        <w:keepNext/>
        <w:spacing w:before="0" w:after="0"/>
        <w:jc w:val="center"/>
        <w:rPr>
          <w:lang w:val="sr-Latn-RS"/>
        </w:rPr>
      </w:pPr>
    </w:p>
    <w:p w14:paraId="040C3E98" w14:textId="629155BD" w:rsidR="00DF7C51" w:rsidRPr="00D06E2E" w:rsidRDefault="00934219" w:rsidP="00DF7C51">
      <w:pPr>
        <w:pStyle w:val="Caption"/>
        <w:keepNext/>
        <w:spacing w:before="0"/>
        <w:jc w:val="center"/>
        <w:rPr>
          <w:lang w:val="sr-Latn-RS"/>
        </w:rPr>
      </w:pPr>
      <w:r w:rsidRPr="00D06E2E">
        <w:rPr>
          <w:lang w:val="sr-Latn-RS"/>
        </w:rPr>
        <w:t>Table</w:t>
      </w:r>
      <w:r w:rsidR="00DF7C51" w:rsidRPr="00D06E2E">
        <w:rPr>
          <w:lang w:val="sr-Latn-RS"/>
        </w:rPr>
        <w:t xml:space="preserve"> 22 – </w:t>
      </w:r>
      <w:r w:rsidRPr="00D06E2E">
        <w:rPr>
          <w:lang w:val="sr-Latn-RS"/>
        </w:rPr>
        <w:t xml:space="preserve">Overview of overview of cases handled in 2023 </w:t>
      </w:r>
      <w:r w:rsidR="00DF7C51" w:rsidRPr="00D06E2E">
        <w:rPr>
          <w:lang w:val="sr-Latn-RS"/>
        </w:rPr>
        <w:t xml:space="preserve"> </w:t>
      </w:r>
    </w:p>
    <w:tbl>
      <w:tblPr>
        <w:tblW w:w="8934"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4A0" w:firstRow="1" w:lastRow="0" w:firstColumn="1" w:lastColumn="0" w:noHBand="0" w:noVBand="1"/>
      </w:tblPr>
      <w:tblGrid>
        <w:gridCol w:w="5125"/>
        <w:gridCol w:w="1912"/>
        <w:gridCol w:w="1897"/>
      </w:tblGrid>
      <w:tr w:rsidR="00DF7C51" w:rsidRPr="00D06E2E" w14:paraId="4A415BFB" w14:textId="77777777" w:rsidTr="001C3FC6">
        <w:trPr>
          <w:trHeight w:hRule="exact" w:val="329"/>
          <w:jc w:val="center"/>
        </w:trPr>
        <w:tc>
          <w:tcPr>
            <w:tcW w:w="5125" w:type="dxa"/>
            <w:vAlign w:val="center"/>
          </w:tcPr>
          <w:p w14:paraId="64C9EDD0" w14:textId="22FADDCB" w:rsidR="00DF7C51" w:rsidRPr="00D06E2E" w:rsidRDefault="00934219" w:rsidP="00556F2C">
            <w:pPr>
              <w:spacing w:after="0"/>
              <w:rPr>
                <w:b/>
                <w:lang w:val="sr-Latn-RS"/>
              </w:rPr>
            </w:pPr>
            <w:r w:rsidRPr="00D06E2E">
              <w:rPr>
                <w:b/>
                <w:lang w:val="sr-Latn-RS"/>
              </w:rPr>
              <w:t>Number of cases in 2023</w:t>
            </w:r>
          </w:p>
        </w:tc>
        <w:tc>
          <w:tcPr>
            <w:tcW w:w="1912" w:type="dxa"/>
            <w:vAlign w:val="center"/>
          </w:tcPr>
          <w:p w14:paraId="31B51EED" w14:textId="77777777" w:rsidR="00DF7C51" w:rsidRPr="00D06E2E" w:rsidRDefault="00DF7C51" w:rsidP="00556F2C">
            <w:pPr>
              <w:spacing w:after="0"/>
              <w:jc w:val="center"/>
              <w:rPr>
                <w:b/>
                <w:lang w:val="sr-Latn-RS"/>
              </w:rPr>
            </w:pPr>
            <w:r w:rsidRPr="00D06E2E">
              <w:rPr>
                <w:b/>
                <w:lang w:val="sr-Latn-RS"/>
              </w:rPr>
              <w:t>153</w:t>
            </w:r>
          </w:p>
        </w:tc>
        <w:tc>
          <w:tcPr>
            <w:tcW w:w="1897" w:type="dxa"/>
          </w:tcPr>
          <w:p w14:paraId="0C704630" w14:textId="77777777" w:rsidR="00DF7C51" w:rsidRPr="00D06E2E" w:rsidRDefault="00DF7C51" w:rsidP="00556F2C">
            <w:pPr>
              <w:spacing w:after="0"/>
              <w:jc w:val="center"/>
              <w:rPr>
                <w:b/>
                <w:lang w:val="sr-Latn-RS"/>
              </w:rPr>
            </w:pPr>
            <w:r w:rsidRPr="00D06E2E">
              <w:rPr>
                <w:b/>
                <w:lang w:val="sr-Latn-RS"/>
              </w:rPr>
              <w:t>%</w:t>
            </w:r>
          </w:p>
        </w:tc>
      </w:tr>
      <w:tr w:rsidR="00DF7C51" w:rsidRPr="00D06E2E" w14:paraId="6C4AF175" w14:textId="77777777" w:rsidTr="001C3FC6">
        <w:trPr>
          <w:trHeight w:hRule="exact" w:val="329"/>
          <w:jc w:val="center"/>
        </w:trPr>
        <w:tc>
          <w:tcPr>
            <w:tcW w:w="5125" w:type="dxa"/>
            <w:vAlign w:val="center"/>
          </w:tcPr>
          <w:p w14:paraId="48727D08" w14:textId="4E8D4D62" w:rsidR="00DF7C51" w:rsidRPr="00D06E2E" w:rsidRDefault="00934219" w:rsidP="00556F2C">
            <w:pPr>
              <w:spacing w:after="0"/>
              <w:rPr>
                <w:lang w:val="sr-Latn-RS"/>
              </w:rPr>
            </w:pPr>
            <w:r w:rsidRPr="00D06E2E">
              <w:rPr>
                <w:lang w:val="sr-Latn-RS"/>
              </w:rPr>
              <w:t>Number of closed cases in 2023</w:t>
            </w:r>
          </w:p>
        </w:tc>
        <w:tc>
          <w:tcPr>
            <w:tcW w:w="1912" w:type="dxa"/>
            <w:vAlign w:val="center"/>
          </w:tcPr>
          <w:p w14:paraId="6B33755E" w14:textId="77777777" w:rsidR="00DF7C51" w:rsidRPr="00D06E2E" w:rsidRDefault="00DF7C51" w:rsidP="00556F2C">
            <w:pPr>
              <w:spacing w:after="0"/>
              <w:jc w:val="center"/>
              <w:rPr>
                <w:lang w:val="sr-Latn-RS"/>
              </w:rPr>
            </w:pPr>
            <w:r w:rsidRPr="00D06E2E">
              <w:rPr>
                <w:lang w:val="sr-Latn-RS"/>
              </w:rPr>
              <w:t>100</w:t>
            </w:r>
          </w:p>
        </w:tc>
        <w:tc>
          <w:tcPr>
            <w:tcW w:w="1897" w:type="dxa"/>
          </w:tcPr>
          <w:p w14:paraId="302A92B5" w14:textId="0009CD00" w:rsidR="00DF7C51" w:rsidRPr="00D06E2E" w:rsidRDefault="00934219" w:rsidP="00556F2C">
            <w:pPr>
              <w:spacing w:after="0"/>
              <w:jc w:val="center"/>
              <w:rPr>
                <w:lang w:val="sr-Latn-RS"/>
              </w:rPr>
            </w:pPr>
            <w:r w:rsidRPr="00D06E2E">
              <w:rPr>
                <w:lang w:val="sr-Latn-RS"/>
              </w:rPr>
              <w:t>65.</w:t>
            </w:r>
            <w:r w:rsidR="00DF7C51" w:rsidRPr="00D06E2E">
              <w:rPr>
                <w:lang w:val="sr-Latn-RS"/>
              </w:rPr>
              <w:t>36%</w:t>
            </w:r>
          </w:p>
        </w:tc>
      </w:tr>
      <w:tr w:rsidR="00DF7C51" w:rsidRPr="00D06E2E" w14:paraId="72F8CE7E" w14:textId="77777777" w:rsidTr="001C3FC6">
        <w:trPr>
          <w:trHeight w:hRule="exact" w:val="329"/>
          <w:jc w:val="center"/>
        </w:trPr>
        <w:tc>
          <w:tcPr>
            <w:tcW w:w="5125" w:type="dxa"/>
            <w:vAlign w:val="center"/>
          </w:tcPr>
          <w:p w14:paraId="121E0F31" w14:textId="619C3CAC" w:rsidR="00DF7C51" w:rsidRPr="00D06E2E" w:rsidRDefault="00934219" w:rsidP="0012192F">
            <w:pPr>
              <w:spacing w:after="0"/>
              <w:rPr>
                <w:lang w:val="sr-Latn-RS"/>
              </w:rPr>
            </w:pPr>
            <w:r w:rsidRPr="00D06E2E">
              <w:rPr>
                <w:lang w:val="sr-Latn-RS"/>
              </w:rPr>
              <w:t>Number of cases</w:t>
            </w:r>
            <w:r w:rsidR="0012192F" w:rsidRPr="00D06E2E">
              <w:rPr>
                <w:lang w:val="sr-Latn-RS"/>
              </w:rPr>
              <w:t xml:space="preserve"> in progress</w:t>
            </w:r>
            <w:r w:rsidRPr="00D06E2E">
              <w:rPr>
                <w:lang w:val="sr-Latn-RS"/>
              </w:rPr>
              <w:t xml:space="preserve"> in 2023 </w:t>
            </w:r>
          </w:p>
        </w:tc>
        <w:tc>
          <w:tcPr>
            <w:tcW w:w="1912" w:type="dxa"/>
            <w:vAlign w:val="center"/>
          </w:tcPr>
          <w:p w14:paraId="26397DAE" w14:textId="77777777" w:rsidR="00DF7C51" w:rsidRPr="00D06E2E" w:rsidRDefault="00DF7C51" w:rsidP="00556F2C">
            <w:pPr>
              <w:spacing w:after="0"/>
              <w:jc w:val="center"/>
              <w:rPr>
                <w:lang w:val="sr-Latn-RS"/>
              </w:rPr>
            </w:pPr>
            <w:r w:rsidRPr="00D06E2E">
              <w:rPr>
                <w:lang w:val="sr-Latn-RS"/>
              </w:rPr>
              <w:t>53</w:t>
            </w:r>
          </w:p>
        </w:tc>
        <w:tc>
          <w:tcPr>
            <w:tcW w:w="1897" w:type="dxa"/>
          </w:tcPr>
          <w:p w14:paraId="06973C81" w14:textId="1DCB39B8" w:rsidR="00DF7C51" w:rsidRPr="00D06E2E" w:rsidRDefault="00934219" w:rsidP="00556F2C">
            <w:pPr>
              <w:spacing w:after="0"/>
              <w:jc w:val="center"/>
              <w:rPr>
                <w:lang w:val="sr-Latn-RS"/>
              </w:rPr>
            </w:pPr>
            <w:r w:rsidRPr="00D06E2E">
              <w:rPr>
                <w:lang w:val="sr-Latn-RS"/>
              </w:rPr>
              <w:t>34.</w:t>
            </w:r>
            <w:r w:rsidR="00DF7C51" w:rsidRPr="00D06E2E">
              <w:rPr>
                <w:lang w:val="sr-Latn-RS"/>
              </w:rPr>
              <w:t>64%</w:t>
            </w:r>
          </w:p>
        </w:tc>
      </w:tr>
    </w:tbl>
    <w:p w14:paraId="4E16A95D" w14:textId="77777777" w:rsidR="00DF7C51" w:rsidRPr="00D06E2E" w:rsidRDefault="00DF7C51" w:rsidP="00DF7C51">
      <w:pPr>
        <w:pStyle w:val="Caption"/>
        <w:keepNext/>
        <w:spacing w:before="0" w:after="0"/>
        <w:jc w:val="center"/>
        <w:rPr>
          <w:lang w:val="sr-Latn-RS"/>
        </w:rPr>
      </w:pPr>
    </w:p>
    <w:p w14:paraId="566C3CB6" w14:textId="06B0288A" w:rsidR="00DF7C51" w:rsidRPr="00D06E2E" w:rsidRDefault="00934219" w:rsidP="00DF7C51">
      <w:pPr>
        <w:pStyle w:val="Caption"/>
        <w:keepNext/>
        <w:spacing w:before="0"/>
        <w:jc w:val="center"/>
        <w:rPr>
          <w:lang w:val="sr-Latn-RS"/>
        </w:rPr>
      </w:pPr>
      <w:r w:rsidRPr="00D06E2E">
        <w:rPr>
          <w:lang w:val="sr-Latn-RS"/>
        </w:rPr>
        <w:t xml:space="preserve">Table </w:t>
      </w:r>
      <w:r w:rsidR="00DF7C51" w:rsidRPr="00D06E2E">
        <w:rPr>
          <w:lang w:val="sr-Latn-RS"/>
        </w:rPr>
        <w:t xml:space="preserve">23 – </w:t>
      </w:r>
      <w:r w:rsidR="007234DD" w:rsidRPr="00D06E2E">
        <w:rPr>
          <w:lang w:val="sr-Latn-RS"/>
        </w:rPr>
        <w:t>The outcome of acting upon recommendations</w:t>
      </w:r>
    </w:p>
    <w:tbl>
      <w:tblPr>
        <w:tblW w:w="8934"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4A0" w:firstRow="1" w:lastRow="0" w:firstColumn="1" w:lastColumn="0" w:noHBand="0" w:noVBand="1"/>
      </w:tblPr>
      <w:tblGrid>
        <w:gridCol w:w="2013"/>
        <w:gridCol w:w="2323"/>
        <w:gridCol w:w="2323"/>
        <w:gridCol w:w="2275"/>
      </w:tblGrid>
      <w:tr w:rsidR="007234DD" w:rsidRPr="00D06E2E" w14:paraId="0AEA422E" w14:textId="77777777" w:rsidTr="001C3FC6">
        <w:trPr>
          <w:trHeight w:hRule="exact" w:val="902"/>
          <w:jc w:val="center"/>
        </w:trPr>
        <w:tc>
          <w:tcPr>
            <w:tcW w:w="1914" w:type="dxa"/>
            <w:vAlign w:val="center"/>
          </w:tcPr>
          <w:p w14:paraId="74470BF1" w14:textId="236E0957" w:rsidR="00DF7C51" w:rsidRPr="00D06E2E" w:rsidRDefault="00C01F14" w:rsidP="00556F2C">
            <w:pPr>
              <w:spacing w:after="0"/>
              <w:jc w:val="center"/>
              <w:rPr>
                <w:b/>
                <w:bCs/>
                <w:lang w:val="sr-Latn-RS"/>
              </w:rPr>
            </w:pPr>
            <w:r w:rsidRPr="00D06E2E">
              <w:rPr>
                <w:b/>
                <w:bCs/>
                <w:lang w:val="sr-Latn-RS"/>
              </w:rPr>
              <w:t>N</w:t>
            </w:r>
            <w:r w:rsidR="007234DD" w:rsidRPr="00D06E2E">
              <w:rPr>
                <w:b/>
                <w:bCs/>
                <w:lang w:val="sr-Latn-RS"/>
              </w:rPr>
              <w:t>umber of issued recommendations</w:t>
            </w:r>
          </w:p>
        </w:tc>
        <w:tc>
          <w:tcPr>
            <w:tcW w:w="2340" w:type="dxa"/>
          </w:tcPr>
          <w:p w14:paraId="3786E8B2" w14:textId="7A18EFF3" w:rsidR="00DF7C51" w:rsidRPr="00D06E2E" w:rsidRDefault="00C01F14" w:rsidP="007234DD">
            <w:pPr>
              <w:spacing w:after="0"/>
              <w:jc w:val="center"/>
              <w:rPr>
                <w:b/>
                <w:bCs/>
                <w:lang w:val="sr-Latn-RS"/>
              </w:rPr>
            </w:pPr>
            <w:r w:rsidRPr="00D06E2E">
              <w:rPr>
                <w:b/>
                <w:bCs/>
                <w:lang w:val="sr-Latn-RS"/>
              </w:rPr>
              <w:t>N</w:t>
            </w:r>
            <w:r w:rsidR="007234DD" w:rsidRPr="00D06E2E">
              <w:rPr>
                <w:b/>
                <w:bCs/>
                <w:lang w:val="sr-Latn-RS"/>
              </w:rPr>
              <w:t>umber of received recommendations</w:t>
            </w:r>
          </w:p>
        </w:tc>
        <w:tc>
          <w:tcPr>
            <w:tcW w:w="2340" w:type="dxa"/>
            <w:vAlign w:val="center"/>
          </w:tcPr>
          <w:p w14:paraId="4D99C18A" w14:textId="62988AE7" w:rsidR="00DF7C51" w:rsidRPr="00D06E2E" w:rsidRDefault="00C01F14" w:rsidP="00C01F14">
            <w:pPr>
              <w:spacing w:after="0"/>
              <w:jc w:val="center"/>
              <w:rPr>
                <w:b/>
                <w:bCs/>
                <w:lang w:val="sr-Latn-RS"/>
              </w:rPr>
            </w:pPr>
            <w:r w:rsidRPr="00D06E2E">
              <w:rPr>
                <w:b/>
                <w:bCs/>
                <w:lang w:val="sr-Latn-RS"/>
              </w:rPr>
              <w:t>N</w:t>
            </w:r>
            <w:r w:rsidR="007234DD" w:rsidRPr="00D06E2E">
              <w:rPr>
                <w:b/>
                <w:bCs/>
                <w:lang w:val="sr-Latn-RS"/>
              </w:rPr>
              <w:t>umber of</w:t>
            </w:r>
            <w:r w:rsidRPr="00D06E2E">
              <w:rPr>
                <w:b/>
                <w:bCs/>
                <w:lang w:val="sr-Latn-RS"/>
              </w:rPr>
              <w:t xml:space="preserve"> accepted</w:t>
            </w:r>
            <w:r w:rsidR="007234DD" w:rsidRPr="00D06E2E">
              <w:rPr>
                <w:b/>
                <w:bCs/>
                <w:lang w:val="sr-Latn-RS"/>
              </w:rPr>
              <w:t xml:space="preserve"> recommendations </w:t>
            </w:r>
          </w:p>
        </w:tc>
        <w:tc>
          <w:tcPr>
            <w:tcW w:w="2340" w:type="dxa"/>
          </w:tcPr>
          <w:p w14:paraId="1EA2B2E9" w14:textId="77777777" w:rsidR="00DF7C51" w:rsidRPr="00D06E2E" w:rsidRDefault="00DF7C51" w:rsidP="00556F2C">
            <w:pPr>
              <w:spacing w:after="0"/>
              <w:jc w:val="center"/>
              <w:rPr>
                <w:b/>
                <w:bCs/>
                <w:lang w:val="sr-Latn-RS"/>
              </w:rPr>
            </w:pPr>
          </w:p>
          <w:p w14:paraId="0943D90B" w14:textId="76E18B03" w:rsidR="00DF7C51" w:rsidRPr="00D06E2E" w:rsidRDefault="00DF7C51" w:rsidP="00C01F14">
            <w:pPr>
              <w:spacing w:after="0"/>
              <w:jc w:val="center"/>
              <w:rPr>
                <w:b/>
                <w:bCs/>
                <w:lang w:val="sr-Latn-RS"/>
              </w:rPr>
            </w:pPr>
            <w:r w:rsidRPr="00D06E2E">
              <w:rPr>
                <w:b/>
                <w:bCs/>
                <w:lang w:val="sr-Latn-RS"/>
              </w:rPr>
              <w:t xml:space="preserve">% </w:t>
            </w:r>
            <w:r w:rsidR="007234DD" w:rsidRPr="00D06E2E">
              <w:rPr>
                <w:b/>
                <w:bCs/>
                <w:lang w:val="sr-Latn-RS"/>
              </w:rPr>
              <w:t xml:space="preserve">of </w:t>
            </w:r>
            <w:r w:rsidR="00C01F14" w:rsidRPr="00D06E2E">
              <w:rPr>
                <w:b/>
                <w:bCs/>
                <w:lang w:val="sr-Latn-RS"/>
              </w:rPr>
              <w:t>accepted</w:t>
            </w:r>
          </w:p>
        </w:tc>
      </w:tr>
      <w:tr w:rsidR="007234DD" w:rsidRPr="00D06E2E" w14:paraId="2296936C" w14:textId="77777777" w:rsidTr="001C3FC6">
        <w:trPr>
          <w:trHeight w:hRule="exact" w:val="329"/>
          <w:jc w:val="center"/>
        </w:trPr>
        <w:tc>
          <w:tcPr>
            <w:tcW w:w="1914" w:type="dxa"/>
            <w:vAlign w:val="center"/>
          </w:tcPr>
          <w:p w14:paraId="57F9A79D" w14:textId="77777777" w:rsidR="00DF7C51" w:rsidRPr="00D06E2E" w:rsidRDefault="00DF7C51" w:rsidP="00556F2C">
            <w:pPr>
              <w:spacing w:after="0"/>
              <w:jc w:val="center"/>
              <w:rPr>
                <w:b/>
                <w:bCs/>
                <w:lang w:val="sr-Latn-RS"/>
              </w:rPr>
            </w:pPr>
            <w:r w:rsidRPr="00D06E2E">
              <w:rPr>
                <w:b/>
                <w:bCs/>
                <w:lang w:val="sr-Latn-RS"/>
              </w:rPr>
              <w:t>11</w:t>
            </w:r>
          </w:p>
        </w:tc>
        <w:tc>
          <w:tcPr>
            <w:tcW w:w="2340" w:type="dxa"/>
          </w:tcPr>
          <w:p w14:paraId="1FA02820" w14:textId="77777777" w:rsidR="00DF7C51" w:rsidRPr="00D06E2E" w:rsidRDefault="00DF7C51" w:rsidP="00556F2C">
            <w:pPr>
              <w:spacing w:after="0"/>
              <w:jc w:val="center"/>
              <w:rPr>
                <w:b/>
                <w:bCs/>
                <w:lang w:val="sr-Latn-RS"/>
              </w:rPr>
            </w:pPr>
            <w:r w:rsidRPr="00D06E2E">
              <w:rPr>
                <w:b/>
                <w:bCs/>
                <w:lang w:val="sr-Latn-RS"/>
              </w:rPr>
              <w:t>9</w:t>
            </w:r>
          </w:p>
        </w:tc>
        <w:tc>
          <w:tcPr>
            <w:tcW w:w="2340" w:type="dxa"/>
            <w:vAlign w:val="center"/>
          </w:tcPr>
          <w:p w14:paraId="5E30114A" w14:textId="77777777" w:rsidR="00DF7C51" w:rsidRPr="00D06E2E" w:rsidRDefault="00DF7C51" w:rsidP="00556F2C">
            <w:pPr>
              <w:spacing w:after="0"/>
              <w:jc w:val="center"/>
              <w:rPr>
                <w:b/>
                <w:bCs/>
                <w:lang w:val="sr-Latn-RS"/>
              </w:rPr>
            </w:pPr>
            <w:r w:rsidRPr="00D06E2E">
              <w:rPr>
                <w:b/>
                <w:bCs/>
                <w:lang w:val="sr-Latn-RS"/>
              </w:rPr>
              <w:t>9</w:t>
            </w:r>
          </w:p>
        </w:tc>
        <w:tc>
          <w:tcPr>
            <w:tcW w:w="2340" w:type="dxa"/>
          </w:tcPr>
          <w:p w14:paraId="75143087" w14:textId="77777777" w:rsidR="00DF7C51" w:rsidRPr="00D06E2E" w:rsidRDefault="00DF7C51" w:rsidP="00556F2C">
            <w:pPr>
              <w:spacing w:after="0"/>
              <w:jc w:val="center"/>
              <w:rPr>
                <w:b/>
                <w:bCs/>
                <w:lang w:val="sr-Latn-RS"/>
              </w:rPr>
            </w:pPr>
            <w:r w:rsidRPr="00D06E2E">
              <w:rPr>
                <w:b/>
                <w:bCs/>
                <w:lang w:val="sr-Latn-RS"/>
              </w:rPr>
              <w:t>100%</w:t>
            </w:r>
          </w:p>
        </w:tc>
      </w:tr>
    </w:tbl>
    <w:p w14:paraId="05A24AC3" w14:textId="77777777" w:rsidR="00DF7C51" w:rsidRPr="00D06E2E" w:rsidRDefault="00DF7C51" w:rsidP="00DF7C51">
      <w:pPr>
        <w:spacing w:after="0"/>
        <w:rPr>
          <w:lang w:val="sr-Latn-RS"/>
        </w:rPr>
      </w:pPr>
    </w:p>
    <w:p w14:paraId="3E1ADAFB" w14:textId="30A9761E" w:rsidR="00DF7C51" w:rsidRPr="00D06E2E" w:rsidRDefault="007234DD" w:rsidP="00DF7C51">
      <w:pPr>
        <w:pStyle w:val="Caption"/>
        <w:keepNext/>
        <w:spacing w:before="0"/>
        <w:jc w:val="center"/>
        <w:rPr>
          <w:lang w:val="sr-Latn-RS"/>
        </w:rPr>
      </w:pPr>
      <w:r w:rsidRPr="00D06E2E">
        <w:rPr>
          <w:lang w:val="sr-Latn-RS"/>
        </w:rPr>
        <w:t xml:space="preserve">Table </w:t>
      </w:r>
      <w:r w:rsidR="00DF7C51" w:rsidRPr="00D06E2E">
        <w:rPr>
          <w:lang w:val="sr-Latn-RS"/>
        </w:rPr>
        <w:t xml:space="preserve">24 – </w:t>
      </w:r>
      <w:r w:rsidRPr="00D06E2E">
        <w:rPr>
          <w:lang w:val="sr-Latn-RS"/>
        </w:rPr>
        <w:t>Comparative overview of handled cases and</w:t>
      </w:r>
      <w:r w:rsidR="00DF7C51" w:rsidRPr="00D06E2E">
        <w:rPr>
          <w:lang w:val="sr-Latn-RS"/>
        </w:rPr>
        <w:t xml:space="preserve"> </w:t>
      </w:r>
      <w:r w:rsidRPr="00D06E2E">
        <w:rPr>
          <w:lang w:val="sr-Latn-RS"/>
        </w:rPr>
        <w:t>issued recommendations</w:t>
      </w:r>
    </w:p>
    <w:tbl>
      <w:tblPr>
        <w:tblW w:w="8934" w:type="dxa"/>
        <w:jc w:val="center"/>
        <w:tblBorders>
          <w:top w:val="single" w:sz="12" w:space="0" w:color="0070C0"/>
          <w:bottom w:val="single" w:sz="8" w:space="0" w:color="0070C0"/>
          <w:insideH w:val="single" w:sz="8" w:space="0" w:color="0070C0"/>
          <w:insideV w:val="single" w:sz="8" w:space="0" w:color="0070C0"/>
        </w:tblBorders>
        <w:tblLook w:val="04A0" w:firstRow="1" w:lastRow="0" w:firstColumn="1" w:lastColumn="0" w:noHBand="0" w:noVBand="1"/>
      </w:tblPr>
      <w:tblGrid>
        <w:gridCol w:w="5117"/>
        <w:gridCol w:w="1923"/>
        <w:gridCol w:w="1894"/>
      </w:tblGrid>
      <w:tr w:rsidR="00DF7C51" w:rsidRPr="00D06E2E" w14:paraId="08078331" w14:textId="77777777" w:rsidTr="001C3FC6">
        <w:trPr>
          <w:trHeight w:hRule="exact" w:val="329"/>
          <w:jc w:val="center"/>
        </w:trPr>
        <w:tc>
          <w:tcPr>
            <w:tcW w:w="5117" w:type="dxa"/>
            <w:tcBorders>
              <w:top w:val="single" w:sz="2" w:space="0" w:color="0070C0"/>
              <w:left w:val="single" w:sz="2" w:space="0" w:color="0070C0"/>
              <w:bottom w:val="single" w:sz="2" w:space="0" w:color="0070C0"/>
            </w:tcBorders>
            <w:vAlign w:val="center"/>
          </w:tcPr>
          <w:p w14:paraId="274F953E" w14:textId="77777777" w:rsidR="00DF7C51" w:rsidRPr="00D06E2E" w:rsidRDefault="00DF7C51" w:rsidP="00556F2C">
            <w:pPr>
              <w:spacing w:after="0"/>
              <w:rPr>
                <w:b/>
                <w:bCs/>
                <w:lang w:val="sr-Latn-RS"/>
              </w:rPr>
            </w:pPr>
          </w:p>
        </w:tc>
        <w:tc>
          <w:tcPr>
            <w:tcW w:w="1923" w:type="dxa"/>
            <w:tcBorders>
              <w:top w:val="single" w:sz="2" w:space="0" w:color="0070C0"/>
              <w:bottom w:val="single" w:sz="2" w:space="0" w:color="0070C0"/>
            </w:tcBorders>
            <w:vAlign w:val="center"/>
          </w:tcPr>
          <w:p w14:paraId="331D3EFF" w14:textId="36596E73" w:rsidR="00DF7C51" w:rsidRPr="00D06E2E" w:rsidRDefault="007234DD" w:rsidP="00556F2C">
            <w:pPr>
              <w:spacing w:after="0"/>
              <w:jc w:val="center"/>
              <w:rPr>
                <w:b/>
                <w:bCs/>
                <w:lang w:val="sr-Latn-RS"/>
              </w:rPr>
            </w:pPr>
            <w:r w:rsidRPr="00D06E2E">
              <w:rPr>
                <w:b/>
                <w:bCs/>
                <w:lang w:val="sr-Latn-RS"/>
              </w:rPr>
              <w:t>2023</w:t>
            </w:r>
          </w:p>
        </w:tc>
        <w:tc>
          <w:tcPr>
            <w:tcW w:w="1894" w:type="dxa"/>
            <w:tcBorders>
              <w:top w:val="single" w:sz="2" w:space="0" w:color="0070C0"/>
              <w:bottom w:val="single" w:sz="2" w:space="0" w:color="0070C0"/>
              <w:right w:val="single" w:sz="2" w:space="0" w:color="0070C0"/>
            </w:tcBorders>
          </w:tcPr>
          <w:p w14:paraId="04067D74" w14:textId="4159423E" w:rsidR="00DF7C51" w:rsidRPr="00D06E2E" w:rsidRDefault="007234DD" w:rsidP="00556F2C">
            <w:pPr>
              <w:spacing w:after="0"/>
              <w:jc w:val="center"/>
              <w:rPr>
                <w:b/>
                <w:bCs/>
                <w:lang w:val="sr-Latn-RS"/>
              </w:rPr>
            </w:pPr>
            <w:r w:rsidRPr="00D06E2E">
              <w:rPr>
                <w:b/>
                <w:bCs/>
                <w:lang w:val="sr-Latn-RS"/>
              </w:rPr>
              <w:t>2022</w:t>
            </w:r>
          </w:p>
        </w:tc>
      </w:tr>
      <w:tr w:rsidR="00DF7C51" w:rsidRPr="00D06E2E" w14:paraId="39779133" w14:textId="77777777" w:rsidTr="001C3FC6">
        <w:trPr>
          <w:trHeight w:hRule="exact" w:val="329"/>
          <w:jc w:val="center"/>
        </w:trPr>
        <w:tc>
          <w:tcPr>
            <w:tcW w:w="5117" w:type="dxa"/>
            <w:tcBorders>
              <w:top w:val="single" w:sz="2" w:space="0" w:color="0070C0"/>
              <w:left w:val="single" w:sz="2" w:space="0" w:color="0070C0"/>
              <w:bottom w:val="single" w:sz="8" w:space="0" w:color="0070C0"/>
            </w:tcBorders>
            <w:vAlign w:val="center"/>
          </w:tcPr>
          <w:p w14:paraId="23409D2F" w14:textId="60FE41FC" w:rsidR="00DF7C51" w:rsidRPr="00D06E2E" w:rsidRDefault="007234DD" w:rsidP="00556F2C">
            <w:pPr>
              <w:spacing w:after="0"/>
              <w:rPr>
                <w:lang w:val="sr-Latn-RS"/>
              </w:rPr>
            </w:pPr>
            <w:r w:rsidRPr="00D06E2E">
              <w:rPr>
                <w:lang w:val="sr-Latn-RS"/>
              </w:rPr>
              <w:t>Handled cases</w:t>
            </w:r>
          </w:p>
        </w:tc>
        <w:tc>
          <w:tcPr>
            <w:tcW w:w="1923" w:type="dxa"/>
            <w:tcBorders>
              <w:top w:val="single" w:sz="2" w:space="0" w:color="0070C0"/>
              <w:bottom w:val="single" w:sz="8" w:space="0" w:color="0070C0"/>
            </w:tcBorders>
            <w:vAlign w:val="center"/>
          </w:tcPr>
          <w:p w14:paraId="00DAD843" w14:textId="77777777" w:rsidR="00DF7C51" w:rsidRPr="00D06E2E" w:rsidRDefault="00DF7C51" w:rsidP="00556F2C">
            <w:pPr>
              <w:spacing w:after="0"/>
              <w:jc w:val="center"/>
              <w:rPr>
                <w:lang w:val="sr-Latn-RS"/>
              </w:rPr>
            </w:pPr>
            <w:r w:rsidRPr="00D06E2E">
              <w:rPr>
                <w:lang w:val="sr-Latn-RS"/>
              </w:rPr>
              <w:t>153</w:t>
            </w:r>
          </w:p>
        </w:tc>
        <w:tc>
          <w:tcPr>
            <w:tcW w:w="1894" w:type="dxa"/>
            <w:tcBorders>
              <w:top w:val="single" w:sz="2" w:space="0" w:color="0070C0"/>
              <w:bottom w:val="single" w:sz="8" w:space="0" w:color="0070C0"/>
              <w:right w:val="single" w:sz="2" w:space="0" w:color="0070C0"/>
            </w:tcBorders>
          </w:tcPr>
          <w:p w14:paraId="66A7410E" w14:textId="77777777" w:rsidR="00DF7C51" w:rsidRPr="00D06E2E" w:rsidRDefault="00DF7C51" w:rsidP="00556F2C">
            <w:pPr>
              <w:spacing w:after="0"/>
              <w:jc w:val="center"/>
              <w:rPr>
                <w:lang w:val="sr-Latn-RS"/>
              </w:rPr>
            </w:pPr>
            <w:r w:rsidRPr="00D06E2E">
              <w:rPr>
                <w:lang w:val="sr-Latn-RS"/>
              </w:rPr>
              <w:t>115</w:t>
            </w:r>
          </w:p>
        </w:tc>
      </w:tr>
      <w:tr w:rsidR="00DF7C51" w:rsidRPr="00D06E2E" w14:paraId="3B43667C" w14:textId="77777777" w:rsidTr="001C3FC6">
        <w:trPr>
          <w:trHeight w:hRule="exact" w:val="329"/>
          <w:jc w:val="center"/>
        </w:trPr>
        <w:tc>
          <w:tcPr>
            <w:tcW w:w="5117" w:type="dxa"/>
            <w:tcBorders>
              <w:top w:val="single" w:sz="8" w:space="0" w:color="0070C0"/>
              <w:left w:val="single" w:sz="2" w:space="0" w:color="0070C0"/>
              <w:bottom w:val="single" w:sz="2" w:space="0" w:color="0070C0"/>
            </w:tcBorders>
            <w:vAlign w:val="center"/>
          </w:tcPr>
          <w:p w14:paraId="3B0A3209" w14:textId="01807046" w:rsidR="00DF7C51" w:rsidRPr="00D06E2E" w:rsidRDefault="007234DD" w:rsidP="00556F2C">
            <w:pPr>
              <w:spacing w:after="0"/>
              <w:rPr>
                <w:lang w:val="sr-Latn-RS"/>
              </w:rPr>
            </w:pPr>
            <w:r w:rsidRPr="00D06E2E">
              <w:rPr>
                <w:lang w:val="sr-Latn-RS"/>
              </w:rPr>
              <w:t>Number of issued recommendations</w:t>
            </w:r>
            <w:r w:rsidR="00DF7C51" w:rsidRPr="00D06E2E">
              <w:rPr>
                <w:lang w:val="sr-Latn-RS"/>
              </w:rPr>
              <w:t xml:space="preserve"> </w:t>
            </w:r>
          </w:p>
        </w:tc>
        <w:tc>
          <w:tcPr>
            <w:tcW w:w="1923" w:type="dxa"/>
            <w:tcBorders>
              <w:top w:val="single" w:sz="8" w:space="0" w:color="0070C0"/>
              <w:bottom w:val="single" w:sz="2" w:space="0" w:color="0070C0"/>
            </w:tcBorders>
            <w:vAlign w:val="center"/>
          </w:tcPr>
          <w:p w14:paraId="112E5B50" w14:textId="77777777" w:rsidR="00DF7C51" w:rsidRPr="00D06E2E" w:rsidRDefault="00DF7C51" w:rsidP="00556F2C">
            <w:pPr>
              <w:spacing w:after="0"/>
              <w:jc w:val="center"/>
              <w:rPr>
                <w:lang w:val="sr-Latn-RS"/>
              </w:rPr>
            </w:pPr>
            <w:r w:rsidRPr="00D06E2E">
              <w:rPr>
                <w:lang w:val="sr-Latn-RS"/>
              </w:rPr>
              <w:t>11</w:t>
            </w:r>
          </w:p>
        </w:tc>
        <w:tc>
          <w:tcPr>
            <w:tcW w:w="1894" w:type="dxa"/>
            <w:tcBorders>
              <w:top w:val="single" w:sz="8" w:space="0" w:color="0070C0"/>
              <w:bottom w:val="single" w:sz="2" w:space="0" w:color="0070C0"/>
              <w:right w:val="single" w:sz="2" w:space="0" w:color="0070C0"/>
            </w:tcBorders>
          </w:tcPr>
          <w:p w14:paraId="3A71CFF3" w14:textId="77777777" w:rsidR="00DF7C51" w:rsidRPr="00D06E2E" w:rsidRDefault="00DF7C51" w:rsidP="00556F2C">
            <w:pPr>
              <w:spacing w:after="0"/>
              <w:jc w:val="center"/>
              <w:rPr>
                <w:lang w:val="sr-Latn-RS"/>
              </w:rPr>
            </w:pPr>
            <w:r w:rsidRPr="00D06E2E">
              <w:rPr>
                <w:lang w:val="sr-Latn-RS"/>
              </w:rPr>
              <w:t>8</w:t>
            </w:r>
          </w:p>
        </w:tc>
      </w:tr>
    </w:tbl>
    <w:p w14:paraId="23BF6848" w14:textId="77777777" w:rsidR="00DF7C51" w:rsidRPr="00D06E2E" w:rsidRDefault="00DF7C51" w:rsidP="00DF7C51">
      <w:pPr>
        <w:spacing w:after="0"/>
        <w:rPr>
          <w:lang w:val="sr-Latn-RS"/>
        </w:rPr>
      </w:pPr>
    </w:p>
    <w:p w14:paraId="011065B5" w14:textId="72CFCA01" w:rsidR="00DF7C51" w:rsidRPr="00D06E2E" w:rsidRDefault="007234DD" w:rsidP="00DF7C51">
      <w:pPr>
        <w:pStyle w:val="Caption"/>
        <w:keepNext/>
        <w:spacing w:before="0" w:after="0"/>
        <w:rPr>
          <w:b w:val="0"/>
          <w:lang w:val="sr-Latn-RS"/>
        </w:rPr>
      </w:pPr>
      <w:r w:rsidRPr="00D06E2E">
        <w:rPr>
          <w:b w:val="0"/>
          <w:lang w:val="sr-Latn-RS"/>
        </w:rPr>
        <w:t>The increase of the number of received cases in the area of rights of persons with disabilities and rights of the elderly by 22 percent was reflected on the increase of the number of issued recommendations by more than 37 percent.</w:t>
      </w:r>
    </w:p>
    <w:p w14:paraId="6D1A722B" w14:textId="77777777" w:rsidR="00DF7C51" w:rsidRPr="00D06E2E" w:rsidRDefault="00DF7C51" w:rsidP="00DF7C51">
      <w:pPr>
        <w:spacing w:after="0"/>
        <w:rPr>
          <w:lang w:val="sr-Latn-RS"/>
        </w:rPr>
      </w:pPr>
    </w:p>
    <w:p w14:paraId="2A9ADC47" w14:textId="426CE5EA" w:rsidR="00DF7C51" w:rsidRPr="00D06E2E" w:rsidRDefault="007234DD" w:rsidP="00DF7C51">
      <w:pPr>
        <w:pStyle w:val="Caption"/>
        <w:keepNext/>
        <w:spacing w:before="0"/>
        <w:jc w:val="center"/>
        <w:rPr>
          <w:lang w:val="sr-Latn-RS"/>
        </w:rPr>
      </w:pPr>
      <w:r w:rsidRPr="00D06E2E">
        <w:rPr>
          <w:lang w:val="sr-Latn-RS"/>
        </w:rPr>
        <w:t xml:space="preserve">Table </w:t>
      </w:r>
      <w:r w:rsidR="00DF7C51" w:rsidRPr="00D06E2E">
        <w:rPr>
          <w:lang w:val="sr-Latn-RS"/>
        </w:rPr>
        <w:t xml:space="preserve">25 – </w:t>
      </w:r>
      <w:r w:rsidRPr="00D06E2E">
        <w:rPr>
          <w:lang w:val="sr-Latn-RS"/>
        </w:rPr>
        <w:t>The outcome of acting upon closed cases in 2023</w:t>
      </w:r>
    </w:p>
    <w:tbl>
      <w:tblPr>
        <w:tblW w:w="8967" w:type="dxa"/>
        <w:jc w:val="center"/>
        <w:tblBorders>
          <w:top w:val="single" w:sz="12" w:space="0" w:color="0070C0"/>
          <w:bottom w:val="single" w:sz="12" w:space="0" w:color="0070C0"/>
          <w:insideH w:val="single" w:sz="8" w:space="0" w:color="0070C0"/>
          <w:insideV w:val="single" w:sz="8" w:space="0" w:color="0070C0"/>
        </w:tblBorders>
        <w:tblLook w:val="04A0" w:firstRow="1" w:lastRow="0" w:firstColumn="1" w:lastColumn="0" w:noHBand="0" w:noVBand="1"/>
      </w:tblPr>
      <w:tblGrid>
        <w:gridCol w:w="6719"/>
        <w:gridCol w:w="1011"/>
        <w:gridCol w:w="1237"/>
      </w:tblGrid>
      <w:tr w:rsidR="00DF7C51" w:rsidRPr="00D06E2E" w14:paraId="0A0D469B"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12014A2A" w14:textId="77777777" w:rsidR="00DF7C51" w:rsidRPr="00D06E2E" w:rsidRDefault="00DF7C51" w:rsidP="00556F2C">
            <w:pPr>
              <w:spacing w:after="0"/>
              <w:rPr>
                <w:b/>
                <w:bCs/>
                <w:lang w:val="sr-Latn-RS"/>
              </w:rPr>
            </w:pPr>
          </w:p>
        </w:tc>
        <w:tc>
          <w:tcPr>
            <w:tcW w:w="708" w:type="dxa"/>
            <w:tcBorders>
              <w:top w:val="single" w:sz="2" w:space="0" w:color="0070C0"/>
              <w:bottom w:val="single" w:sz="2" w:space="0" w:color="0070C0"/>
            </w:tcBorders>
            <w:vAlign w:val="center"/>
          </w:tcPr>
          <w:p w14:paraId="5686F3D7" w14:textId="2806A6EC" w:rsidR="00DF7C51" w:rsidRPr="00D06E2E" w:rsidRDefault="007234DD" w:rsidP="00556F2C">
            <w:pPr>
              <w:jc w:val="center"/>
              <w:rPr>
                <w:b/>
                <w:bCs/>
                <w:lang w:val="sr-Latn-RS"/>
              </w:rPr>
            </w:pPr>
            <w:r w:rsidRPr="00D06E2E">
              <w:rPr>
                <w:b/>
                <w:bCs/>
                <w:lang w:val="sr-Latn-RS"/>
              </w:rPr>
              <w:t>number</w:t>
            </w:r>
          </w:p>
        </w:tc>
        <w:tc>
          <w:tcPr>
            <w:tcW w:w="1237" w:type="dxa"/>
            <w:tcBorders>
              <w:top w:val="single" w:sz="2" w:space="0" w:color="0070C0"/>
              <w:bottom w:val="single" w:sz="2" w:space="0" w:color="0070C0"/>
              <w:right w:val="single" w:sz="2" w:space="0" w:color="0070C0"/>
            </w:tcBorders>
            <w:noWrap/>
            <w:vAlign w:val="center"/>
          </w:tcPr>
          <w:p w14:paraId="12455CFE" w14:textId="7389CDB9" w:rsidR="00DF7C51" w:rsidRPr="00D06E2E" w:rsidRDefault="007234DD" w:rsidP="00556F2C">
            <w:pPr>
              <w:jc w:val="center"/>
              <w:rPr>
                <w:b/>
                <w:bCs/>
                <w:lang w:val="sr-Latn-RS"/>
              </w:rPr>
            </w:pPr>
            <w:r w:rsidRPr="00D06E2E">
              <w:rPr>
                <w:b/>
                <w:bCs/>
                <w:lang w:val="sr-Latn-RS"/>
              </w:rPr>
              <w:t>percent</w:t>
            </w:r>
          </w:p>
        </w:tc>
      </w:tr>
      <w:tr w:rsidR="00DF7C51" w:rsidRPr="00D06E2E" w14:paraId="60EF21FD"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3A5A62FA" w14:textId="007DA4F9" w:rsidR="00DF7C51" w:rsidRPr="00D06E2E" w:rsidRDefault="007234DD" w:rsidP="008F61B3">
            <w:pPr>
              <w:pStyle w:val="ListParagraph"/>
              <w:numPr>
                <w:ilvl w:val="0"/>
                <w:numId w:val="21"/>
              </w:numPr>
              <w:spacing w:after="0"/>
              <w:ind w:left="360"/>
              <w:contextualSpacing/>
              <w:rPr>
                <w:b/>
                <w:lang w:val="sr-Latn-RS"/>
              </w:rPr>
            </w:pPr>
            <w:r w:rsidRPr="00D06E2E">
              <w:rPr>
                <w:rFonts w:cstheme="minorHAnsi"/>
                <w:b/>
                <w:bCs/>
                <w:lang w:val="sr-Latn-RS"/>
              </w:rPr>
              <w:t>Inadmissible</w:t>
            </w:r>
            <w:r w:rsidRPr="00D06E2E">
              <w:rPr>
                <w:rFonts w:cstheme="minorHAnsi"/>
                <w:lang w:val="sr-Latn-RS"/>
              </w:rPr>
              <w:t xml:space="preserve"> </w:t>
            </w:r>
            <w:r w:rsidRPr="00D06E2E">
              <w:rPr>
                <w:b/>
                <w:lang w:val="sr-Latn-RS"/>
              </w:rPr>
              <w:t>complaints</w:t>
            </w:r>
          </w:p>
        </w:tc>
        <w:tc>
          <w:tcPr>
            <w:tcW w:w="708" w:type="dxa"/>
            <w:tcBorders>
              <w:top w:val="single" w:sz="2" w:space="0" w:color="0070C0"/>
              <w:bottom w:val="single" w:sz="2" w:space="0" w:color="0070C0"/>
            </w:tcBorders>
            <w:vAlign w:val="center"/>
          </w:tcPr>
          <w:p w14:paraId="3893F347" w14:textId="77777777" w:rsidR="00DF7C51" w:rsidRPr="00D06E2E" w:rsidRDefault="00DF7C51" w:rsidP="00556F2C">
            <w:pPr>
              <w:jc w:val="center"/>
              <w:rPr>
                <w:rFonts w:cs="Calibri"/>
                <w:b/>
                <w:color w:val="000000"/>
                <w:lang w:val="sr-Latn-RS"/>
              </w:rPr>
            </w:pPr>
            <w:r w:rsidRPr="00D06E2E">
              <w:rPr>
                <w:rFonts w:cs="Calibri"/>
                <w:b/>
                <w:color w:val="000000"/>
                <w:lang w:val="sr-Latn-RS"/>
              </w:rPr>
              <w:t>52</w:t>
            </w:r>
          </w:p>
        </w:tc>
        <w:tc>
          <w:tcPr>
            <w:tcW w:w="1237" w:type="dxa"/>
            <w:tcBorders>
              <w:top w:val="single" w:sz="2" w:space="0" w:color="0070C0"/>
              <w:bottom w:val="single" w:sz="2" w:space="0" w:color="0070C0"/>
              <w:right w:val="single" w:sz="2" w:space="0" w:color="0070C0"/>
            </w:tcBorders>
            <w:noWrap/>
            <w:vAlign w:val="center"/>
          </w:tcPr>
          <w:p w14:paraId="1EE8B832" w14:textId="1FC3F6DF" w:rsidR="00DF7C51" w:rsidRPr="00D06E2E" w:rsidRDefault="00DF7C51" w:rsidP="00556F2C">
            <w:pPr>
              <w:jc w:val="center"/>
              <w:rPr>
                <w:rFonts w:cs="Calibri"/>
                <w:b/>
                <w:color w:val="000000"/>
                <w:lang w:val="sr-Latn-RS"/>
              </w:rPr>
            </w:pPr>
            <w:r w:rsidRPr="00D06E2E">
              <w:rPr>
                <w:rFonts w:cs="Calibri"/>
                <w:b/>
                <w:color w:val="000000"/>
                <w:lang w:val="sr-Latn-RS"/>
              </w:rPr>
              <w:t>52</w:t>
            </w:r>
            <w:r w:rsidR="007234DD" w:rsidRPr="00D06E2E">
              <w:rPr>
                <w:rFonts w:cs="Calibri"/>
                <w:b/>
                <w:color w:val="000000"/>
                <w:lang w:val="sr-Latn-RS"/>
              </w:rPr>
              <w:t>.</w:t>
            </w:r>
            <w:r w:rsidRPr="00D06E2E">
              <w:rPr>
                <w:rFonts w:cs="Calibri"/>
                <w:b/>
                <w:color w:val="000000"/>
                <w:lang w:val="sr-Latn-RS"/>
              </w:rPr>
              <w:t>00%</w:t>
            </w:r>
          </w:p>
        </w:tc>
      </w:tr>
      <w:tr w:rsidR="00DF7C51" w:rsidRPr="00D06E2E" w14:paraId="410D9483"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50F7E038" w14:textId="065B05E0" w:rsidR="00DF7C51" w:rsidRPr="00D06E2E" w:rsidRDefault="007234DD" w:rsidP="008F61B3">
            <w:pPr>
              <w:pStyle w:val="ListParagraph"/>
              <w:numPr>
                <w:ilvl w:val="1"/>
                <w:numId w:val="21"/>
              </w:numPr>
              <w:spacing w:after="0"/>
              <w:ind w:left="462" w:hanging="425"/>
              <w:contextualSpacing/>
              <w:rPr>
                <w:lang w:val="sr-Latn-RS"/>
              </w:rPr>
            </w:pPr>
            <w:r w:rsidRPr="00D06E2E">
              <w:rPr>
                <w:lang w:val="sr-Latn-RS"/>
              </w:rPr>
              <w:t>Unused legal remedies</w:t>
            </w:r>
          </w:p>
        </w:tc>
        <w:tc>
          <w:tcPr>
            <w:tcW w:w="708" w:type="dxa"/>
            <w:tcBorders>
              <w:top w:val="single" w:sz="2" w:space="0" w:color="0070C0"/>
              <w:bottom w:val="single" w:sz="2" w:space="0" w:color="0070C0"/>
            </w:tcBorders>
            <w:vAlign w:val="center"/>
          </w:tcPr>
          <w:p w14:paraId="5061A11B" w14:textId="77777777" w:rsidR="00DF7C51" w:rsidRPr="00D06E2E" w:rsidRDefault="00DF7C51" w:rsidP="00556F2C">
            <w:pPr>
              <w:spacing w:after="0"/>
              <w:jc w:val="center"/>
              <w:rPr>
                <w:rFonts w:cs="Calibri"/>
                <w:color w:val="000000"/>
                <w:lang w:val="sr-Latn-RS"/>
              </w:rPr>
            </w:pPr>
            <w:r w:rsidRPr="00D06E2E">
              <w:rPr>
                <w:rFonts w:cs="Calibri"/>
                <w:color w:val="000000"/>
                <w:lang w:val="sr-Latn-RS"/>
              </w:rPr>
              <w:t>30</w:t>
            </w:r>
          </w:p>
        </w:tc>
        <w:tc>
          <w:tcPr>
            <w:tcW w:w="1237" w:type="dxa"/>
            <w:tcBorders>
              <w:top w:val="single" w:sz="2" w:space="0" w:color="0070C0"/>
              <w:bottom w:val="single" w:sz="2" w:space="0" w:color="0070C0"/>
              <w:right w:val="single" w:sz="2" w:space="0" w:color="0070C0"/>
            </w:tcBorders>
            <w:noWrap/>
            <w:vAlign w:val="center"/>
          </w:tcPr>
          <w:p w14:paraId="4C6E5DB4" w14:textId="25532442" w:rsidR="00DF7C51" w:rsidRPr="00D06E2E" w:rsidRDefault="007234DD" w:rsidP="00556F2C">
            <w:pPr>
              <w:spacing w:after="0"/>
              <w:jc w:val="center"/>
              <w:rPr>
                <w:rFonts w:cs="Calibri"/>
                <w:color w:val="000000"/>
                <w:lang w:val="sr-Latn-RS"/>
              </w:rPr>
            </w:pPr>
            <w:r w:rsidRPr="00D06E2E">
              <w:rPr>
                <w:rFonts w:cs="Calibri"/>
                <w:color w:val="000000"/>
                <w:lang w:val="sr-Latn-RS"/>
              </w:rPr>
              <w:t>57.</w:t>
            </w:r>
            <w:r w:rsidR="00DF7C51" w:rsidRPr="00D06E2E">
              <w:rPr>
                <w:rFonts w:cs="Calibri"/>
                <w:color w:val="000000"/>
                <w:lang w:val="sr-Latn-RS"/>
              </w:rPr>
              <w:t>69%</w:t>
            </w:r>
          </w:p>
        </w:tc>
      </w:tr>
      <w:tr w:rsidR="00DF7C51" w:rsidRPr="00D06E2E" w14:paraId="3875F0DC"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4107426D" w14:textId="2B3A6672" w:rsidR="00DF7C51" w:rsidRPr="00D06E2E" w:rsidRDefault="007234DD" w:rsidP="008F61B3">
            <w:pPr>
              <w:pStyle w:val="ListParagraph"/>
              <w:numPr>
                <w:ilvl w:val="1"/>
                <w:numId w:val="21"/>
              </w:numPr>
              <w:spacing w:after="0"/>
              <w:ind w:left="462" w:hanging="425"/>
              <w:contextualSpacing/>
              <w:rPr>
                <w:lang w:val="sr-Latn-RS"/>
              </w:rPr>
            </w:pPr>
            <w:r w:rsidRPr="00D06E2E">
              <w:rPr>
                <w:lang w:val="sr-Latn-RS"/>
              </w:rPr>
              <w:t>Incompetence</w:t>
            </w:r>
          </w:p>
        </w:tc>
        <w:tc>
          <w:tcPr>
            <w:tcW w:w="708" w:type="dxa"/>
            <w:tcBorders>
              <w:top w:val="single" w:sz="2" w:space="0" w:color="0070C0"/>
              <w:bottom w:val="single" w:sz="2" w:space="0" w:color="0070C0"/>
            </w:tcBorders>
            <w:vAlign w:val="center"/>
          </w:tcPr>
          <w:p w14:paraId="4E8C2B76" w14:textId="77777777" w:rsidR="00DF7C51" w:rsidRPr="00D06E2E" w:rsidRDefault="00DF7C51" w:rsidP="00556F2C">
            <w:pPr>
              <w:spacing w:after="0"/>
              <w:jc w:val="center"/>
              <w:rPr>
                <w:rFonts w:cs="Calibri"/>
                <w:color w:val="000000"/>
                <w:lang w:val="sr-Latn-RS"/>
              </w:rPr>
            </w:pPr>
            <w:r w:rsidRPr="00D06E2E">
              <w:rPr>
                <w:rFonts w:cs="Calibri"/>
                <w:color w:val="000000"/>
                <w:lang w:val="sr-Latn-RS"/>
              </w:rPr>
              <w:t>9</w:t>
            </w:r>
          </w:p>
        </w:tc>
        <w:tc>
          <w:tcPr>
            <w:tcW w:w="1237" w:type="dxa"/>
            <w:tcBorders>
              <w:top w:val="single" w:sz="2" w:space="0" w:color="0070C0"/>
              <w:bottom w:val="single" w:sz="2" w:space="0" w:color="0070C0"/>
              <w:right w:val="single" w:sz="2" w:space="0" w:color="0070C0"/>
            </w:tcBorders>
            <w:noWrap/>
            <w:vAlign w:val="center"/>
          </w:tcPr>
          <w:p w14:paraId="726C1BDD" w14:textId="6AA4F8E6" w:rsidR="00DF7C51" w:rsidRPr="00D06E2E" w:rsidRDefault="007234DD" w:rsidP="00556F2C">
            <w:pPr>
              <w:spacing w:after="0"/>
              <w:jc w:val="center"/>
              <w:rPr>
                <w:rFonts w:cs="Calibri"/>
                <w:color w:val="000000"/>
                <w:lang w:val="sr-Latn-RS"/>
              </w:rPr>
            </w:pPr>
            <w:r w:rsidRPr="00D06E2E">
              <w:rPr>
                <w:rFonts w:cs="Calibri"/>
                <w:color w:val="000000"/>
                <w:lang w:val="sr-Latn-RS"/>
              </w:rPr>
              <w:t>17.</w:t>
            </w:r>
            <w:r w:rsidR="00DF7C51" w:rsidRPr="00D06E2E">
              <w:rPr>
                <w:rFonts w:cs="Calibri"/>
                <w:color w:val="000000"/>
                <w:lang w:val="sr-Latn-RS"/>
              </w:rPr>
              <w:t>31%</w:t>
            </w:r>
          </w:p>
        </w:tc>
      </w:tr>
      <w:tr w:rsidR="00DF7C51" w:rsidRPr="00D06E2E" w14:paraId="7B8E585A"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1FA60044" w14:textId="0AB7D808" w:rsidR="00DF7C51" w:rsidRPr="00D06E2E" w:rsidRDefault="007234DD" w:rsidP="008F61B3">
            <w:pPr>
              <w:pStyle w:val="ListParagraph"/>
              <w:numPr>
                <w:ilvl w:val="1"/>
                <w:numId w:val="21"/>
              </w:numPr>
              <w:spacing w:after="0"/>
              <w:ind w:left="462" w:hanging="425"/>
              <w:contextualSpacing/>
              <w:rPr>
                <w:lang w:val="sr-Latn-RS"/>
              </w:rPr>
            </w:pPr>
            <w:r w:rsidRPr="00D06E2E">
              <w:rPr>
                <w:lang w:val="sr-Latn-RS"/>
              </w:rPr>
              <w:t>Formally deficient complaint</w:t>
            </w:r>
          </w:p>
        </w:tc>
        <w:tc>
          <w:tcPr>
            <w:tcW w:w="708" w:type="dxa"/>
            <w:tcBorders>
              <w:top w:val="single" w:sz="2" w:space="0" w:color="0070C0"/>
              <w:bottom w:val="single" w:sz="2" w:space="0" w:color="0070C0"/>
            </w:tcBorders>
            <w:vAlign w:val="center"/>
          </w:tcPr>
          <w:p w14:paraId="3E64EA19" w14:textId="77777777" w:rsidR="00DF7C51" w:rsidRPr="00D06E2E" w:rsidRDefault="00DF7C51" w:rsidP="00556F2C">
            <w:pPr>
              <w:spacing w:after="0"/>
              <w:jc w:val="center"/>
              <w:rPr>
                <w:rFonts w:cs="Calibri"/>
                <w:color w:val="000000"/>
                <w:lang w:val="sr-Latn-RS"/>
              </w:rPr>
            </w:pPr>
            <w:r w:rsidRPr="00D06E2E">
              <w:rPr>
                <w:rFonts w:cs="Calibri"/>
                <w:color w:val="000000"/>
                <w:lang w:val="sr-Latn-RS"/>
              </w:rPr>
              <w:t>8</w:t>
            </w:r>
          </w:p>
        </w:tc>
        <w:tc>
          <w:tcPr>
            <w:tcW w:w="1237" w:type="dxa"/>
            <w:tcBorders>
              <w:top w:val="single" w:sz="2" w:space="0" w:color="0070C0"/>
              <w:bottom w:val="single" w:sz="2" w:space="0" w:color="0070C0"/>
              <w:right w:val="single" w:sz="2" w:space="0" w:color="0070C0"/>
            </w:tcBorders>
            <w:noWrap/>
            <w:vAlign w:val="center"/>
          </w:tcPr>
          <w:p w14:paraId="4075A02B" w14:textId="01CA0606" w:rsidR="00DF7C51" w:rsidRPr="00D06E2E" w:rsidRDefault="00DF7C51" w:rsidP="00556F2C">
            <w:pPr>
              <w:spacing w:after="0"/>
              <w:jc w:val="center"/>
              <w:rPr>
                <w:rFonts w:cs="Calibri"/>
                <w:color w:val="000000"/>
                <w:lang w:val="sr-Latn-RS"/>
              </w:rPr>
            </w:pPr>
            <w:r w:rsidRPr="00D06E2E">
              <w:rPr>
                <w:rFonts w:cs="Calibri"/>
                <w:color w:val="000000"/>
                <w:lang w:val="sr-Latn-RS"/>
              </w:rPr>
              <w:t>15</w:t>
            </w:r>
            <w:r w:rsidR="007234DD" w:rsidRPr="00D06E2E">
              <w:rPr>
                <w:rFonts w:cs="Calibri"/>
                <w:color w:val="000000"/>
                <w:lang w:val="sr-Latn-RS"/>
              </w:rPr>
              <w:t>.</w:t>
            </w:r>
            <w:r w:rsidRPr="00D06E2E">
              <w:rPr>
                <w:rFonts w:cs="Calibri"/>
                <w:color w:val="000000"/>
                <w:lang w:val="sr-Latn-RS"/>
              </w:rPr>
              <w:t>38%</w:t>
            </w:r>
          </w:p>
        </w:tc>
      </w:tr>
      <w:tr w:rsidR="00DF7C51" w:rsidRPr="00D06E2E" w14:paraId="5AA666D4"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1EE06085" w14:textId="6E0BA258" w:rsidR="00DF7C51" w:rsidRPr="00D06E2E" w:rsidRDefault="007234DD" w:rsidP="008F61B3">
            <w:pPr>
              <w:pStyle w:val="ListParagraph"/>
              <w:numPr>
                <w:ilvl w:val="1"/>
                <w:numId w:val="21"/>
              </w:numPr>
              <w:spacing w:after="0"/>
              <w:ind w:left="462" w:hanging="425"/>
              <w:contextualSpacing/>
              <w:rPr>
                <w:lang w:val="sr-Latn-RS"/>
              </w:rPr>
            </w:pPr>
            <w:r w:rsidRPr="00D06E2E">
              <w:rPr>
                <w:lang w:val="sr-Latn-RS"/>
              </w:rPr>
              <w:t>Unauthorized complainant</w:t>
            </w:r>
          </w:p>
        </w:tc>
        <w:tc>
          <w:tcPr>
            <w:tcW w:w="708" w:type="dxa"/>
            <w:tcBorders>
              <w:top w:val="single" w:sz="2" w:space="0" w:color="0070C0"/>
              <w:bottom w:val="single" w:sz="2" w:space="0" w:color="0070C0"/>
            </w:tcBorders>
            <w:vAlign w:val="center"/>
          </w:tcPr>
          <w:p w14:paraId="20E3907B" w14:textId="77777777" w:rsidR="00DF7C51" w:rsidRPr="00D06E2E" w:rsidRDefault="00DF7C51" w:rsidP="00556F2C">
            <w:pPr>
              <w:spacing w:after="0"/>
              <w:jc w:val="center"/>
              <w:rPr>
                <w:rFonts w:cs="Calibri"/>
                <w:color w:val="000000"/>
                <w:lang w:val="sr-Latn-RS"/>
              </w:rPr>
            </w:pPr>
            <w:r w:rsidRPr="00D06E2E">
              <w:rPr>
                <w:rFonts w:cs="Calibri"/>
                <w:color w:val="000000"/>
                <w:lang w:val="sr-Latn-RS"/>
              </w:rPr>
              <w:t>3</w:t>
            </w:r>
          </w:p>
        </w:tc>
        <w:tc>
          <w:tcPr>
            <w:tcW w:w="1237" w:type="dxa"/>
            <w:tcBorders>
              <w:top w:val="single" w:sz="2" w:space="0" w:color="0070C0"/>
              <w:bottom w:val="single" w:sz="2" w:space="0" w:color="0070C0"/>
              <w:right w:val="single" w:sz="2" w:space="0" w:color="0070C0"/>
            </w:tcBorders>
            <w:noWrap/>
            <w:vAlign w:val="center"/>
          </w:tcPr>
          <w:p w14:paraId="552A8112" w14:textId="7774A0A6" w:rsidR="00DF7C51" w:rsidRPr="00D06E2E" w:rsidRDefault="007234DD" w:rsidP="00556F2C">
            <w:pPr>
              <w:spacing w:after="0"/>
              <w:jc w:val="center"/>
              <w:rPr>
                <w:rFonts w:cs="Calibri"/>
                <w:color w:val="000000"/>
                <w:lang w:val="sr-Latn-RS"/>
              </w:rPr>
            </w:pPr>
            <w:r w:rsidRPr="00D06E2E">
              <w:rPr>
                <w:rFonts w:cs="Calibri"/>
                <w:color w:val="000000"/>
                <w:lang w:val="sr-Latn-RS"/>
              </w:rPr>
              <w:t>5.</w:t>
            </w:r>
            <w:r w:rsidR="00DF7C51" w:rsidRPr="00D06E2E">
              <w:rPr>
                <w:rFonts w:cs="Calibri"/>
                <w:color w:val="000000"/>
                <w:lang w:val="sr-Latn-RS"/>
              </w:rPr>
              <w:t>77%</w:t>
            </w:r>
          </w:p>
        </w:tc>
      </w:tr>
      <w:tr w:rsidR="00DF7C51" w:rsidRPr="00D06E2E" w14:paraId="29D9C358"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3CC3C44F" w14:textId="248D8182" w:rsidR="00DF7C51" w:rsidRPr="00D06E2E" w:rsidRDefault="007234DD" w:rsidP="008F61B3">
            <w:pPr>
              <w:pStyle w:val="ListParagraph"/>
              <w:numPr>
                <w:ilvl w:val="1"/>
                <w:numId w:val="21"/>
              </w:numPr>
              <w:spacing w:after="0"/>
              <w:ind w:left="462" w:hanging="425"/>
              <w:contextualSpacing/>
              <w:rPr>
                <w:lang w:val="sr-Latn-RS"/>
              </w:rPr>
            </w:pPr>
            <w:r w:rsidRPr="00D06E2E">
              <w:rPr>
                <w:lang w:val="sr-Latn-RS"/>
              </w:rPr>
              <w:t>Untimeliness</w:t>
            </w:r>
          </w:p>
        </w:tc>
        <w:tc>
          <w:tcPr>
            <w:tcW w:w="708" w:type="dxa"/>
            <w:tcBorders>
              <w:top w:val="single" w:sz="2" w:space="0" w:color="0070C0"/>
              <w:bottom w:val="single" w:sz="2" w:space="0" w:color="0070C0"/>
            </w:tcBorders>
            <w:vAlign w:val="center"/>
          </w:tcPr>
          <w:p w14:paraId="3D4ED6C0" w14:textId="77777777" w:rsidR="00DF7C51" w:rsidRPr="00D06E2E" w:rsidRDefault="00DF7C51" w:rsidP="00556F2C">
            <w:pPr>
              <w:spacing w:after="0"/>
              <w:jc w:val="center"/>
              <w:rPr>
                <w:rFonts w:cs="Calibri"/>
                <w:color w:val="000000"/>
                <w:lang w:val="sr-Latn-RS"/>
              </w:rPr>
            </w:pPr>
            <w:r w:rsidRPr="00D06E2E">
              <w:rPr>
                <w:rFonts w:cs="Calibri"/>
                <w:color w:val="000000"/>
                <w:lang w:val="sr-Latn-RS"/>
              </w:rPr>
              <w:t>1</w:t>
            </w:r>
          </w:p>
        </w:tc>
        <w:tc>
          <w:tcPr>
            <w:tcW w:w="1237" w:type="dxa"/>
            <w:tcBorders>
              <w:top w:val="single" w:sz="2" w:space="0" w:color="0070C0"/>
              <w:bottom w:val="single" w:sz="2" w:space="0" w:color="0070C0"/>
              <w:right w:val="single" w:sz="2" w:space="0" w:color="0070C0"/>
            </w:tcBorders>
            <w:noWrap/>
            <w:vAlign w:val="center"/>
          </w:tcPr>
          <w:p w14:paraId="14916B9B" w14:textId="2450892D" w:rsidR="00DF7C51" w:rsidRPr="00D06E2E" w:rsidRDefault="007234DD" w:rsidP="00556F2C">
            <w:pPr>
              <w:spacing w:after="0"/>
              <w:jc w:val="center"/>
              <w:rPr>
                <w:rFonts w:cs="Calibri"/>
                <w:color w:val="000000"/>
                <w:lang w:val="sr-Latn-RS"/>
              </w:rPr>
            </w:pPr>
            <w:r w:rsidRPr="00D06E2E">
              <w:rPr>
                <w:rFonts w:cs="Calibri"/>
                <w:color w:val="000000"/>
                <w:lang w:val="sr-Latn-RS"/>
              </w:rPr>
              <w:t>1.</w:t>
            </w:r>
            <w:r w:rsidR="00DF7C51" w:rsidRPr="00D06E2E">
              <w:rPr>
                <w:rFonts w:cs="Calibri"/>
                <w:color w:val="000000"/>
                <w:lang w:val="sr-Latn-RS"/>
              </w:rPr>
              <w:t>92%</w:t>
            </w:r>
          </w:p>
        </w:tc>
      </w:tr>
      <w:tr w:rsidR="00DF7C51" w:rsidRPr="00D06E2E" w14:paraId="7EFF5D73"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2227DCFD" w14:textId="472E3C72" w:rsidR="00DF7C51" w:rsidRPr="00D06E2E" w:rsidRDefault="007234DD" w:rsidP="008F61B3">
            <w:pPr>
              <w:pStyle w:val="ListParagraph"/>
              <w:numPr>
                <w:ilvl w:val="1"/>
                <w:numId w:val="21"/>
              </w:numPr>
              <w:spacing w:after="0"/>
              <w:ind w:left="462" w:hanging="425"/>
              <w:contextualSpacing/>
              <w:rPr>
                <w:lang w:val="sr-Latn-RS"/>
              </w:rPr>
            </w:pPr>
            <w:r w:rsidRPr="00D06E2E">
              <w:rPr>
                <w:lang w:val="sr-Latn-RS"/>
              </w:rPr>
              <w:t>Anonymous complaint</w:t>
            </w:r>
          </w:p>
        </w:tc>
        <w:tc>
          <w:tcPr>
            <w:tcW w:w="708" w:type="dxa"/>
            <w:tcBorders>
              <w:top w:val="single" w:sz="2" w:space="0" w:color="0070C0"/>
              <w:bottom w:val="single" w:sz="2" w:space="0" w:color="0070C0"/>
            </w:tcBorders>
            <w:vAlign w:val="center"/>
          </w:tcPr>
          <w:p w14:paraId="6E559D77" w14:textId="77777777" w:rsidR="00DF7C51" w:rsidRPr="00D06E2E" w:rsidRDefault="00DF7C51" w:rsidP="00556F2C">
            <w:pPr>
              <w:spacing w:after="0"/>
              <w:jc w:val="center"/>
              <w:rPr>
                <w:rFonts w:cs="Calibri"/>
                <w:color w:val="000000"/>
                <w:lang w:val="sr-Latn-RS"/>
              </w:rPr>
            </w:pPr>
            <w:r w:rsidRPr="00D06E2E">
              <w:rPr>
                <w:rFonts w:cs="Calibri"/>
                <w:color w:val="000000"/>
                <w:lang w:val="sr-Latn-RS"/>
              </w:rPr>
              <w:t>1</w:t>
            </w:r>
          </w:p>
        </w:tc>
        <w:tc>
          <w:tcPr>
            <w:tcW w:w="1237" w:type="dxa"/>
            <w:tcBorders>
              <w:top w:val="single" w:sz="2" w:space="0" w:color="0070C0"/>
              <w:bottom w:val="single" w:sz="2" w:space="0" w:color="0070C0"/>
              <w:right w:val="single" w:sz="2" w:space="0" w:color="0070C0"/>
            </w:tcBorders>
            <w:noWrap/>
            <w:vAlign w:val="center"/>
          </w:tcPr>
          <w:p w14:paraId="6586C9FA" w14:textId="4101B6FF" w:rsidR="00DF7C51" w:rsidRPr="00D06E2E" w:rsidRDefault="007234DD" w:rsidP="00556F2C">
            <w:pPr>
              <w:spacing w:after="0"/>
              <w:jc w:val="center"/>
              <w:rPr>
                <w:rFonts w:cs="Calibri"/>
                <w:color w:val="000000"/>
                <w:lang w:val="sr-Latn-RS"/>
              </w:rPr>
            </w:pPr>
            <w:r w:rsidRPr="00D06E2E">
              <w:rPr>
                <w:rFonts w:cs="Calibri"/>
                <w:color w:val="000000"/>
                <w:lang w:val="sr-Latn-RS"/>
              </w:rPr>
              <w:t>1.</w:t>
            </w:r>
            <w:r w:rsidR="00DF7C51" w:rsidRPr="00D06E2E">
              <w:rPr>
                <w:rFonts w:cs="Calibri"/>
                <w:color w:val="000000"/>
                <w:lang w:val="sr-Latn-RS"/>
              </w:rPr>
              <w:t>92%</w:t>
            </w:r>
          </w:p>
        </w:tc>
      </w:tr>
      <w:tr w:rsidR="00DF7C51" w:rsidRPr="00D06E2E" w14:paraId="79C48ED3"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25B0F89E" w14:textId="5077C1D9" w:rsidR="00DF7C51" w:rsidRPr="00D06E2E" w:rsidRDefault="004C6D26" w:rsidP="008F61B3">
            <w:pPr>
              <w:pStyle w:val="ListParagraph"/>
              <w:numPr>
                <w:ilvl w:val="0"/>
                <w:numId w:val="21"/>
              </w:numPr>
              <w:spacing w:after="0"/>
              <w:ind w:left="360"/>
              <w:contextualSpacing/>
              <w:rPr>
                <w:b/>
                <w:lang w:val="sr-Latn-RS"/>
              </w:rPr>
            </w:pPr>
            <w:r w:rsidRPr="00D06E2E">
              <w:rPr>
                <w:b/>
                <w:lang w:val="sr-Latn-RS"/>
              </w:rPr>
              <w:lastRenderedPageBreak/>
              <w:t>Unfounded complaints</w:t>
            </w:r>
          </w:p>
        </w:tc>
        <w:tc>
          <w:tcPr>
            <w:tcW w:w="708" w:type="dxa"/>
            <w:tcBorders>
              <w:top w:val="single" w:sz="2" w:space="0" w:color="0070C0"/>
              <w:bottom w:val="single" w:sz="2" w:space="0" w:color="0070C0"/>
            </w:tcBorders>
            <w:vAlign w:val="center"/>
          </w:tcPr>
          <w:p w14:paraId="113E9859" w14:textId="77777777" w:rsidR="00DF7C51" w:rsidRPr="00D06E2E" w:rsidRDefault="00DF7C51" w:rsidP="00556F2C">
            <w:pPr>
              <w:spacing w:after="0"/>
              <w:jc w:val="center"/>
              <w:rPr>
                <w:rFonts w:cs="Calibri"/>
                <w:b/>
                <w:color w:val="000000"/>
                <w:lang w:val="sr-Latn-RS"/>
              </w:rPr>
            </w:pPr>
            <w:r w:rsidRPr="00D06E2E">
              <w:rPr>
                <w:rFonts w:cs="Calibri"/>
                <w:b/>
                <w:color w:val="000000"/>
                <w:lang w:val="sr-Latn-RS"/>
              </w:rPr>
              <w:t>19</w:t>
            </w:r>
          </w:p>
        </w:tc>
        <w:tc>
          <w:tcPr>
            <w:tcW w:w="1237" w:type="dxa"/>
            <w:tcBorders>
              <w:top w:val="single" w:sz="2" w:space="0" w:color="0070C0"/>
              <w:bottom w:val="single" w:sz="2" w:space="0" w:color="0070C0"/>
              <w:right w:val="single" w:sz="2" w:space="0" w:color="0070C0"/>
            </w:tcBorders>
            <w:noWrap/>
            <w:vAlign w:val="center"/>
          </w:tcPr>
          <w:p w14:paraId="296744BB" w14:textId="47890E57" w:rsidR="00DF7C51" w:rsidRPr="00D06E2E" w:rsidRDefault="00DF7C51" w:rsidP="00556F2C">
            <w:pPr>
              <w:spacing w:after="0"/>
              <w:jc w:val="center"/>
              <w:rPr>
                <w:rFonts w:cs="Calibri"/>
                <w:b/>
                <w:color w:val="000000"/>
                <w:lang w:val="sr-Latn-RS"/>
              </w:rPr>
            </w:pPr>
            <w:r w:rsidRPr="00D06E2E">
              <w:rPr>
                <w:rFonts w:cs="Calibri"/>
                <w:b/>
                <w:color w:val="000000"/>
                <w:lang w:val="sr-Latn-RS"/>
              </w:rPr>
              <w:t>19</w:t>
            </w:r>
            <w:r w:rsidR="007234DD" w:rsidRPr="00D06E2E">
              <w:rPr>
                <w:rFonts w:cs="Calibri"/>
                <w:b/>
                <w:color w:val="000000"/>
                <w:lang w:val="sr-Latn-RS"/>
              </w:rPr>
              <w:t>.</w:t>
            </w:r>
            <w:r w:rsidRPr="00D06E2E">
              <w:rPr>
                <w:rFonts w:cs="Calibri"/>
                <w:b/>
                <w:color w:val="000000"/>
                <w:lang w:val="sr-Latn-RS"/>
              </w:rPr>
              <w:t>00%</w:t>
            </w:r>
          </w:p>
        </w:tc>
      </w:tr>
      <w:tr w:rsidR="00DF7C51" w:rsidRPr="00D06E2E" w14:paraId="578E16FE"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04A82D24" w14:textId="1C8F0C1A" w:rsidR="00DF7C51" w:rsidRPr="00D06E2E" w:rsidRDefault="004C6D26" w:rsidP="008F61B3">
            <w:pPr>
              <w:pStyle w:val="ListParagraph"/>
              <w:numPr>
                <w:ilvl w:val="0"/>
                <w:numId w:val="21"/>
              </w:numPr>
              <w:spacing w:after="0"/>
              <w:ind w:left="360"/>
              <w:contextualSpacing/>
              <w:rPr>
                <w:b/>
                <w:lang w:val="sr-Latn-RS"/>
              </w:rPr>
            </w:pPr>
            <w:r w:rsidRPr="00D06E2E">
              <w:rPr>
                <w:b/>
                <w:lang w:val="sr-Latn-RS"/>
              </w:rPr>
              <w:t>Cases closed by recommendations from the expedited oversight procedure</w:t>
            </w:r>
          </w:p>
        </w:tc>
        <w:tc>
          <w:tcPr>
            <w:tcW w:w="708" w:type="dxa"/>
            <w:tcBorders>
              <w:top w:val="single" w:sz="2" w:space="0" w:color="0070C0"/>
              <w:bottom w:val="single" w:sz="2" w:space="0" w:color="0070C0"/>
            </w:tcBorders>
            <w:vAlign w:val="center"/>
          </w:tcPr>
          <w:p w14:paraId="42D8748D" w14:textId="77777777" w:rsidR="00DF7C51" w:rsidRPr="00D06E2E" w:rsidRDefault="00DF7C51" w:rsidP="00556F2C">
            <w:pPr>
              <w:spacing w:after="0"/>
              <w:jc w:val="center"/>
              <w:rPr>
                <w:rFonts w:cs="Calibri"/>
                <w:b/>
                <w:color w:val="000000"/>
                <w:lang w:val="sr-Latn-RS"/>
              </w:rPr>
            </w:pPr>
            <w:r w:rsidRPr="00D06E2E">
              <w:rPr>
                <w:rFonts w:cs="Calibri"/>
                <w:b/>
                <w:color w:val="000000"/>
                <w:lang w:val="sr-Latn-RS"/>
              </w:rPr>
              <w:t>11</w:t>
            </w:r>
          </w:p>
        </w:tc>
        <w:tc>
          <w:tcPr>
            <w:tcW w:w="1237" w:type="dxa"/>
            <w:tcBorders>
              <w:top w:val="single" w:sz="2" w:space="0" w:color="0070C0"/>
              <w:bottom w:val="single" w:sz="2" w:space="0" w:color="0070C0"/>
              <w:right w:val="single" w:sz="2" w:space="0" w:color="0070C0"/>
            </w:tcBorders>
            <w:noWrap/>
            <w:vAlign w:val="center"/>
          </w:tcPr>
          <w:p w14:paraId="04FC2117" w14:textId="7D167D34" w:rsidR="00DF7C51" w:rsidRPr="00D06E2E" w:rsidRDefault="00DF7C51" w:rsidP="00556F2C">
            <w:pPr>
              <w:spacing w:after="0"/>
              <w:jc w:val="center"/>
              <w:rPr>
                <w:rFonts w:cs="Calibri"/>
                <w:b/>
                <w:color w:val="000000"/>
                <w:lang w:val="sr-Latn-RS"/>
              </w:rPr>
            </w:pPr>
            <w:r w:rsidRPr="00D06E2E">
              <w:rPr>
                <w:rFonts w:cs="Calibri"/>
                <w:b/>
                <w:color w:val="000000"/>
                <w:lang w:val="sr-Latn-RS"/>
              </w:rPr>
              <w:t>11</w:t>
            </w:r>
            <w:r w:rsidR="007234DD" w:rsidRPr="00D06E2E">
              <w:rPr>
                <w:rFonts w:cs="Calibri"/>
                <w:b/>
                <w:color w:val="000000"/>
                <w:lang w:val="sr-Latn-RS"/>
              </w:rPr>
              <w:t>.</w:t>
            </w:r>
            <w:r w:rsidRPr="00D06E2E">
              <w:rPr>
                <w:rFonts w:cs="Calibri"/>
                <w:b/>
                <w:color w:val="000000"/>
                <w:lang w:val="sr-Latn-RS"/>
              </w:rPr>
              <w:t>00%</w:t>
            </w:r>
          </w:p>
        </w:tc>
      </w:tr>
      <w:tr w:rsidR="00DF7C51" w:rsidRPr="00D06E2E" w14:paraId="713D90CA"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0114EB7D" w14:textId="42B83A22" w:rsidR="00DF7C51" w:rsidRPr="00D06E2E" w:rsidRDefault="004C6D26" w:rsidP="008F61B3">
            <w:pPr>
              <w:pStyle w:val="ListParagraph"/>
              <w:numPr>
                <w:ilvl w:val="0"/>
                <w:numId w:val="21"/>
              </w:numPr>
              <w:spacing w:after="0"/>
              <w:ind w:left="360"/>
              <w:contextualSpacing/>
              <w:rPr>
                <w:b/>
                <w:lang w:val="sr-Latn-RS"/>
              </w:rPr>
            </w:pPr>
            <w:r w:rsidRPr="00D06E2E">
              <w:rPr>
                <w:b/>
                <w:lang w:val="sr-Latn-RS"/>
              </w:rPr>
              <w:t>Informed and advised complainant</w:t>
            </w:r>
          </w:p>
        </w:tc>
        <w:tc>
          <w:tcPr>
            <w:tcW w:w="708" w:type="dxa"/>
            <w:tcBorders>
              <w:top w:val="single" w:sz="2" w:space="0" w:color="0070C0"/>
              <w:bottom w:val="single" w:sz="2" w:space="0" w:color="0070C0"/>
            </w:tcBorders>
            <w:vAlign w:val="center"/>
          </w:tcPr>
          <w:p w14:paraId="1A9ACC64" w14:textId="77777777" w:rsidR="00DF7C51" w:rsidRPr="00D06E2E" w:rsidRDefault="00DF7C51" w:rsidP="00556F2C">
            <w:pPr>
              <w:spacing w:after="0"/>
              <w:jc w:val="center"/>
              <w:rPr>
                <w:rFonts w:cs="Calibri"/>
                <w:b/>
                <w:color w:val="000000"/>
                <w:lang w:val="sr-Latn-RS"/>
              </w:rPr>
            </w:pPr>
            <w:r w:rsidRPr="00D06E2E">
              <w:rPr>
                <w:rFonts w:cs="Calibri"/>
                <w:b/>
                <w:color w:val="000000"/>
                <w:lang w:val="sr-Latn-RS"/>
              </w:rPr>
              <w:t>8</w:t>
            </w:r>
          </w:p>
        </w:tc>
        <w:tc>
          <w:tcPr>
            <w:tcW w:w="1237" w:type="dxa"/>
            <w:tcBorders>
              <w:top w:val="single" w:sz="2" w:space="0" w:color="0070C0"/>
              <w:bottom w:val="single" w:sz="2" w:space="0" w:color="0070C0"/>
              <w:right w:val="single" w:sz="2" w:space="0" w:color="0070C0"/>
            </w:tcBorders>
            <w:noWrap/>
            <w:vAlign w:val="center"/>
          </w:tcPr>
          <w:p w14:paraId="3F9FD1BA" w14:textId="431B94EE" w:rsidR="00DF7C51" w:rsidRPr="00D06E2E" w:rsidRDefault="00DF7C51" w:rsidP="00556F2C">
            <w:pPr>
              <w:spacing w:after="0"/>
              <w:jc w:val="center"/>
              <w:rPr>
                <w:rFonts w:cs="Calibri"/>
                <w:b/>
                <w:color w:val="000000"/>
                <w:lang w:val="sr-Latn-RS"/>
              </w:rPr>
            </w:pPr>
            <w:r w:rsidRPr="00D06E2E">
              <w:rPr>
                <w:rFonts w:cs="Calibri"/>
                <w:b/>
                <w:color w:val="000000"/>
                <w:lang w:val="sr-Latn-RS"/>
              </w:rPr>
              <w:t>8</w:t>
            </w:r>
            <w:r w:rsidR="007234DD" w:rsidRPr="00D06E2E">
              <w:rPr>
                <w:rFonts w:cs="Calibri"/>
                <w:b/>
                <w:color w:val="000000"/>
                <w:lang w:val="sr-Latn-RS"/>
              </w:rPr>
              <w:t>.</w:t>
            </w:r>
            <w:r w:rsidRPr="00D06E2E">
              <w:rPr>
                <w:rFonts w:cs="Calibri"/>
                <w:b/>
                <w:color w:val="000000"/>
                <w:lang w:val="sr-Latn-RS"/>
              </w:rPr>
              <w:t>00%</w:t>
            </w:r>
          </w:p>
        </w:tc>
      </w:tr>
      <w:tr w:rsidR="00DF7C51" w:rsidRPr="00D06E2E" w14:paraId="04A0DB92"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61E8912A" w14:textId="19B5F0D4" w:rsidR="00DF7C51" w:rsidRPr="00D06E2E" w:rsidRDefault="004C6D26" w:rsidP="008F61B3">
            <w:pPr>
              <w:pStyle w:val="ListParagraph"/>
              <w:numPr>
                <w:ilvl w:val="0"/>
                <w:numId w:val="21"/>
              </w:numPr>
              <w:spacing w:after="0"/>
              <w:ind w:left="360"/>
              <w:contextualSpacing/>
              <w:rPr>
                <w:b/>
                <w:lang w:val="sr-Latn-RS"/>
              </w:rPr>
            </w:pPr>
            <w:r w:rsidRPr="00D06E2E">
              <w:rPr>
                <w:b/>
                <w:lang w:val="sr-Latn-RS"/>
              </w:rPr>
              <w:t>Withdrawal of the complainant</w:t>
            </w:r>
          </w:p>
        </w:tc>
        <w:tc>
          <w:tcPr>
            <w:tcW w:w="708" w:type="dxa"/>
            <w:tcBorders>
              <w:top w:val="single" w:sz="2" w:space="0" w:color="0070C0"/>
              <w:bottom w:val="single" w:sz="2" w:space="0" w:color="0070C0"/>
            </w:tcBorders>
            <w:vAlign w:val="center"/>
          </w:tcPr>
          <w:p w14:paraId="3215D4CC" w14:textId="77777777" w:rsidR="00DF7C51" w:rsidRPr="00D06E2E" w:rsidRDefault="00DF7C51" w:rsidP="00556F2C">
            <w:pPr>
              <w:spacing w:after="0"/>
              <w:jc w:val="center"/>
              <w:rPr>
                <w:rFonts w:cs="Calibri"/>
                <w:b/>
                <w:color w:val="000000"/>
                <w:lang w:val="sr-Latn-RS"/>
              </w:rPr>
            </w:pPr>
            <w:r w:rsidRPr="00D06E2E">
              <w:rPr>
                <w:rFonts w:cs="Calibri"/>
                <w:b/>
                <w:color w:val="000000"/>
                <w:lang w:val="sr-Latn-RS"/>
              </w:rPr>
              <w:t>5</w:t>
            </w:r>
          </w:p>
        </w:tc>
        <w:tc>
          <w:tcPr>
            <w:tcW w:w="1237" w:type="dxa"/>
            <w:tcBorders>
              <w:top w:val="single" w:sz="2" w:space="0" w:color="0070C0"/>
              <w:bottom w:val="single" w:sz="2" w:space="0" w:color="0070C0"/>
              <w:right w:val="single" w:sz="2" w:space="0" w:color="0070C0"/>
            </w:tcBorders>
            <w:noWrap/>
            <w:vAlign w:val="center"/>
          </w:tcPr>
          <w:p w14:paraId="0A91561A" w14:textId="5050CE9E" w:rsidR="00DF7C51" w:rsidRPr="00D06E2E" w:rsidRDefault="00DF7C51" w:rsidP="00556F2C">
            <w:pPr>
              <w:spacing w:after="0"/>
              <w:jc w:val="center"/>
              <w:rPr>
                <w:rFonts w:cs="Calibri"/>
                <w:b/>
                <w:color w:val="000000"/>
                <w:lang w:val="sr-Latn-RS"/>
              </w:rPr>
            </w:pPr>
            <w:r w:rsidRPr="00D06E2E">
              <w:rPr>
                <w:rFonts w:cs="Calibri"/>
                <w:b/>
                <w:color w:val="000000"/>
                <w:lang w:val="sr-Latn-RS"/>
              </w:rPr>
              <w:t>5</w:t>
            </w:r>
            <w:r w:rsidR="007234DD" w:rsidRPr="00D06E2E">
              <w:rPr>
                <w:rFonts w:cs="Calibri"/>
                <w:b/>
                <w:color w:val="000000"/>
                <w:lang w:val="sr-Latn-RS"/>
              </w:rPr>
              <w:t>.</w:t>
            </w:r>
            <w:r w:rsidRPr="00D06E2E">
              <w:rPr>
                <w:rFonts w:cs="Calibri"/>
                <w:b/>
                <w:color w:val="000000"/>
                <w:lang w:val="sr-Latn-RS"/>
              </w:rPr>
              <w:t>00%</w:t>
            </w:r>
          </w:p>
        </w:tc>
      </w:tr>
      <w:tr w:rsidR="00DF7C51" w:rsidRPr="00D06E2E" w14:paraId="2C90E240" w14:textId="77777777" w:rsidTr="001C3FC6">
        <w:trPr>
          <w:trHeight w:val="170"/>
          <w:jc w:val="center"/>
        </w:trPr>
        <w:tc>
          <w:tcPr>
            <w:tcW w:w="7022" w:type="dxa"/>
            <w:tcBorders>
              <w:top w:val="single" w:sz="2" w:space="0" w:color="0070C0"/>
              <w:left w:val="single" w:sz="2" w:space="0" w:color="0070C0"/>
              <w:bottom w:val="single" w:sz="2" w:space="0" w:color="0070C0"/>
            </w:tcBorders>
            <w:vAlign w:val="center"/>
          </w:tcPr>
          <w:p w14:paraId="2A142564" w14:textId="66CFD139" w:rsidR="00DF7C51" w:rsidRPr="00D06E2E" w:rsidRDefault="004C6D26" w:rsidP="008F61B3">
            <w:pPr>
              <w:pStyle w:val="ListParagraph"/>
              <w:numPr>
                <w:ilvl w:val="0"/>
                <w:numId w:val="21"/>
              </w:numPr>
              <w:spacing w:after="0"/>
              <w:ind w:left="360"/>
              <w:contextualSpacing/>
              <w:rPr>
                <w:b/>
                <w:lang w:val="sr-Latn-RS"/>
              </w:rPr>
            </w:pPr>
            <w:r w:rsidRPr="00D06E2E">
              <w:rPr>
                <w:b/>
                <w:lang w:val="sr-Latn-RS"/>
              </w:rPr>
              <w:t>Cases closed by recommendations from the oversight procedure</w:t>
            </w:r>
            <w:r w:rsidR="00DF7C51" w:rsidRPr="00D06E2E">
              <w:rPr>
                <w:b/>
                <w:lang w:val="sr-Latn-RS"/>
              </w:rPr>
              <w:t xml:space="preserve">    </w:t>
            </w:r>
          </w:p>
        </w:tc>
        <w:tc>
          <w:tcPr>
            <w:tcW w:w="708" w:type="dxa"/>
            <w:tcBorders>
              <w:top w:val="single" w:sz="2" w:space="0" w:color="0070C0"/>
              <w:bottom w:val="single" w:sz="2" w:space="0" w:color="0070C0"/>
            </w:tcBorders>
            <w:vAlign w:val="center"/>
          </w:tcPr>
          <w:p w14:paraId="61EB2D64" w14:textId="77777777" w:rsidR="00DF7C51" w:rsidRPr="00D06E2E" w:rsidRDefault="00DF7C51" w:rsidP="00556F2C">
            <w:pPr>
              <w:spacing w:after="0"/>
              <w:jc w:val="center"/>
              <w:rPr>
                <w:rFonts w:cs="Calibri"/>
                <w:b/>
                <w:color w:val="000000"/>
                <w:lang w:val="sr-Latn-RS"/>
              </w:rPr>
            </w:pPr>
            <w:r w:rsidRPr="00D06E2E">
              <w:rPr>
                <w:rFonts w:cs="Calibri"/>
                <w:b/>
                <w:color w:val="000000"/>
                <w:lang w:val="sr-Latn-RS"/>
              </w:rPr>
              <w:t>3</w:t>
            </w:r>
          </w:p>
        </w:tc>
        <w:tc>
          <w:tcPr>
            <w:tcW w:w="1237" w:type="dxa"/>
            <w:tcBorders>
              <w:top w:val="single" w:sz="2" w:space="0" w:color="0070C0"/>
              <w:bottom w:val="single" w:sz="2" w:space="0" w:color="0070C0"/>
              <w:right w:val="single" w:sz="2" w:space="0" w:color="0070C0"/>
            </w:tcBorders>
            <w:noWrap/>
            <w:vAlign w:val="center"/>
          </w:tcPr>
          <w:p w14:paraId="16393AC9" w14:textId="55A58BE0" w:rsidR="00DF7C51" w:rsidRPr="00D06E2E" w:rsidRDefault="00DF7C51" w:rsidP="00556F2C">
            <w:pPr>
              <w:spacing w:after="0"/>
              <w:jc w:val="center"/>
              <w:rPr>
                <w:rFonts w:cs="Calibri"/>
                <w:b/>
                <w:color w:val="000000"/>
                <w:lang w:val="sr-Latn-RS"/>
              </w:rPr>
            </w:pPr>
            <w:r w:rsidRPr="00D06E2E">
              <w:rPr>
                <w:rFonts w:cs="Calibri"/>
                <w:b/>
                <w:color w:val="000000"/>
                <w:lang w:val="sr-Latn-RS"/>
              </w:rPr>
              <w:t>3</w:t>
            </w:r>
            <w:r w:rsidR="007234DD" w:rsidRPr="00D06E2E">
              <w:rPr>
                <w:rFonts w:cs="Calibri"/>
                <w:b/>
                <w:color w:val="000000"/>
                <w:lang w:val="sr-Latn-RS"/>
              </w:rPr>
              <w:t>.</w:t>
            </w:r>
            <w:r w:rsidRPr="00D06E2E">
              <w:rPr>
                <w:rFonts w:cs="Calibri"/>
                <w:b/>
                <w:color w:val="000000"/>
                <w:lang w:val="sr-Latn-RS"/>
              </w:rPr>
              <w:t>00%</w:t>
            </w:r>
          </w:p>
        </w:tc>
      </w:tr>
      <w:tr w:rsidR="00DF7C51" w:rsidRPr="00D06E2E" w14:paraId="3F14B650"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4D4471B0" w14:textId="1A59B424" w:rsidR="00DF7C51" w:rsidRPr="00D06E2E" w:rsidRDefault="004C6D26" w:rsidP="008F61B3">
            <w:pPr>
              <w:pStyle w:val="ListParagraph"/>
              <w:numPr>
                <w:ilvl w:val="0"/>
                <w:numId w:val="21"/>
              </w:numPr>
              <w:spacing w:after="0"/>
              <w:ind w:left="360"/>
              <w:contextualSpacing/>
              <w:rPr>
                <w:b/>
                <w:lang w:val="sr-Latn-RS"/>
              </w:rPr>
            </w:pPr>
            <w:r w:rsidRPr="00D06E2E">
              <w:rPr>
                <w:rFonts w:cs="Arial"/>
                <w:b/>
                <w:bCs/>
                <w:lang w:val="sr-Latn-RS"/>
              </w:rPr>
              <w:t>The death of the complainant</w:t>
            </w:r>
          </w:p>
        </w:tc>
        <w:tc>
          <w:tcPr>
            <w:tcW w:w="708" w:type="dxa"/>
            <w:tcBorders>
              <w:top w:val="single" w:sz="2" w:space="0" w:color="0070C0"/>
              <w:bottom w:val="single" w:sz="2" w:space="0" w:color="0070C0"/>
            </w:tcBorders>
            <w:vAlign w:val="center"/>
          </w:tcPr>
          <w:p w14:paraId="55CA4EDE" w14:textId="77777777" w:rsidR="00DF7C51" w:rsidRPr="00D06E2E" w:rsidRDefault="00DF7C51" w:rsidP="00556F2C">
            <w:pPr>
              <w:spacing w:after="0"/>
              <w:jc w:val="center"/>
              <w:rPr>
                <w:rFonts w:cs="Calibri"/>
                <w:b/>
                <w:color w:val="000000"/>
                <w:lang w:val="sr-Latn-RS"/>
              </w:rPr>
            </w:pPr>
            <w:r w:rsidRPr="00D06E2E">
              <w:rPr>
                <w:rFonts w:cs="Calibri"/>
                <w:b/>
                <w:color w:val="000000"/>
                <w:lang w:val="sr-Latn-RS"/>
              </w:rPr>
              <w:t>2</w:t>
            </w:r>
          </w:p>
        </w:tc>
        <w:tc>
          <w:tcPr>
            <w:tcW w:w="1237" w:type="dxa"/>
            <w:tcBorders>
              <w:top w:val="single" w:sz="2" w:space="0" w:color="0070C0"/>
              <w:bottom w:val="single" w:sz="2" w:space="0" w:color="0070C0"/>
              <w:right w:val="single" w:sz="2" w:space="0" w:color="0070C0"/>
            </w:tcBorders>
            <w:noWrap/>
            <w:vAlign w:val="center"/>
          </w:tcPr>
          <w:p w14:paraId="4D4083FF" w14:textId="048268AD" w:rsidR="00DF7C51" w:rsidRPr="00D06E2E" w:rsidRDefault="00DF7C51" w:rsidP="00556F2C">
            <w:pPr>
              <w:spacing w:after="0"/>
              <w:jc w:val="center"/>
              <w:rPr>
                <w:rFonts w:cs="Calibri"/>
                <w:b/>
                <w:color w:val="000000"/>
                <w:lang w:val="sr-Latn-RS"/>
              </w:rPr>
            </w:pPr>
            <w:r w:rsidRPr="00D06E2E">
              <w:rPr>
                <w:rFonts w:cs="Calibri"/>
                <w:b/>
                <w:color w:val="000000"/>
                <w:lang w:val="sr-Latn-RS"/>
              </w:rPr>
              <w:t>2</w:t>
            </w:r>
            <w:r w:rsidR="007234DD" w:rsidRPr="00D06E2E">
              <w:rPr>
                <w:rFonts w:cs="Calibri"/>
                <w:b/>
                <w:color w:val="000000"/>
                <w:lang w:val="sr-Latn-RS"/>
              </w:rPr>
              <w:t>.</w:t>
            </w:r>
            <w:r w:rsidRPr="00D06E2E">
              <w:rPr>
                <w:rFonts w:cs="Calibri"/>
                <w:b/>
                <w:color w:val="000000"/>
                <w:lang w:val="sr-Latn-RS"/>
              </w:rPr>
              <w:t>00%</w:t>
            </w:r>
          </w:p>
        </w:tc>
      </w:tr>
      <w:tr w:rsidR="00DF7C51" w:rsidRPr="00D06E2E" w14:paraId="2C39B25D" w14:textId="77777777" w:rsidTr="001C3FC6">
        <w:trPr>
          <w:trHeight w:hRule="exact" w:val="329"/>
          <w:jc w:val="center"/>
        </w:trPr>
        <w:tc>
          <w:tcPr>
            <w:tcW w:w="7022" w:type="dxa"/>
            <w:tcBorders>
              <w:top w:val="single" w:sz="2" w:space="0" w:color="0070C0"/>
              <w:left w:val="single" w:sz="2" w:space="0" w:color="0070C0"/>
              <w:bottom w:val="single" w:sz="2" w:space="0" w:color="0070C0"/>
            </w:tcBorders>
            <w:vAlign w:val="center"/>
          </w:tcPr>
          <w:p w14:paraId="18A2EB63" w14:textId="6BA5718F" w:rsidR="00DF7C51" w:rsidRPr="00D06E2E" w:rsidRDefault="004C6D26" w:rsidP="00556F2C">
            <w:pPr>
              <w:spacing w:after="0"/>
              <w:rPr>
                <w:b/>
                <w:bCs/>
                <w:lang w:val="sr-Latn-RS"/>
              </w:rPr>
            </w:pPr>
            <w:r w:rsidRPr="00D06E2E">
              <w:rPr>
                <w:b/>
                <w:bCs/>
                <w:lang w:val="sr-Latn-RS"/>
              </w:rPr>
              <w:t>Total</w:t>
            </w:r>
          </w:p>
        </w:tc>
        <w:tc>
          <w:tcPr>
            <w:tcW w:w="708" w:type="dxa"/>
            <w:tcBorders>
              <w:top w:val="single" w:sz="2" w:space="0" w:color="0070C0"/>
              <w:bottom w:val="single" w:sz="2" w:space="0" w:color="0070C0"/>
            </w:tcBorders>
            <w:vAlign w:val="center"/>
          </w:tcPr>
          <w:p w14:paraId="3D2D0404" w14:textId="77777777" w:rsidR="00DF7C51" w:rsidRPr="00D06E2E" w:rsidRDefault="00DF7C51" w:rsidP="00556F2C">
            <w:pPr>
              <w:spacing w:after="0"/>
              <w:jc w:val="center"/>
              <w:rPr>
                <w:b/>
                <w:bCs/>
                <w:highlight w:val="green"/>
                <w:lang w:val="sr-Latn-RS"/>
              </w:rPr>
            </w:pPr>
            <w:r w:rsidRPr="00D06E2E">
              <w:rPr>
                <w:b/>
                <w:bCs/>
                <w:lang w:val="sr-Latn-RS"/>
              </w:rPr>
              <w:t>100</w:t>
            </w:r>
          </w:p>
        </w:tc>
        <w:tc>
          <w:tcPr>
            <w:tcW w:w="1237" w:type="dxa"/>
            <w:tcBorders>
              <w:top w:val="single" w:sz="2" w:space="0" w:color="0070C0"/>
              <w:bottom w:val="single" w:sz="2" w:space="0" w:color="0070C0"/>
              <w:right w:val="single" w:sz="2" w:space="0" w:color="0070C0"/>
            </w:tcBorders>
            <w:noWrap/>
            <w:vAlign w:val="center"/>
          </w:tcPr>
          <w:p w14:paraId="02FFD922" w14:textId="77777777" w:rsidR="00DF7C51" w:rsidRPr="00D06E2E" w:rsidRDefault="00DF7C51" w:rsidP="00556F2C">
            <w:pPr>
              <w:spacing w:after="0"/>
              <w:jc w:val="center"/>
              <w:rPr>
                <w:b/>
                <w:bCs/>
                <w:highlight w:val="green"/>
                <w:lang w:val="sr-Latn-RS"/>
              </w:rPr>
            </w:pPr>
            <w:r w:rsidRPr="00D06E2E">
              <w:rPr>
                <w:b/>
                <w:bCs/>
                <w:lang w:val="sr-Latn-RS"/>
              </w:rPr>
              <w:t>100%</w:t>
            </w:r>
          </w:p>
        </w:tc>
      </w:tr>
    </w:tbl>
    <w:p w14:paraId="3C7C586E" w14:textId="77777777" w:rsidR="00DF7C51" w:rsidRPr="00D06E2E" w:rsidRDefault="00DF7C51" w:rsidP="00DF7C51">
      <w:pPr>
        <w:spacing w:after="0"/>
        <w:rPr>
          <w:lang w:val="sr-Latn-RS"/>
        </w:rPr>
      </w:pPr>
    </w:p>
    <w:p w14:paraId="62B59421" w14:textId="3CCD418F" w:rsidR="00C01F14" w:rsidRPr="00D06E2E" w:rsidRDefault="00C01F14" w:rsidP="00C01F14">
      <w:pPr>
        <w:rPr>
          <w:lang w:val="sr-Latn-RS"/>
        </w:rPr>
      </w:pPr>
      <w:r w:rsidRPr="00D06E2E">
        <w:rPr>
          <w:lang w:val="sr-Latn-RS"/>
        </w:rPr>
        <w:t xml:space="preserve">The greatest number of received complaints is </w:t>
      </w:r>
      <w:r w:rsidRPr="00D06E2E">
        <w:rPr>
          <w:rFonts w:cstheme="minorHAnsi"/>
          <w:lang w:val="sr-Latn-RS"/>
        </w:rPr>
        <w:t xml:space="preserve">inadmissible </w:t>
      </w:r>
      <w:r w:rsidRPr="00D06E2E">
        <w:rPr>
          <w:lang w:val="sr-Latn-RS"/>
        </w:rPr>
        <w:t xml:space="preserve">by the Protector of Citizens because the legally prescribed conditions for acting upon them are not fulfilled. The complaints are </w:t>
      </w:r>
      <w:r w:rsidRPr="00D06E2E">
        <w:rPr>
          <w:rFonts w:cstheme="minorHAnsi"/>
          <w:lang w:val="sr-Latn-RS"/>
        </w:rPr>
        <w:t xml:space="preserve">inadmissible </w:t>
      </w:r>
      <w:r w:rsidRPr="00D06E2E">
        <w:rPr>
          <w:lang w:val="sr-Latn-RS"/>
        </w:rPr>
        <w:t xml:space="preserve">due to incompetence, untimeliness, prematurity, anonymity and formal deficiency. A very important segment of acting of the Protector of Citizens upon complaints is the provision of advisory-legal assistance which is provided by the Protector of Citizens even when the complaint is </w:t>
      </w:r>
      <w:r w:rsidRPr="00D06E2E">
        <w:rPr>
          <w:rFonts w:cstheme="minorHAnsi"/>
          <w:lang w:val="sr-Latn-RS"/>
        </w:rPr>
        <w:t xml:space="preserve">inadmissible </w:t>
      </w:r>
      <w:r w:rsidRPr="00D06E2E">
        <w:rPr>
          <w:lang w:val="sr-Latn-RS"/>
        </w:rPr>
        <w:t xml:space="preserve">because of incompetence or prematurity. Such advisory assistance is provided to citizens in 75 percent of </w:t>
      </w:r>
      <w:r w:rsidRPr="00D06E2E">
        <w:rPr>
          <w:rFonts w:cstheme="minorHAnsi"/>
          <w:lang w:val="sr-Latn-RS"/>
        </w:rPr>
        <w:t xml:space="preserve">inadmissible </w:t>
      </w:r>
      <w:r w:rsidRPr="00D06E2E">
        <w:rPr>
          <w:lang w:val="sr-Latn-RS"/>
        </w:rPr>
        <w:t>cases (39) in this area. In such cases the Protector of Citizens refers the complainant to the competent body or advises them on available legal remedies.</w:t>
      </w:r>
    </w:p>
    <w:p w14:paraId="3EE2C77C" w14:textId="00CF40B2" w:rsidR="00DF7C51" w:rsidRPr="00D06E2E" w:rsidRDefault="00C01F14" w:rsidP="00DF7C51">
      <w:pPr>
        <w:spacing w:after="0"/>
        <w:rPr>
          <w:lang w:val="sr-Latn-RS"/>
        </w:rPr>
      </w:pPr>
      <w:r w:rsidRPr="00D06E2E">
        <w:rPr>
          <w:lang w:val="sr-Latn-RS"/>
        </w:rPr>
        <w:t>In the area of rights of persons with disabilities and the elderly in 153 cases it was indicated to 170 violations of rights, whose greatest part refers to</w:t>
      </w:r>
      <w:r w:rsidR="00DF7C51" w:rsidRPr="00D06E2E">
        <w:rPr>
          <w:lang w:val="sr-Latn-RS"/>
        </w:rPr>
        <w:t xml:space="preserve"> </w:t>
      </w:r>
      <w:r w:rsidRPr="00D06E2E">
        <w:rPr>
          <w:lang w:val="sr-Latn-RS"/>
        </w:rPr>
        <w:t xml:space="preserve">the right to disability pension, disability-based discrimination and right to equal accessibility of services and violation of the rights of the elderly and rights of the elderly at institutions social welfare and health case, right to protection of the elderly against violence and right to special health case of the elderly. </w:t>
      </w:r>
    </w:p>
    <w:p w14:paraId="1D0BC08F" w14:textId="77777777" w:rsidR="00DF7C51" w:rsidRPr="00D06E2E" w:rsidRDefault="00DF7C51" w:rsidP="00DF7C51">
      <w:pPr>
        <w:spacing w:after="0"/>
        <w:rPr>
          <w:b/>
          <w:lang w:val="sr-Latn-RS"/>
        </w:rPr>
      </w:pPr>
    </w:p>
    <w:p w14:paraId="0600F326" w14:textId="77777777" w:rsidR="00C84ED8" w:rsidRPr="00D06E2E" w:rsidRDefault="00C84ED8" w:rsidP="00C84ED8">
      <w:pPr>
        <w:jc w:val="center"/>
        <w:rPr>
          <w:b/>
          <w:lang w:val="sr-Latn-RS"/>
        </w:rPr>
      </w:pPr>
      <w:r w:rsidRPr="00D06E2E">
        <w:rPr>
          <w:b/>
          <w:lang w:val="sr-Latn-RS"/>
        </w:rPr>
        <w:t xml:space="preserve">Chart 5 – Categories of authorities and organizations most frequently complained about by the citizens in the </w:t>
      </w:r>
      <w:r w:rsidRPr="00D06E2E">
        <w:rPr>
          <w:b/>
          <w:bCs/>
          <w:lang w:val="sr-Latn-RS"/>
        </w:rPr>
        <w:t>area</w:t>
      </w:r>
      <w:r w:rsidRPr="00D06E2E">
        <w:rPr>
          <w:lang w:val="sr-Latn-RS"/>
        </w:rPr>
        <w:t xml:space="preserve"> </w:t>
      </w:r>
      <w:r w:rsidRPr="00D06E2E">
        <w:rPr>
          <w:b/>
          <w:lang w:val="sr-Latn-RS"/>
        </w:rPr>
        <w:t>of the right of persons with disabilities and the elderly</w:t>
      </w:r>
    </w:p>
    <w:p w14:paraId="421DE760" w14:textId="76FFB361" w:rsidR="00DF7C51" w:rsidRPr="00D06E2E" w:rsidRDefault="00DF7C51" w:rsidP="00DF7C51">
      <w:pPr>
        <w:jc w:val="center"/>
        <w:rPr>
          <w:b/>
          <w:lang w:val="sr-Latn-RS"/>
        </w:rPr>
      </w:pPr>
      <w:r w:rsidRPr="00D06E2E">
        <w:rPr>
          <w:noProof/>
          <w:lang w:val="sr-Latn-RS"/>
        </w:rPr>
        <w:drawing>
          <wp:inline distT="0" distB="0" distL="0" distR="0" wp14:anchorId="10421715" wp14:editId="17F1F28E">
            <wp:extent cx="5724525" cy="39719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0"/>
    </w:p>
    <w:p w14:paraId="2315C37C" w14:textId="77777777" w:rsidR="00B37F05" w:rsidRPr="00D06E2E" w:rsidRDefault="00B37F05" w:rsidP="00B37F05">
      <w:pPr>
        <w:jc w:val="center"/>
        <w:rPr>
          <w:sz w:val="24"/>
          <w:szCs w:val="24"/>
          <w:lang w:val="sr-Latn-RS"/>
        </w:rPr>
      </w:pPr>
      <w:r w:rsidRPr="00D06E2E">
        <w:rPr>
          <w:sz w:val="24"/>
          <w:szCs w:val="24"/>
          <w:lang w:val="sr-Latn-RS"/>
        </w:rPr>
        <w:lastRenderedPageBreak/>
        <w:t>ACTIVITIES OF THE PROTECTOR OF CITIZENS</w:t>
      </w:r>
    </w:p>
    <w:p w14:paraId="14F92F7C" w14:textId="77777777" w:rsidR="00B37F05" w:rsidRPr="00D06E2E" w:rsidRDefault="00B37F05" w:rsidP="00B37F05">
      <w:pPr>
        <w:pStyle w:val="BodyAA"/>
        <w:spacing w:after="120"/>
        <w:jc w:val="both"/>
        <w:rPr>
          <w:rFonts w:ascii="Book Antiqua" w:eastAsiaTheme="minorHAnsi" w:hAnsi="Book Antiqua" w:cstheme="minorBidi"/>
          <w:b/>
          <w:color w:val="auto"/>
          <w:sz w:val="22"/>
          <w:szCs w:val="22"/>
          <w:bdr w:val="none" w:sz="0" w:space="0" w:color="auto"/>
          <w:lang w:val="sr-Latn-RS" w:eastAsia="en-US"/>
          <w14:textOutline w14:w="0" w14:cap="rnd" w14:cmpd="sng" w14:algn="ctr">
            <w14:noFill/>
            <w14:prstDash w14:val="solid"/>
            <w14:bevel/>
          </w14:textOutline>
        </w:rPr>
      </w:pPr>
      <w:r w:rsidRPr="00D06E2E">
        <w:rPr>
          <w:rFonts w:ascii="Book Antiqua" w:eastAsiaTheme="minorHAnsi" w:hAnsi="Book Antiqua" w:cstheme="minorBidi"/>
          <w:b/>
          <w:color w:val="auto"/>
          <w:sz w:val="22"/>
          <w:szCs w:val="22"/>
          <w:bdr w:val="none" w:sz="0" w:space="0" w:color="auto"/>
          <w:lang w:val="sr-Latn-RS" w:eastAsia="en-US"/>
          <w14:textOutline w14:w="0" w14:cap="rnd" w14:cmpd="sng" w14:algn="ctr">
            <w14:noFill/>
            <w14:prstDash w14:val="solid"/>
            <w14:bevel/>
          </w14:textOutline>
        </w:rPr>
        <w:t>The rights of persons with disabilities</w:t>
      </w:r>
    </w:p>
    <w:p w14:paraId="369F6DCE" w14:textId="77777777" w:rsidR="00B37F05" w:rsidRPr="00D06E2E" w:rsidRDefault="00B37F05" w:rsidP="00B37F05">
      <w:pPr>
        <w:pStyle w:val="BodyAA"/>
        <w:spacing w:after="120"/>
        <w:jc w:val="both"/>
        <w:rPr>
          <w:rFonts w:ascii="Book Antiqua" w:hAnsi="Book Antiqua"/>
          <w:sz w:val="22"/>
          <w:szCs w:val="22"/>
          <w:lang w:val="sr-Latn-RS"/>
        </w:rPr>
      </w:pPr>
      <w:r w:rsidRPr="00D06E2E">
        <w:rPr>
          <w:rFonts w:ascii="Book Antiqua" w:hAnsi="Book Antiqua"/>
          <w:sz w:val="22"/>
          <w:szCs w:val="22"/>
          <w:lang w:val="sr-Latn-RS"/>
        </w:rPr>
        <w:t>After determining that the Law on the Rights of Beneficiaries of Temporary Housing Services in Social Welfare</w:t>
      </w:r>
      <w:r w:rsidRPr="00D06E2E">
        <w:rPr>
          <w:rFonts w:ascii="Book Antiqua" w:hAnsi="Book Antiqua"/>
          <w:color w:val="auto"/>
          <w:sz w:val="22"/>
          <w:szCs w:val="22"/>
          <w:vertAlign w:val="superscript"/>
          <w:lang w:val="sr-Latn-RS"/>
        </w:rPr>
        <w:footnoteReference w:id="91"/>
      </w:r>
      <w:r w:rsidRPr="00D06E2E">
        <w:rPr>
          <w:rFonts w:ascii="Book Antiqua" w:hAnsi="Book Antiqua"/>
          <w:sz w:val="22"/>
          <w:szCs w:val="22"/>
          <w:lang w:val="sr-Latn-RS"/>
        </w:rPr>
        <w:t>, which entered into force on December 31, 2021, is not being applied in full</w:t>
      </w:r>
      <w:r w:rsidRPr="00D06E2E">
        <w:rPr>
          <w:rStyle w:val="FootnoteReference"/>
          <w:color w:val="auto"/>
          <w:sz w:val="22"/>
          <w:szCs w:val="22"/>
          <w:lang w:val="sr-Latn-RS"/>
        </w:rPr>
        <w:footnoteReference w:id="92"/>
      </w:r>
      <w:r w:rsidRPr="00D06E2E">
        <w:rPr>
          <w:rFonts w:ascii="Book Antiqua" w:hAnsi="Book Antiqua"/>
          <w:sz w:val="22"/>
          <w:szCs w:val="22"/>
          <w:lang w:val="sr-Latn-RS"/>
        </w:rPr>
        <w:t>, the Protector of Citizens sent the Report on the case with recommendations</w:t>
      </w:r>
      <w:r w:rsidRPr="00D06E2E">
        <w:rPr>
          <w:rStyle w:val="FootnoteReference"/>
          <w:color w:val="auto"/>
          <w:sz w:val="22"/>
          <w:szCs w:val="22"/>
          <w:lang w:val="sr-Latn-RS"/>
        </w:rPr>
        <w:footnoteReference w:id="93"/>
      </w:r>
      <w:r w:rsidRPr="00D06E2E">
        <w:rPr>
          <w:rFonts w:ascii="Book Antiqua" w:hAnsi="Book Antiqua"/>
          <w:color w:val="auto"/>
          <w:sz w:val="22"/>
          <w:szCs w:val="22"/>
          <w:lang w:val="sr-Latn-RS"/>
        </w:rPr>
        <w:t xml:space="preserve"> </w:t>
      </w:r>
      <w:r w:rsidRPr="00D06E2E">
        <w:rPr>
          <w:rFonts w:ascii="Book Antiqua" w:hAnsi="Book Antiqua"/>
          <w:sz w:val="22"/>
          <w:szCs w:val="22"/>
          <w:lang w:val="sr-Latn-RS"/>
        </w:rPr>
        <w:t xml:space="preserve"> to the Ministry of Labour, Employment, Veterans and Social Policy to, in cooperation with the Ministry of Family Care and Demography and other competent state authorities, enable the full implementation of this law, as well as to draft by-laws for its implementation since the legally prescribed deadline for its adoption has long since expired.</w:t>
      </w:r>
    </w:p>
    <w:p w14:paraId="1D4455CC" w14:textId="77777777" w:rsidR="00B37F05" w:rsidRPr="00D06E2E" w:rsidRDefault="00B37F05" w:rsidP="00B37F05">
      <w:pPr>
        <w:autoSpaceDE w:val="0"/>
        <w:autoSpaceDN w:val="0"/>
        <w:adjustRightInd w:val="0"/>
        <w:rPr>
          <w:rFonts w:eastAsia="Times New Roman" w:cs="Times New Roman"/>
          <w:lang w:val="sr-Latn-RS"/>
        </w:rPr>
      </w:pPr>
      <w:r w:rsidRPr="00D06E2E">
        <w:rPr>
          <w:rFonts w:eastAsia="Times New Roman" w:cs="Times New Roman"/>
          <w:lang w:val="sr-Latn-RS"/>
        </w:rPr>
        <w:t>The Ministry of Labour, Employment, Veterans and Social Policy did not act in accordance with the Opinion of the Protector of Citizens</w:t>
      </w:r>
      <w:r w:rsidRPr="00D06E2E">
        <w:rPr>
          <w:rStyle w:val="FootnoteReference"/>
          <w:rFonts w:eastAsia="Times New Roman" w:cs="Times New Roman"/>
          <w:lang w:val="sr-Latn-RS"/>
        </w:rPr>
        <w:footnoteReference w:id="94"/>
      </w:r>
      <w:r w:rsidRPr="00D06E2E">
        <w:rPr>
          <w:rFonts w:eastAsia="Times New Roman" w:cs="Times New Roman"/>
          <w:lang w:val="sr-Latn-RS"/>
        </w:rPr>
        <w:t xml:space="preserve"> of December 27, 2022, in which it was pointed out the need to consider all requests that arrive within the deadline specified in the Public Call for the referral of disabled military, civilian war invalids and beneficiaries of family disability allowance for spa-climate recovery, so that those users who receive the most points according to the criteria established in the Public Invitation, will be sent to recovery. Namely, in a new procedure conducted on the basis of a citizen's complaint, the Protector of Citizens established that the Public Call for Referrals to Spa Climate Recovery was open from April 27, 2023 to May 29, 2023, and that the Spa Referral Commission -climate recovery, although it sat on June 8, 2023</w:t>
      </w:r>
      <w:r w:rsidRPr="00D06E2E">
        <w:rPr>
          <w:rStyle w:val="FootnoteReference"/>
          <w:rFonts w:eastAsia="Times New Roman" w:cs="Times New Roman"/>
          <w:lang w:val="sr-Latn-RS"/>
        </w:rPr>
        <w:footnoteReference w:id="95"/>
      </w:r>
      <w:r w:rsidRPr="00D06E2E">
        <w:rPr>
          <w:rFonts w:eastAsia="Times New Roman" w:cs="Times New Roman"/>
          <w:lang w:val="sr-Latn-RS"/>
        </w:rPr>
        <w:t>, this year too, it did not consider all requests that arrived by the deadline, but only those that arrived by April 28, 2023. By the end of the reporting period, the procedure was ongoing.</w:t>
      </w:r>
    </w:p>
    <w:p w14:paraId="619C4468" w14:textId="77777777" w:rsidR="00B37F05" w:rsidRPr="00D06E2E" w:rsidRDefault="00B37F05" w:rsidP="00B37F05">
      <w:pPr>
        <w:autoSpaceDE w:val="0"/>
        <w:autoSpaceDN w:val="0"/>
        <w:adjustRightInd w:val="0"/>
        <w:rPr>
          <w:rFonts w:eastAsia="Times New Roman" w:cs="Times New Roman"/>
          <w:lang w:val="sr-Latn-RS"/>
        </w:rPr>
      </w:pPr>
      <w:r w:rsidRPr="00D06E2E">
        <w:rPr>
          <w:rFonts w:eastAsia="Times New Roman" w:cs="Times New Roman"/>
          <w:lang w:val="sr-Latn-RS"/>
        </w:rPr>
        <w:t>In the Opinion on the Draft Law on Amendments to the Law on Financial Support for Families with Children</w:t>
      </w:r>
      <w:r w:rsidRPr="00D06E2E">
        <w:rPr>
          <w:rStyle w:val="FootnoteReference"/>
          <w:rFonts w:eastAsia="Times New Roman" w:cs="Times New Roman"/>
          <w:lang w:val="sr-Latn-RS"/>
        </w:rPr>
        <w:footnoteReference w:id="96"/>
      </w:r>
      <w:r w:rsidRPr="00D06E2E">
        <w:rPr>
          <w:rFonts w:eastAsia="Times New Roman" w:cs="Times New Roman"/>
          <w:lang w:val="sr-Latn-RS"/>
        </w:rPr>
        <w:t xml:space="preserve"> dated March 3, 2023, the Protector of Citizens pointed out again that this document should be supplemented with provisions that include in the list of rights to financial support for families with children guaranteed by this law, they introduce two new rights based on the conditions that would also be prescribed by this law: the right to compensation for an unemployed parent who cares for a child who needs constant care and assistance, and the right to compensation for one of the parents who has acquired the right to work with reduced working hours for the care of a child older than five years who needs constant care and assistance. In order to support the parenting of persons with disabilities and their children, and especially women with disabilities, the Protector of Citizens in the </w:t>
      </w:r>
      <w:r w:rsidRPr="00D06E2E">
        <w:rPr>
          <w:rFonts w:eastAsia="Times New Roman" w:cs="Times New Roman"/>
          <w:lang w:val="sr-Latn-RS"/>
        </w:rPr>
        <w:lastRenderedPageBreak/>
        <w:t>aforementioned Opinion</w:t>
      </w:r>
      <w:r w:rsidRPr="00D06E2E">
        <w:rPr>
          <w:rStyle w:val="FootnoteReference"/>
          <w:rFonts w:eastAsia="Times New Roman" w:cs="Times New Roman"/>
          <w:lang w:val="sr-Latn-RS"/>
        </w:rPr>
        <w:footnoteReference w:id="97"/>
      </w:r>
      <w:r w:rsidRPr="00D06E2E">
        <w:rPr>
          <w:rFonts w:eastAsia="Times New Roman" w:cs="Times New Roman"/>
          <w:lang w:val="sr-Latn-RS"/>
        </w:rPr>
        <w:t xml:space="preserve"> also proposed to prescribe the right to compensation for a stay in a preschool institution for children of parents with disabilities.</w:t>
      </w:r>
    </w:p>
    <w:p w14:paraId="42F926B1" w14:textId="77777777" w:rsidR="00B37F05" w:rsidRPr="00D06E2E" w:rsidRDefault="00B37F05" w:rsidP="00B37F05">
      <w:pPr>
        <w:autoSpaceDE w:val="0"/>
        <w:autoSpaceDN w:val="0"/>
        <w:adjustRightInd w:val="0"/>
        <w:rPr>
          <w:rFonts w:eastAsia="Times New Roman" w:cs="Times New Roman"/>
          <w:lang w:val="sr-Latn-RS"/>
        </w:rPr>
      </w:pPr>
      <w:r w:rsidRPr="00D06E2E">
        <w:rPr>
          <w:rFonts w:eastAsia="Times New Roman" w:cs="Times New Roman"/>
          <w:lang w:val="sr-Latn-RS"/>
        </w:rPr>
        <w:t>Based on the citizens' complaints that he acted upon, the Protector of Citizens states that there is still a problem related to exercising the right to a disability pension. Namely, the Law on Professional Rehabilitation and Employment of Persons with Disabilities and the Law on Pension and Disability Insurance often come into conflict when they are applied to the same factual situation, that is, to the citizen's ability to work. It happens that in the process of assessment of working capacity carried out before the National Employment Service</w:t>
      </w:r>
      <w:r w:rsidRPr="00D06E2E">
        <w:rPr>
          <w:rStyle w:val="FootnoteReference"/>
          <w:rFonts w:eastAsia="Times New Roman" w:cs="Times New Roman"/>
          <w:lang w:val="sr-Latn-RS"/>
        </w:rPr>
        <w:footnoteReference w:id="98"/>
      </w:r>
      <w:r w:rsidRPr="00D06E2E">
        <w:rPr>
          <w:rFonts w:eastAsia="Times New Roman" w:cs="Times New Roman"/>
          <w:lang w:val="sr-Latn-RS"/>
        </w:rPr>
        <w:t>, the expert authority determines that the citizen has the 3rd degree of difficulties and obstacles in work, on the basis of which he has the status of a disabled person who cannot be employed or maintain employment even under the general, nor under special conditions, and that the expert authority of the PDI</w:t>
      </w:r>
      <w:r w:rsidRPr="00D06E2E">
        <w:rPr>
          <w:rStyle w:val="FootnoteReference"/>
          <w:rFonts w:eastAsia="Times New Roman" w:cs="Times New Roman"/>
          <w:lang w:val="sr-Latn-RS"/>
        </w:rPr>
        <w:footnoteReference w:id="99"/>
      </w:r>
      <w:r w:rsidRPr="00D06E2E">
        <w:rPr>
          <w:rFonts w:eastAsia="Times New Roman" w:cs="Times New Roman"/>
          <w:lang w:val="sr-Latn-RS"/>
        </w:rPr>
        <w:t xml:space="preserve"> Fund, during the expert examination in the procedure at the request of that citizen for exercising the right to a disability pension, determines that he does not have a complete loss of working ability. This creates a compromising legal situation where two authorities, on the basis of the same factual situation, make opposite determinations and decisions, and it is necessary for the relevant Ministry to undertake appropriate activities in order to eliminate this collision.</w:t>
      </w:r>
    </w:p>
    <w:p w14:paraId="6B4E3721" w14:textId="77777777" w:rsidR="00B37F05" w:rsidRPr="00D06E2E" w:rsidRDefault="00B37F05" w:rsidP="00B37F05">
      <w:pPr>
        <w:autoSpaceDE w:val="0"/>
        <w:autoSpaceDN w:val="0"/>
        <w:adjustRightInd w:val="0"/>
        <w:rPr>
          <w:rFonts w:eastAsia="Times New Roman" w:cs="Times New Roman"/>
          <w:lang w:val="sr-Latn-RS"/>
        </w:rPr>
      </w:pPr>
      <w:r w:rsidRPr="00D06E2E">
        <w:rPr>
          <w:rFonts w:eastAsia="Times New Roman" w:cs="Times New Roman"/>
          <w:lang w:val="sr-Latn-RS"/>
        </w:rPr>
        <w:t>In the procedure based on a citizen's complaint indicating that the decision of the PDIFund branch from 2016 terminated his right to a disability pension, which he received on the basis of a final decision from 1997, the Protector of Citizens determined that the decision was not made in a legal and proper manner way, so he sent the Report on the case with recommendations</w:t>
      </w:r>
      <w:r w:rsidRPr="00D06E2E">
        <w:rPr>
          <w:rStyle w:val="FootnoteReference"/>
          <w:rFonts w:eastAsia="Times New Roman" w:cs="Times New Roman"/>
          <w:lang w:val="sr-Latn-RS"/>
        </w:rPr>
        <w:footnoteReference w:id="100"/>
      </w:r>
      <w:r w:rsidRPr="00D06E2E">
        <w:rPr>
          <w:rFonts w:eastAsia="Times New Roman" w:cs="Times New Roman"/>
          <w:lang w:val="sr-Latn-RS"/>
        </w:rPr>
        <w:t xml:space="preserve">  to the authority to annul that decision. Namely, the decision is based on the application of Art. 96th st. 1 of the Law on Pension and Disability Insurance, which was in force at that time in 2016, to the factual and legal situation from 1996, when the second Law on Pension and Disability Insurance was in force, which represents a retroactive application of the law, contrary to the Constitution of the Republic of Serbia as well as the principle of prohibition of retroactivity. In addition, the decision from 2016 was made on the basis of the findings, assessment and opinion of the Commission for determining changes in the state of disability after the expiration of the period prescribed by Art. 240, paragraph 2 of the Law on Pension and Disability Insurance from 2016, since that deadline expired on April 10, 2008. The behavior of authorities in this way violates legal certainty and the principle of inviolability of acquired rights, that is, it represents a violation of basic human rights. The recommendation was acted upon.</w:t>
      </w:r>
    </w:p>
    <w:p w14:paraId="32A5DD3B" w14:textId="77777777" w:rsidR="00B37F05" w:rsidRPr="00D06E2E" w:rsidRDefault="00B37F05" w:rsidP="00B37F05">
      <w:pPr>
        <w:autoSpaceDE w:val="0"/>
        <w:autoSpaceDN w:val="0"/>
        <w:adjustRightInd w:val="0"/>
        <w:rPr>
          <w:rFonts w:eastAsia="Times New Roman" w:cs="Times New Roman"/>
          <w:lang w:val="sr-Latn-RS"/>
        </w:rPr>
      </w:pPr>
      <w:r w:rsidRPr="00D06E2E">
        <w:rPr>
          <w:rFonts w:eastAsia="Times New Roman" w:cs="Times New Roman"/>
          <w:lang w:val="sr-Latn-RS"/>
        </w:rPr>
        <w:t>After in the examination procedure of control of the work of authorities in the system of protection against domestic violence and partner relationships, certain shortcomings in the work of the authorities on the protection of an elderly victim of violence who is a person with a disabilitywere determined, the Protector of Citizens sent a report on the case with recommendations</w:t>
      </w:r>
      <w:r w:rsidRPr="00D06E2E">
        <w:rPr>
          <w:rStyle w:val="FootnoteReference"/>
          <w:rFonts w:eastAsia="Times New Roman" w:cs="Times New Roman"/>
          <w:lang w:val="sr-Latn-RS"/>
        </w:rPr>
        <w:footnoteReference w:id="101"/>
      </w:r>
      <w:r w:rsidRPr="00D06E2E">
        <w:rPr>
          <w:rFonts w:eastAsia="Times New Roman" w:cs="Times New Roman"/>
          <w:lang w:val="sr-Latn-RS"/>
        </w:rPr>
        <w:t xml:space="preserve"> to the Ministry of Labour, Employment , Veterans and Social Policy, to the Ministry of Health, the Provincial Secretariat for Social Policy, Demography and Gender Equality and the Provincial Secretariat for Health to establish a social-health service in accordance with the law. The deadline for acting on this recommendation is still running.</w:t>
      </w:r>
    </w:p>
    <w:p w14:paraId="2024FE2C" w14:textId="77777777" w:rsidR="00B37F05" w:rsidRPr="00D06E2E" w:rsidRDefault="00B37F05" w:rsidP="00B37F05">
      <w:pPr>
        <w:pStyle w:val="NormalWeb"/>
        <w:shd w:val="clear" w:color="auto" w:fill="FFFFFF"/>
        <w:spacing w:before="0" w:beforeAutospacing="0" w:after="0" w:afterAutospacing="0"/>
        <w:jc w:val="both"/>
        <w:rPr>
          <w:rFonts w:ascii="Book Antiqua" w:hAnsi="Book Antiqua" w:cs="Arial"/>
          <w:spacing w:val="3"/>
          <w:sz w:val="22"/>
          <w:szCs w:val="22"/>
          <w:lang w:val="sr-Latn-RS"/>
        </w:rPr>
      </w:pPr>
      <w:r w:rsidRPr="00D06E2E">
        <w:rPr>
          <w:rFonts w:ascii="Book Antiqua" w:hAnsi="Book Antiqua" w:cs="Arial"/>
          <w:spacing w:val="3"/>
          <w:sz w:val="22"/>
          <w:szCs w:val="22"/>
          <w:lang w:val="sr-Latn-RS"/>
        </w:rPr>
        <w:lastRenderedPageBreak/>
        <w:t xml:space="preserve">In order to contribute to raising awareness of the importance of accessibility, in 2023 the Protector of Citizens together with the Permanent Conference of Cities and Municipalities, for the seventh time in a row, awarded local self-government units that contributed the most to the development of all forms of accessibility in their territory in the previous year. The city of Užice was awarded for improving accessibility in the field of public transport. The City Municipality of Vračar received a special award for improving accessibility in the area of information, while the Municipality of Vrnjačka Banja received an award for improving the accessibility of facilities in the field of sports, the city of Kragujevac received an award for improving the accessibility of content in the field of culture, and the city of Sombor receiveda commendation for improving the accessibility of buildings under protection. </w:t>
      </w:r>
    </w:p>
    <w:p w14:paraId="46379A60" w14:textId="77777777" w:rsidR="00B37F05" w:rsidRPr="00D06E2E" w:rsidRDefault="00B37F05" w:rsidP="00B37F05">
      <w:pPr>
        <w:widowControl w:val="0"/>
        <w:autoSpaceDE w:val="0"/>
        <w:autoSpaceDN w:val="0"/>
        <w:adjustRightInd w:val="0"/>
        <w:spacing w:after="0"/>
        <w:rPr>
          <w:rFonts w:eastAsiaTheme="minorHAnsi" w:cstheme="minorBidi"/>
          <w:b/>
          <w:lang w:val="sr-Latn-RS"/>
        </w:rPr>
      </w:pPr>
    </w:p>
    <w:p w14:paraId="5E2A3E26" w14:textId="77777777" w:rsidR="00B37F05" w:rsidRPr="00D06E2E" w:rsidRDefault="00B37F05" w:rsidP="00B37F05">
      <w:pPr>
        <w:shd w:val="clear" w:color="auto" w:fill="FFFFFF"/>
        <w:rPr>
          <w:b/>
          <w:lang w:val="sr-Latn-RS"/>
        </w:rPr>
      </w:pPr>
      <w:r w:rsidRPr="00D06E2E">
        <w:rPr>
          <w:b/>
          <w:lang w:val="sr-Latn-RS"/>
        </w:rPr>
        <w:t>The rights of the elderly</w:t>
      </w:r>
    </w:p>
    <w:p w14:paraId="159F1984" w14:textId="77777777" w:rsidR="00B37F05" w:rsidRPr="00D06E2E" w:rsidRDefault="00B37F05" w:rsidP="00B37F05">
      <w:pPr>
        <w:rPr>
          <w:rFonts w:cstheme="majorHAnsi"/>
          <w:lang w:val="sr-Latn-RS"/>
        </w:rPr>
      </w:pPr>
      <w:r w:rsidRPr="00D06E2E">
        <w:rPr>
          <w:rFonts w:cstheme="majorHAnsi"/>
          <w:lang w:val="sr-Latn-RS"/>
        </w:rPr>
        <w:t>Acting on his own initiative regarding allegations from the media that one beneficiary of the „Bežanijska kosa“ Home took the life of another beneficiary, in the examination procedure the Protector of Citizens established failures in the work of the social welfare authorities and the competent inspection of the Ministry of Labour, Employment, Veterans and Social Policy. For this reason, he sent the Report on the case with recommendations</w:t>
      </w:r>
      <w:r w:rsidRPr="00D06E2E">
        <w:rPr>
          <w:rFonts w:cstheme="majorHAnsi"/>
          <w:vertAlign w:val="superscript"/>
          <w:lang w:val="sr-Latn-RS"/>
        </w:rPr>
        <w:footnoteReference w:id="102"/>
      </w:r>
      <w:r w:rsidRPr="00D06E2E">
        <w:rPr>
          <w:rFonts w:cstheme="majorHAnsi"/>
          <w:lang w:val="sr-Latn-RS"/>
        </w:rPr>
        <w:t xml:space="preserve"> to the competent authorities in order to prevent similar failures in the future, as well as to protect social welfare institutions for the accommodation of adults and the elderly from unscrupulous beneficiaries or their relatives who deliberately conceal information about their health condition, in order to be admitted to the institution, then protecting the safety of beneficiaries of social welfare institutions for the accommodation of beneficiaries and employees in these institutions, so that such tragic events do not happen again. These recommendations were acted upon. </w:t>
      </w:r>
    </w:p>
    <w:p w14:paraId="13A28B09" w14:textId="77777777" w:rsidR="00B37F05" w:rsidRPr="00D06E2E" w:rsidRDefault="00B37F05" w:rsidP="00B37F05">
      <w:pPr>
        <w:rPr>
          <w:lang w:val="sr-Latn-RS"/>
        </w:rPr>
      </w:pPr>
      <w:r w:rsidRPr="00D06E2E">
        <w:rPr>
          <w:lang w:val="sr-Latn-RS"/>
        </w:rPr>
        <w:t>The results of research on the realization of social and economic rights of elderly women (aged 65 and over) in the countryside, conducted in cooperation with the association "Strength of Friendship - Amity", with the support of the Council of Europe and UN Women, are presented in the Special Report on the representation of social welfare and health care for elderly women living in the countryside: availability and content of home help services and home treatment with recommendations</w:t>
      </w:r>
      <w:r w:rsidRPr="00D06E2E">
        <w:rPr>
          <w:rStyle w:val="FootnoteReference"/>
          <w:lang w:val="sr-Latn-RS"/>
        </w:rPr>
        <w:footnoteReference w:id="103"/>
      </w:r>
      <w:r w:rsidRPr="00D06E2E">
        <w:rPr>
          <w:lang w:val="sr-Latn-RS"/>
        </w:rPr>
        <w:t>. They point to an evident lack of aggregated data disaggregated by gender and other features of beneficiaries, which makes it difficult to monitor, evaluate and develop a social welfare system based on reliable data. The continuous provision of home help services as well as any time-based planning is greatly hampered by the instability of financial resources from any funding source, and the needs of elderly rural women for this type of support are significantly greater than the capacity of service providers. The needs of elderly women who living in the countryside for home treatment services are many times greater than the capacity of the service providers. In the examined period, there was no increase in the capacity of health centers and clinics in villages (except in one local self-government unit), despite the continuous increase in the number of beneficiaries from 2020 to 2022 in most of the examined local self-government units. Elderly women in the countryside are poorly informed and have little opportunity to participate in decision-making and the creation of local action plans that could potentially improve the situation in the area of the realization of social rights and rights in the field of health care.</w:t>
      </w:r>
    </w:p>
    <w:p w14:paraId="5DBCA6F1" w14:textId="77777777" w:rsidR="00B37F05" w:rsidRPr="00D06E2E" w:rsidRDefault="00B37F05" w:rsidP="00B37F05">
      <w:pPr>
        <w:pStyle w:val="NoSpacing"/>
        <w:jc w:val="center"/>
        <w:rPr>
          <w:rFonts w:ascii="Book Antiqua" w:hAnsi="Book Antiqua"/>
          <w:sz w:val="24"/>
          <w:szCs w:val="24"/>
          <w:lang w:val="sr-Latn-RS"/>
        </w:rPr>
      </w:pPr>
      <w:r w:rsidRPr="00D06E2E">
        <w:rPr>
          <w:rFonts w:ascii="Book Antiqua" w:hAnsi="Book Antiqua"/>
          <w:sz w:val="24"/>
          <w:szCs w:val="24"/>
          <w:lang w:val="sr-Latn-RS"/>
        </w:rPr>
        <w:lastRenderedPageBreak/>
        <w:t>PROPOSALS FOR THE IMPROVEMENT OF THE STATUS</w:t>
      </w:r>
    </w:p>
    <w:p w14:paraId="295D611D" w14:textId="77777777" w:rsidR="00B37F05" w:rsidRPr="00D06E2E" w:rsidRDefault="00B37F05" w:rsidP="00B37F05">
      <w:pPr>
        <w:pStyle w:val="NoSpacing"/>
        <w:jc w:val="center"/>
        <w:rPr>
          <w:rFonts w:ascii="Book Antiqua" w:hAnsi="Book Antiqua"/>
          <w:sz w:val="24"/>
          <w:szCs w:val="24"/>
          <w:lang w:val="sr-Latn-RS"/>
        </w:rPr>
      </w:pPr>
      <w:r w:rsidRPr="00D06E2E">
        <w:rPr>
          <w:rFonts w:ascii="Book Antiqua" w:hAnsi="Book Antiqua"/>
          <w:sz w:val="24"/>
          <w:szCs w:val="24"/>
          <w:lang w:val="sr-Latn-RS"/>
        </w:rPr>
        <w:t xml:space="preserve">OF THE ELDERLY IN RELATION TO </w:t>
      </w:r>
    </w:p>
    <w:p w14:paraId="7E636F25" w14:textId="77777777" w:rsidR="00B37F05" w:rsidRPr="00D06E2E" w:rsidRDefault="00B37F05" w:rsidP="00B37F05">
      <w:pPr>
        <w:pStyle w:val="NoSpacing"/>
        <w:jc w:val="center"/>
        <w:rPr>
          <w:rFonts w:ascii="Book Antiqua" w:hAnsi="Book Antiqua"/>
          <w:sz w:val="24"/>
          <w:szCs w:val="24"/>
          <w:lang w:val="sr-Latn-RS"/>
        </w:rPr>
      </w:pPr>
      <w:r w:rsidRPr="00D06E2E">
        <w:rPr>
          <w:rFonts w:ascii="Book Antiqua" w:hAnsi="Book Antiqua"/>
          <w:sz w:val="24"/>
          <w:szCs w:val="24"/>
          <w:lang w:val="sr-Latn-RS"/>
        </w:rPr>
        <w:t>ADMINISTRATION AUTHORITIES</w:t>
      </w:r>
    </w:p>
    <w:p w14:paraId="47ABE7EF" w14:textId="77777777" w:rsidR="00B37F05" w:rsidRPr="00D06E2E" w:rsidRDefault="00B37F05" w:rsidP="00B37F05">
      <w:pPr>
        <w:pStyle w:val="NoSpacing"/>
        <w:jc w:val="center"/>
        <w:rPr>
          <w:rFonts w:ascii="Book Antiqua" w:hAnsi="Book Antiqua"/>
          <w:sz w:val="24"/>
          <w:szCs w:val="24"/>
          <w:lang w:val="sr-Latn-RS"/>
        </w:rPr>
      </w:pPr>
    </w:p>
    <w:p w14:paraId="28EDA1A7" w14:textId="77777777" w:rsidR="00B37F05" w:rsidRPr="00D06E2E" w:rsidRDefault="00B37F05" w:rsidP="00B37F05">
      <w:pPr>
        <w:rPr>
          <w:i/>
          <w:lang w:val="sr-Latn-RS"/>
        </w:rPr>
      </w:pPr>
      <w:r w:rsidRPr="00D06E2E">
        <w:rPr>
          <w:i/>
          <w:lang w:val="sr-Latn-RS"/>
        </w:rPr>
        <w:t>Even though pursuant to Article 19Paragraph 2 of the Law on the Protector of Citizens, the Protector of Citizens is not authorized to oversee the work of the National Assembly and the Government, the Protector of Citizens believes that it would be useful that the stated bodies review his proposals.</w:t>
      </w:r>
    </w:p>
    <w:p w14:paraId="3F5F57BD" w14:textId="77777777" w:rsidR="00B37F05" w:rsidRPr="00D06E2E" w:rsidRDefault="00B37F05" w:rsidP="00B37F05">
      <w:pPr>
        <w:pStyle w:val="ListParagraph"/>
        <w:numPr>
          <w:ilvl w:val="0"/>
          <w:numId w:val="11"/>
        </w:numPr>
        <w:ind w:left="426" w:hanging="426"/>
        <w:rPr>
          <w:b/>
          <w:lang w:val="sr-Latn-RS"/>
        </w:rPr>
      </w:pPr>
      <w:r w:rsidRPr="00D06E2E">
        <w:rPr>
          <w:b/>
          <w:lang w:val="sr-Latn-RS"/>
        </w:rPr>
        <w:t xml:space="preserve">The Government </w:t>
      </w:r>
      <w:r w:rsidRPr="00D06E2E">
        <w:rPr>
          <w:lang w:val="sr-Latn-RS"/>
        </w:rPr>
        <w:t>should implement an economic policy that does not threaten the rights of people with disabilities and the elderly;</w:t>
      </w:r>
    </w:p>
    <w:p w14:paraId="47B5BFDB" w14:textId="77777777" w:rsidR="00B37F05" w:rsidRPr="00D06E2E" w:rsidRDefault="00B37F05" w:rsidP="00B37F05">
      <w:pPr>
        <w:pStyle w:val="ListParagraph"/>
        <w:numPr>
          <w:ilvl w:val="0"/>
          <w:numId w:val="11"/>
        </w:numPr>
        <w:ind w:left="426" w:hanging="426"/>
        <w:rPr>
          <w:lang w:val="sr-Latn-RS"/>
        </w:rPr>
      </w:pPr>
      <w:r w:rsidRPr="00D06E2E">
        <w:rPr>
          <w:b/>
          <w:lang w:val="sr-Latn-RS"/>
        </w:rPr>
        <w:t xml:space="preserve">The Government </w:t>
      </w:r>
      <w:r w:rsidRPr="00D06E2E">
        <w:rPr>
          <w:lang w:val="sr-Latn-RS"/>
        </w:rPr>
        <w:t>should provide a sufficient number of health workers, professional workers in social welfare institutions and professional associates in educational institutions that meet the needs of citizens in a sensitive position;</w:t>
      </w:r>
    </w:p>
    <w:p w14:paraId="228E185D" w14:textId="77777777" w:rsidR="00B37F05" w:rsidRPr="00D06E2E" w:rsidRDefault="00B37F05" w:rsidP="00B37F05">
      <w:pPr>
        <w:pStyle w:val="ListParagraph"/>
        <w:numPr>
          <w:ilvl w:val="0"/>
          <w:numId w:val="11"/>
        </w:numPr>
        <w:ind w:left="426" w:hanging="426"/>
        <w:rPr>
          <w:lang w:val="sr-Latn-RS"/>
        </w:rPr>
      </w:pPr>
      <w:r w:rsidRPr="00D06E2E">
        <w:rPr>
          <w:b/>
          <w:lang w:val="sr-Latn-RS"/>
        </w:rPr>
        <w:t xml:space="preserve">The Government </w:t>
      </w:r>
      <w:r w:rsidRPr="00D06E2E">
        <w:rPr>
          <w:lang w:val="sr-Latn-RS"/>
        </w:rPr>
        <w:t>should establish an adequate system of community services, especially family support services, independence support services and family alternative care services;</w:t>
      </w:r>
    </w:p>
    <w:p w14:paraId="40497F87" w14:textId="77777777" w:rsidR="00B37F05" w:rsidRPr="00D06E2E" w:rsidRDefault="00B37F05" w:rsidP="00B37F05">
      <w:pPr>
        <w:pStyle w:val="ListParagraph"/>
        <w:numPr>
          <w:ilvl w:val="0"/>
          <w:numId w:val="11"/>
        </w:numPr>
        <w:ind w:left="426" w:hanging="426"/>
        <w:rPr>
          <w:lang w:val="sr-Latn-RS"/>
        </w:rPr>
      </w:pPr>
      <w:r w:rsidRPr="00D06E2E">
        <w:rPr>
          <w:b/>
          <w:lang w:val="sr-Latn-RS"/>
        </w:rPr>
        <w:t xml:space="preserve">The Government </w:t>
      </w:r>
      <w:r w:rsidRPr="00D06E2E">
        <w:rPr>
          <w:lang w:val="sr-Latn-RS"/>
        </w:rPr>
        <w:t>should ensure a financially sustainable system of services and support services for persons with disabilities and the elderly;</w:t>
      </w:r>
    </w:p>
    <w:p w14:paraId="5EAE2C6B" w14:textId="77777777" w:rsidR="00B37F05" w:rsidRPr="00D06E2E" w:rsidRDefault="00B37F05" w:rsidP="00B37F05">
      <w:pPr>
        <w:pStyle w:val="ListParagraph"/>
        <w:numPr>
          <w:ilvl w:val="0"/>
          <w:numId w:val="11"/>
        </w:numPr>
        <w:ind w:left="426" w:hanging="426"/>
        <w:rPr>
          <w:b/>
          <w:lang w:val="sr-Latn-RS"/>
        </w:rPr>
      </w:pPr>
      <w:r w:rsidRPr="00D06E2E">
        <w:rPr>
          <w:b/>
          <w:lang w:val="sr-Latn-RS"/>
        </w:rPr>
        <w:t xml:space="preserve">The Government </w:t>
      </w:r>
      <w:r w:rsidRPr="00D06E2E">
        <w:rPr>
          <w:lang w:val="sr-Latn-RS"/>
        </w:rPr>
        <w:t>should establish the legal framework and other preconditions for the establishment of a precise and complete register of persons with disabilities;</w:t>
      </w:r>
    </w:p>
    <w:p w14:paraId="5AEADE8F" w14:textId="77777777" w:rsidR="00B37F05" w:rsidRPr="00D06E2E" w:rsidRDefault="00B37F05" w:rsidP="00B37F05">
      <w:pPr>
        <w:pStyle w:val="ListParagraph"/>
        <w:numPr>
          <w:ilvl w:val="0"/>
          <w:numId w:val="11"/>
        </w:numPr>
        <w:ind w:left="426" w:hanging="426"/>
        <w:rPr>
          <w:lang w:val="sr-Latn-RS"/>
        </w:rPr>
      </w:pPr>
      <w:r w:rsidRPr="00D06E2E">
        <w:rPr>
          <w:b/>
          <w:lang w:val="sr-Latn-RS"/>
        </w:rPr>
        <w:t xml:space="preserve">The Government </w:t>
      </w:r>
      <w:r w:rsidRPr="00D06E2E">
        <w:rPr>
          <w:lang w:val="sr-Latn-RS"/>
        </w:rPr>
        <w:t>should improve professional rehabilitation and encourage the employment of people with disabilities and include more people with disabilities in the labour market;</w:t>
      </w:r>
    </w:p>
    <w:p w14:paraId="7F68FE0B" w14:textId="77777777" w:rsidR="00B37F05" w:rsidRPr="00D06E2E" w:rsidRDefault="00B37F05" w:rsidP="00B37F05">
      <w:pPr>
        <w:pStyle w:val="ListParagraph"/>
        <w:numPr>
          <w:ilvl w:val="0"/>
          <w:numId w:val="11"/>
        </w:numPr>
        <w:ind w:left="426" w:hanging="720"/>
        <w:rPr>
          <w:lang w:val="sr-Latn-RS"/>
        </w:rPr>
      </w:pPr>
      <w:r w:rsidRPr="00D06E2E">
        <w:rPr>
          <w:b/>
          <w:lang w:val="sr-Latn-RS"/>
        </w:rPr>
        <w:t xml:space="preserve">The Government </w:t>
      </w:r>
      <w:r w:rsidRPr="00D06E2E">
        <w:rPr>
          <w:lang w:val="sr-Latn-RS"/>
        </w:rPr>
        <w:t>should prepare and submit to the National Assembly proposals for laws that introduce the institution of decision-making with support and terminate the possibility of deprivation of legal capacity;</w:t>
      </w:r>
    </w:p>
    <w:p w14:paraId="79E6F3FD" w14:textId="77777777" w:rsidR="00B37F05" w:rsidRPr="00D06E2E" w:rsidRDefault="00B37F05" w:rsidP="00B37F05">
      <w:pPr>
        <w:pStyle w:val="ListParagraph"/>
        <w:numPr>
          <w:ilvl w:val="0"/>
          <w:numId w:val="11"/>
        </w:numPr>
        <w:ind w:left="426" w:hanging="720"/>
        <w:rPr>
          <w:lang w:val="sr-Latn-RS"/>
        </w:rPr>
      </w:pPr>
      <w:r w:rsidRPr="00D06E2E">
        <w:rPr>
          <w:b/>
          <w:lang w:val="sr-Latn-RS"/>
        </w:rPr>
        <w:t xml:space="preserve">The Government </w:t>
      </w:r>
      <w:r w:rsidRPr="00D06E2E">
        <w:rPr>
          <w:lang w:val="sr-Latn-RS"/>
        </w:rPr>
        <w:t>should improve the prevention and protection of persons with disabilities and the elderly from violence and abuse, with a focus on women with disabilities and elderly women, which includes creating accessible protocols on the prevention of violence, abuse and exploitation, especially in social and health care institutions, then realization of trainings for groups for coordination and cooperation on the specifics of violence to which persons with disabilities are exposed, especially women with disabilities, as well as that shelters for victims of domestic violence (safe houses) and all other services for victims of violence are accessible to women with disabilities and elderly women;</w:t>
      </w:r>
    </w:p>
    <w:p w14:paraId="2C2B24D3" w14:textId="77777777" w:rsidR="00B37F05" w:rsidRPr="00D06E2E" w:rsidRDefault="00B37F05" w:rsidP="00B37F05">
      <w:pPr>
        <w:pStyle w:val="ListParagraph"/>
        <w:numPr>
          <w:ilvl w:val="0"/>
          <w:numId w:val="11"/>
        </w:numPr>
        <w:ind w:left="426" w:hanging="720"/>
        <w:rPr>
          <w:lang w:val="sr-Latn-RS"/>
        </w:rPr>
      </w:pPr>
      <w:r w:rsidRPr="00D06E2E">
        <w:rPr>
          <w:b/>
          <w:lang w:val="sr-Latn-RS"/>
        </w:rPr>
        <w:t xml:space="preserve">The Government </w:t>
      </w:r>
      <w:r w:rsidRPr="00D06E2E">
        <w:rPr>
          <w:lang w:val="sr-Latn-RS"/>
        </w:rPr>
        <w:t>should, in cooperation with other competent authorities, conduct a comprehensive analysis of the state, needs and possibilities of beneficiaries of social welfare services;</w:t>
      </w:r>
    </w:p>
    <w:p w14:paraId="0E308C7F" w14:textId="77777777" w:rsidR="00B37F05" w:rsidRPr="00D06E2E" w:rsidRDefault="00B37F05" w:rsidP="00B37F05">
      <w:pPr>
        <w:pStyle w:val="ListParagraph"/>
        <w:numPr>
          <w:ilvl w:val="0"/>
          <w:numId w:val="11"/>
        </w:numPr>
        <w:ind w:left="426" w:hanging="720"/>
        <w:rPr>
          <w:lang w:val="sr-Latn-RS"/>
        </w:rPr>
      </w:pPr>
      <w:r w:rsidRPr="00D06E2E">
        <w:rPr>
          <w:b/>
          <w:lang w:val="sr-Latn-RS"/>
        </w:rPr>
        <w:t>The Ministry of Labour, Employment, Veterans and Social Policy</w:t>
      </w:r>
      <w:r w:rsidRPr="00D06E2E">
        <w:rPr>
          <w:lang w:val="sr-Latn-RS"/>
        </w:rPr>
        <w:t xml:space="preserve"> should enable the full implementation of the Law on the Rights of Beneficiairies of Temporary Accommodation Services in Social Welfare</w:t>
      </w:r>
      <w:r w:rsidRPr="00D06E2E">
        <w:rPr>
          <w:rStyle w:val="FootnoteReference"/>
          <w:rFonts w:cs="Arial"/>
          <w:shd w:val="clear" w:color="auto" w:fill="FFFFFF"/>
          <w:lang w:val="sr-Latn-RS"/>
        </w:rPr>
        <w:footnoteReference w:id="104"/>
      </w:r>
      <w:r w:rsidRPr="00D06E2E">
        <w:rPr>
          <w:lang w:val="sr-Latn-RS"/>
        </w:rPr>
        <w:t xml:space="preserve"> and the preparation of amendments to the Law on Professional Rehabilitation and Employment of Persons with Disabilities and the Law on Pension and Disability Insurance for their mutual harmonization in order to avoid a </w:t>
      </w:r>
      <w:r w:rsidRPr="00D06E2E">
        <w:rPr>
          <w:lang w:val="sr-Latn-RS"/>
        </w:rPr>
        <w:lastRenderedPageBreak/>
        <w:t>collision when they are applied to the same factual situation, i.e.to the citizen's ability to work;</w:t>
      </w:r>
    </w:p>
    <w:p w14:paraId="778A8F71" w14:textId="77777777" w:rsidR="00B37F05" w:rsidRPr="00D06E2E" w:rsidRDefault="00B37F05" w:rsidP="00B37F05">
      <w:pPr>
        <w:pStyle w:val="ListParagraph"/>
        <w:numPr>
          <w:ilvl w:val="0"/>
          <w:numId w:val="15"/>
        </w:numPr>
        <w:ind w:left="426" w:hanging="426"/>
        <w:rPr>
          <w:lang w:val="sr-Latn-RS"/>
        </w:rPr>
      </w:pPr>
      <w:r w:rsidRPr="00D06E2E">
        <w:rPr>
          <w:b/>
          <w:lang w:val="sr-Latn-RS"/>
        </w:rPr>
        <w:t>The Ministry of Labour, Employment, Veterans and Social Policy, the Ministry of Health, the Provincial Secretariat for Social Policy, Demography and Gender Equality and the Provincial Secretariat for Health</w:t>
      </w:r>
      <w:r w:rsidRPr="00D06E2E">
        <w:rPr>
          <w:lang w:val="sr-Latn-RS"/>
        </w:rPr>
        <w:t xml:space="preserve"> should establish a social-health service in accordance with the law;</w:t>
      </w:r>
    </w:p>
    <w:p w14:paraId="19ADE1CE" w14:textId="77777777" w:rsidR="00B37F05" w:rsidRPr="00D06E2E" w:rsidRDefault="00B37F05" w:rsidP="00B37F05">
      <w:pPr>
        <w:pStyle w:val="ListParagraph"/>
        <w:numPr>
          <w:ilvl w:val="0"/>
          <w:numId w:val="14"/>
        </w:numPr>
        <w:ind w:left="426" w:hanging="426"/>
        <w:rPr>
          <w:lang w:val="sr-Latn-RS"/>
        </w:rPr>
      </w:pPr>
      <w:r w:rsidRPr="00D06E2E">
        <w:rPr>
          <w:b/>
          <w:lang w:val="sr-Latn-RS"/>
        </w:rPr>
        <w:t>Local self-government units</w:t>
      </w:r>
      <w:r w:rsidRPr="00D06E2E">
        <w:rPr>
          <w:lang w:val="sr-Latn-RS"/>
        </w:rPr>
        <w:t xml:space="preserve"> should establish, maintain and develop services in the community in accordance with the needs of persons with disabilities and the elderly;</w:t>
      </w:r>
    </w:p>
    <w:p w14:paraId="3EBC6A23" w14:textId="77777777" w:rsidR="00B37F05" w:rsidRPr="00D06E2E" w:rsidRDefault="00B37F05" w:rsidP="00B37F05">
      <w:pPr>
        <w:pStyle w:val="ListParagraph"/>
        <w:numPr>
          <w:ilvl w:val="0"/>
          <w:numId w:val="14"/>
        </w:numPr>
        <w:ind w:left="426" w:hanging="426"/>
        <w:rPr>
          <w:lang w:val="sr-Latn-RS"/>
        </w:rPr>
      </w:pPr>
      <w:r w:rsidRPr="00D06E2E">
        <w:rPr>
          <w:b/>
          <w:lang w:val="sr-Latn-RS"/>
        </w:rPr>
        <w:t>Local self-government units</w:t>
      </w:r>
      <w:r w:rsidRPr="00D06E2E">
        <w:rPr>
          <w:lang w:val="sr-Latn-RS"/>
        </w:rPr>
        <w:t xml:space="preserve"> should enable persons with disabilities to receive information intended for the public in an appropriate form and with appropriate technology, as well as provide financial resources and other conditions for the work of local media that publish information in sign language or Braille or otherwise enable members of this sensitive groups to freely exercise their right to public information;</w:t>
      </w:r>
    </w:p>
    <w:p w14:paraId="5D40936F" w14:textId="77777777" w:rsidR="00B37F05" w:rsidRPr="00D06E2E" w:rsidRDefault="00B37F05" w:rsidP="00B37F05">
      <w:pPr>
        <w:pStyle w:val="ListParagraph"/>
        <w:numPr>
          <w:ilvl w:val="0"/>
          <w:numId w:val="14"/>
        </w:numPr>
        <w:ind w:left="426" w:hanging="426"/>
        <w:rPr>
          <w:lang w:val="sr-Latn-RS"/>
        </w:rPr>
      </w:pPr>
      <w:r w:rsidRPr="00D06E2E">
        <w:rPr>
          <w:b/>
          <w:lang w:val="sr-Latn-RS"/>
        </w:rPr>
        <w:t>Local self-government units</w:t>
      </w:r>
      <w:r w:rsidRPr="00D06E2E">
        <w:rPr>
          <w:lang w:val="sr-Latn-RS"/>
        </w:rPr>
        <w:t xml:space="preserve"> should provide a sign language interpreter who will enable deaf people to use sign language in proceedings before all state administration bodies formed by local self-government;</w:t>
      </w:r>
    </w:p>
    <w:p w14:paraId="1164F78C" w14:textId="77777777" w:rsidR="00B37F05" w:rsidRPr="00D06E2E" w:rsidRDefault="00B37F05" w:rsidP="00B37F05">
      <w:pPr>
        <w:pStyle w:val="ListParagraph"/>
        <w:numPr>
          <w:ilvl w:val="0"/>
          <w:numId w:val="14"/>
        </w:numPr>
        <w:spacing w:after="0"/>
        <w:ind w:left="426" w:hanging="720"/>
        <w:rPr>
          <w:lang w:val="sr-Latn-RS"/>
        </w:rPr>
      </w:pPr>
      <w:r w:rsidRPr="00D06E2E">
        <w:rPr>
          <w:b/>
          <w:lang w:val="sr-Latn-RS"/>
        </w:rPr>
        <w:t>Local self-government units</w:t>
      </w:r>
      <w:r w:rsidRPr="00D06E2E">
        <w:rPr>
          <w:lang w:val="sr-Latn-RS"/>
        </w:rPr>
        <w:t xml:space="preserve"> should, when amending the regulations governing the organization of public transport at the local level, introduce the accessibility of means of transport as a condition for performing activities in public transport and until the full accessibility of means of transport in public transport is fulfilled, provide transport services for passengers with disabilities ;</w:t>
      </w:r>
    </w:p>
    <w:p w14:paraId="697970C0" w14:textId="77777777" w:rsidR="00B37F05" w:rsidRPr="00D06E2E" w:rsidRDefault="00B37F05" w:rsidP="00B37F05">
      <w:pPr>
        <w:spacing w:after="0"/>
        <w:ind w:left="-294"/>
        <w:rPr>
          <w:sz w:val="10"/>
          <w:szCs w:val="10"/>
          <w:lang w:val="sr-Latn-RS"/>
        </w:rPr>
      </w:pPr>
    </w:p>
    <w:p w14:paraId="72E76D1C" w14:textId="77777777" w:rsidR="00B37F05" w:rsidRPr="00D06E2E" w:rsidRDefault="00B37F05" w:rsidP="00B37F05">
      <w:pPr>
        <w:pStyle w:val="ListParagraph"/>
        <w:numPr>
          <w:ilvl w:val="0"/>
          <w:numId w:val="14"/>
        </w:numPr>
        <w:spacing w:after="0"/>
        <w:ind w:left="426" w:hanging="720"/>
        <w:rPr>
          <w:lang w:val="sr-Latn-RS"/>
        </w:rPr>
      </w:pPr>
      <w:r w:rsidRPr="00D06E2E">
        <w:rPr>
          <w:b/>
          <w:lang w:val="sr-Latn-RS"/>
        </w:rPr>
        <w:t>Competent authorities</w:t>
      </w:r>
      <w:r w:rsidRPr="00D06E2E">
        <w:rPr>
          <w:lang w:val="sr-Latn-RS"/>
        </w:rPr>
        <w:t xml:space="preserve"> should ensure that health institutions, institutions in the field of social welfare and education, police stations, administrative authorities, judicial authorities and all other facilities in public use are fully accessible to persons with disabilities;</w:t>
      </w:r>
    </w:p>
    <w:p w14:paraId="3351B293" w14:textId="77777777" w:rsidR="00B37F05" w:rsidRPr="00D06E2E" w:rsidRDefault="00B37F05" w:rsidP="00B37F05">
      <w:pPr>
        <w:spacing w:after="0"/>
        <w:rPr>
          <w:sz w:val="10"/>
          <w:szCs w:val="10"/>
          <w:lang w:val="sr-Latn-RS"/>
        </w:rPr>
      </w:pPr>
    </w:p>
    <w:p w14:paraId="603C7E5A" w14:textId="77777777" w:rsidR="00B37F05" w:rsidRPr="00D06E2E" w:rsidRDefault="00B37F05" w:rsidP="00B37F05">
      <w:pPr>
        <w:pStyle w:val="ListParagraph"/>
        <w:numPr>
          <w:ilvl w:val="0"/>
          <w:numId w:val="14"/>
        </w:numPr>
        <w:spacing w:after="0"/>
        <w:ind w:left="426" w:hanging="720"/>
        <w:rPr>
          <w:lang w:val="sr-Latn-RS"/>
        </w:rPr>
      </w:pPr>
      <w:r w:rsidRPr="00D06E2E">
        <w:rPr>
          <w:b/>
          <w:lang w:val="sr-Latn-RS"/>
        </w:rPr>
        <w:t>Authorities responsible for maintaining and updating voting lists and authorities responsible for conducting elections</w:t>
      </w:r>
      <w:r w:rsidRPr="00D06E2E">
        <w:rPr>
          <w:lang w:val="sr-Latn-RS"/>
        </w:rPr>
        <w:t xml:space="preserve"> should ensure the unhindered exercise of electoral rights and the right to direct representation and decision-making for persons with disabilities.</w:t>
      </w:r>
    </w:p>
    <w:p w14:paraId="0BC83171" w14:textId="77777777" w:rsidR="00B37F05" w:rsidRPr="00D06E2E" w:rsidRDefault="00B37F05" w:rsidP="00B37F05">
      <w:pPr>
        <w:shd w:val="clear" w:color="auto" w:fill="FFFFFF"/>
        <w:spacing w:after="0"/>
        <w:contextualSpacing/>
        <w:rPr>
          <w:lang w:val="sr-Latn-RS"/>
        </w:rPr>
      </w:pPr>
    </w:p>
    <w:p w14:paraId="1A1D815D" w14:textId="77777777" w:rsidR="00B37F05" w:rsidRPr="00D06E2E" w:rsidRDefault="00B37F05" w:rsidP="00B37F05">
      <w:pPr>
        <w:shd w:val="clear" w:color="auto" w:fill="FFFFFF"/>
        <w:spacing w:after="0"/>
        <w:contextualSpacing/>
        <w:rPr>
          <w:lang w:val="sr-Latn-RS"/>
        </w:rPr>
      </w:pPr>
    </w:p>
    <w:p w14:paraId="78F880EF" w14:textId="77777777" w:rsidR="00B37F05" w:rsidRPr="00D06E2E" w:rsidRDefault="00B37F05" w:rsidP="00B37F05">
      <w:pPr>
        <w:shd w:val="clear" w:color="auto" w:fill="FFFFFF"/>
        <w:spacing w:after="0"/>
        <w:contextualSpacing/>
        <w:rPr>
          <w:lang w:val="sr-Latn-RS"/>
        </w:rPr>
      </w:pPr>
    </w:p>
    <w:p w14:paraId="70773AD8" w14:textId="77777777" w:rsidR="00B37F05" w:rsidRPr="00D06E2E" w:rsidRDefault="00B37F05" w:rsidP="00B37F05">
      <w:pPr>
        <w:shd w:val="clear" w:color="auto" w:fill="FFFFFF"/>
        <w:spacing w:after="0"/>
        <w:contextualSpacing/>
        <w:rPr>
          <w:lang w:val="sr-Latn-RS"/>
        </w:rPr>
      </w:pPr>
    </w:p>
    <w:p w14:paraId="29197192" w14:textId="77777777" w:rsidR="00B37F05" w:rsidRPr="00D06E2E" w:rsidRDefault="00B37F05" w:rsidP="00B37F05">
      <w:pPr>
        <w:shd w:val="clear" w:color="auto" w:fill="FFFFFF"/>
        <w:spacing w:after="0"/>
        <w:contextualSpacing/>
        <w:rPr>
          <w:lang w:val="sr-Latn-RS"/>
        </w:rPr>
      </w:pPr>
    </w:p>
    <w:p w14:paraId="5026C6AE" w14:textId="77777777" w:rsidR="00B37F05" w:rsidRPr="00D06E2E" w:rsidRDefault="00B37F05" w:rsidP="00B37F05">
      <w:pPr>
        <w:shd w:val="clear" w:color="auto" w:fill="FFFFFF"/>
        <w:spacing w:after="0"/>
        <w:contextualSpacing/>
        <w:rPr>
          <w:lang w:val="sr-Latn-RS"/>
        </w:rPr>
      </w:pPr>
    </w:p>
    <w:p w14:paraId="7AA0D67A" w14:textId="77777777" w:rsidR="00B37F05" w:rsidRPr="00D06E2E" w:rsidRDefault="00B37F05" w:rsidP="00B37F05">
      <w:pPr>
        <w:shd w:val="clear" w:color="auto" w:fill="FFFFFF"/>
        <w:spacing w:after="0"/>
        <w:contextualSpacing/>
        <w:rPr>
          <w:lang w:val="sr-Latn-RS"/>
        </w:rPr>
      </w:pPr>
    </w:p>
    <w:p w14:paraId="0750FB4A" w14:textId="77777777" w:rsidR="00B37F05" w:rsidRPr="00D06E2E" w:rsidRDefault="00B37F05" w:rsidP="00B37F05">
      <w:pPr>
        <w:shd w:val="clear" w:color="auto" w:fill="FFFFFF"/>
        <w:spacing w:after="0"/>
        <w:contextualSpacing/>
        <w:rPr>
          <w:lang w:val="sr-Latn-RS"/>
        </w:rPr>
      </w:pPr>
    </w:p>
    <w:p w14:paraId="48C4E7D3" w14:textId="77777777" w:rsidR="00B37F05" w:rsidRPr="00D06E2E" w:rsidRDefault="00B37F05" w:rsidP="00B37F05">
      <w:pPr>
        <w:shd w:val="clear" w:color="auto" w:fill="FFFFFF"/>
        <w:spacing w:after="0"/>
        <w:contextualSpacing/>
        <w:rPr>
          <w:lang w:val="sr-Latn-RS"/>
        </w:rPr>
      </w:pPr>
    </w:p>
    <w:p w14:paraId="44FE6E5B" w14:textId="77777777" w:rsidR="00B37F05" w:rsidRPr="00D06E2E" w:rsidRDefault="00B37F05" w:rsidP="00B37F05">
      <w:pPr>
        <w:shd w:val="clear" w:color="auto" w:fill="FFFFFF"/>
        <w:spacing w:after="0"/>
        <w:contextualSpacing/>
        <w:rPr>
          <w:lang w:val="sr-Latn-RS"/>
        </w:rPr>
      </w:pPr>
    </w:p>
    <w:p w14:paraId="6FDC77B1" w14:textId="77777777" w:rsidR="00B37F05" w:rsidRPr="00D06E2E" w:rsidRDefault="00B37F05" w:rsidP="00B37F05">
      <w:pPr>
        <w:shd w:val="clear" w:color="auto" w:fill="FFFFFF"/>
        <w:spacing w:after="0"/>
        <w:contextualSpacing/>
        <w:rPr>
          <w:lang w:val="sr-Latn-RS"/>
        </w:rPr>
      </w:pPr>
    </w:p>
    <w:p w14:paraId="77E8AAF2" w14:textId="77777777" w:rsidR="00B37F05" w:rsidRPr="00D06E2E" w:rsidRDefault="00B37F05" w:rsidP="00B37F05">
      <w:pPr>
        <w:shd w:val="clear" w:color="auto" w:fill="FFFFFF"/>
        <w:spacing w:after="0"/>
        <w:contextualSpacing/>
        <w:rPr>
          <w:lang w:val="sr-Latn-RS"/>
        </w:rPr>
      </w:pPr>
    </w:p>
    <w:p w14:paraId="33F30A9D" w14:textId="77777777" w:rsidR="00B37F05" w:rsidRPr="00D06E2E" w:rsidRDefault="00B37F05" w:rsidP="00B37F05">
      <w:pPr>
        <w:shd w:val="clear" w:color="auto" w:fill="FFFFFF"/>
        <w:spacing w:after="0"/>
        <w:contextualSpacing/>
        <w:rPr>
          <w:lang w:val="sr-Latn-RS"/>
        </w:rPr>
      </w:pPr>
    </w:p>
    <w:p w14:paraId="0DEAF6E4" w14:textId="77777777" w:rsidR="00B37F05" w:rsidRPr="00D06E2E" w:rsidRDefault="00B37F05" w:rsidP="00B37F05">
      <w:pPr>
        <w:shd w:val="clear" w:color="auto" w:fill="FFFFFF"/>
        <w:spacing w:after="0"/>
        <w:contextualSpacing/>
        <w:rPr>
          <w:lang w:val="sr-Latn-RS"/>
        </w:rPr>
      </w:pPr>
    </w:p>
    <w:p w14:paraId="0A0E31BE" w14:textId="77777777" w:rsidR="00B37F05" w:rsidRPr="00D06E2E" w:rsidRDefault="00B37F05" w:rsidP="00B37F05">
      <w:pPr>
        <w:shd w:val="clear" w:color="auto" w:fill="FFFFFF"/>
        <w:spacing w:after="0"/>
        <w:contextualSpacing/>
        <w:rPr>
          <w:lang w:val="sr-Latn-RS"/>
        </w:rPr>
      </w:pPr>
    </w:p>
    <w:p w14:paraId="5D97003E" w14:textId="77777777" w:rsidR="00B37F05" w:rsidRPr="00D06E2E" w:rsidRDefault="00B37F05" w:rsidP="00B37F05">
      <w:pPr>
        <w:shd w:val="clear" w:color="auto" w:fill="FFFFFF"/>
        <w:spacing w:after="0"/>
        <w:contextualSpacing/>
        <w:rPr>
          <w:lang w:val="sr-Latn-RS"/>
        </w:rPr>
      </w:pPr>
    </w:p>
    <w:p w14:paraId="04F12989" w14:textId="77777777" w:rsidR="00B37F05" w:rsidRPr="00D06E2E" w:rsidRDefault="00B37F05" w:rsidP="00B37F05">
      <w:pPr>
        <w:shd w:val="clear" w:color="auto" w:fill="FFFFFF"/>
        <w:spacing w:after="0"/>
        <w:contextualSpacing/>
        <w:rPr>
          <w:lang w:val="sr-Latn-RS"/>
        </w:rPr>
      </w:pPr>
    </w:p>
    <w:p w14:paraId="32D32C89" w14:textId="77777777" w:rsidR="00B37F05" w:rsidRPr="00D06E2E" w:rsidRDefault="00B37F05" w:rsidP="00B37F05">
      <w:pPr>
        <w:shd w:val="clear" w:color="auto" w:fill="FFFFFF"/>
        <w:spacing w:after="0"/>
        <w:contextualSpacing/>
        <w:rPr>
          <w:lang w:val="sr-Latn-RS"/>
        </w:rPr>
      </w:pPr>
    </w:p>
    <w:p w14:paraId="6A604D59" w14:textId="77777777" w:rsidR="00B37F05" w:rsidRPr="00D06E2E" w:rsidRDefault="00B37F05" w:rsidP="00B37F05">
      <w:pPr>
        <w:pStyle w:val="Heading3"/>
        <w:rPr>
          <w:lang w:val="sr-Latn-RS"/>
        </w:rPr>
      </w:pPr>
      <w:bookmarkStart w:id="53" w:name="_Toc161659201"/>
      <w:r w:rsidRPr="00D06E2E">
        <w:rPr>
          <w:lang w:val="sr-Latn-RS"/>
        </w:rPr>
        <w:lastRenderedPageBreak/>
        <w:t>INDEPENDENT MECHANISM FOR MONITORING THE IMPLEMENTATION OF THE UNITED NATIONS CONVENTION ON THE RIGHTS OF PERSONS WITH DISABILITIES</w:t>
      </w:r>
      <w:bookmarkEnd w:id="53"/>
    </w:p>
    <w:p w14:paraId="0B843769" w14:textId="77777777" w:rsidR="00B37F05" w:rsidRPr="00D06E2E" w:rsidRDefault="00B37F05" w:rsidP="00B37F05">
      <w:pPr>
        <w:pStyle w:val="Normal2"/>
        <w:tabs>
          <w:tab w:val="left" w:pos="3015"/>
        </w:tabs>
        <w:spacing w:before="120" w:beforeAutospacing="0" w:after="120" w:afterAutospacing="0"/>
        <w:jc w:val="both"/>
        <w:rPr>
          <w:rFonts w:ascii="Book Antiqua" w:hAnsi="Book Antiqua"/>
          <w:lang w:val="sr-Latn-RS"/>
        </w:rPr>
      </w:pPr>
      <w:r w:rsidRPr="00D06E2E">
        <w:rPr>
          <w:rFonts w:ascii="Book Antiqua" w:hAnsi="Book Antiqua"/>
          <w:lang w:val="sr-Latn-RS"/>
        </w:rPr>
        <w:t>On November 3, 2021, the National Assembly of the Republic of Serbia adopted a new Law on the Protector of Citizens</w:t>
      </w:r>
      <w:r w:rsidRPr="00D06E2E">
        <w:rPr>
          <w:rStyle w:val="FootnoteReference"/>
          <w:rFonts w:ascii="Book Antiqua" w:hAnsi="Book Antiqua"/>
          <w:lang w:val="sr-Latn-RS"/>
        </w:rPr>
        <w:footnoteReference w:id="105"/>
      </w:r>
      <w:r w:rsidRPr="00D06E2E">
        <w:rPr>
          <w:rFonts w:ascii="Book Antiqua" w:hAnsi="Book Antiqua"/>
          <w:lang w:val="sr-Latn-RS"/>
        </w:rPr>
        <w:t>, which stipulates that the Protector of Citizens performs the duties of a national independent mechanism for monitoring the implementation of the United Nations Convention on the Rights of Persons with Disabilities, in accordance with the Law on the Ratification of the Convention on the Rights of Persons with Disabilities of the United Nations. By appointing the Protector of Citizens, as an independent state body that is also an accredited national institution for the protection and promotion of human rights with "A" status, to perform the tasks of this mechanism, it was acted in full accordance with the convention which indicates that monitoring the exercise of the rights of persons with disability should be entrusted to an independent body that would point out, in an impartial way, based on the facts, both successful examples of the realization of the rights of persons with disabilities, as well as problems that slow down or prevent the achievement of the goals contained in the convention.</w:t>
      </w:r>
    </w:p>
    <w:p w14:paraId="6A4E7615" w14:textId="77777777" w:rsidR="00B37F05" w:rsidRPr="00D06E2E" w:rsidRDefault="00B37F05" w:rsidP="00B37F05">
      <w:pPr>
        <w:spacing w:before="120" w:after="0"/>
        <w:rPr>
          <w:lang w:val="sr-Latn-RS"/>
        </w:rPr>
      </w:pPr>
      <w:r w:rsidRPr="00D06E2E">
        <w:rPr>
          <w:lang w:val="sr-Latn-RS"/>
        </w:rPr>
        <w:t>In order to perform necessary preparations for carrying out the tasks of the independent mechanism for monitoring the implementation of the convention, the Protector of Citizens undertook numerous activities in the reporting period. As part of the European Union project “Support for strengthening the rule of law in the Republic of Serbia:”, the Protector of Citizens held several consultative meetings with experts from Lithuania in order to develop a methodology for monitoring the implementation of the convention. Also, the development of indicators by which the implementation will be monitored is underway.</w:t>
      </w:r>
    </w:p>
    <w:p w14:paraId="5F14F3A5" w14:textId="77777777" w:rsidR="00B37F05" w:rsidRPr="00D06E2E" w:rsidRDefault="00B37F05" w:rsidP="00B37F05">
      <w:pPr>
        <w:spacing w:before="120" w:after="0"/>
        <w:rPr>
          <w:lang w:val="sr-Latn-RS"/>
        </w:rPr>
      </w:pPr>
      <w:r w:rsidRPr="00D06E2E">
        <w:rPr>
          <w:lang w:val="sr-Latn-RS"/>
        </w:rPr>
        <w:t>Employees of the Secretariat of the Protector of Citizens attended training on the position of persons with disabilities, and the training will continue in the coming period, when it is planned that a member of the Committee for the Rights of Persons with Disabilities of the United Nations will hold training on the application of the Convention and the Guidelines on the establishment and functioning of the independent mechanism for monitoring the implementation of the convention.</w:t>
      </w:r>
    </w:p>
    <w:p w14:paraId="7AAA77BA" w14:textId="77777777" w:rsidR="00B37F05" w:rsidRPr="00D06E2E" w:rsidRDefault="00B37F05" w:rsidP="00B37F05">
      <w:pPr>
        <w:spacing w:before="120" w:after="0"/>
        <w:rPr>
          <w:lang w:val="sr-Latn-RS"/>
        </w:rPr>
      </w:pPr>
      <w:r w:rsidRPr="00D06E2E">
        <w:rPr>
          <w:lang w:val="sr-Latn-RS"/>
        </w:rPr>
        <w:t>As part of the preparation for the performance of the work of the Independent Mechanism for Monitoring the Implementation of the Convention on the Rights of Persons with Disabilities, and bearing in mind that the National Preventive Mechanism already actually monitors the implementation of Articles 14, 15, 16, 17, 22 and 25 of the Convention, in the reporting period the Protector of Citizens used mentioned NPM capacity in the function of monitoring the implementation of the Convention. In this regard, the Protector of Citizens visited six home-type social welfare institutions and two psychiatric institutions during the reporting period.</w:t>
      </w:r>
    </w:p>
    <w:p w14:paraId="78C00AF6" w14:textId="77777777" w:rsidR="00B37F05" w:rsidRPr="00D06E2E" w:rsidRDefault="00B37F05" w:rsidP="00B37F05">
      <w:pPr>
        <w:spacing w:before="120" w:after="0"/>
        <w:rPr>
          <w:lang w:val="sr-Latn-RS"/>
        </w:rPr>
      </w:pPr>
      <w:r w:rsidRPr="00D06E2E">
        <w:rPr>
          <w:lang w:val="sr-Latn-RS"/>
        </w:rPr>
        <w:t>During the visits, he particularly monitored the application of the following articles: article 14 (Procedure of placement in a psychiatric institution, articles 15 and 17 (Use of coercion, physical restraint, excessive antipsychotic therapy and isolation of persons with mental disorders), article 16 (Existence of effective measures to prevent violence against persons with disabilities and the existence of a complaint mechanism), Article 16 (Living conditions in institutions, especially those that may favor the occurrence of abuse and neglect of persons with disabilities, Article 17 (Consent to medical measures, application of electroshocks, psychosurgical interventions, scientific research), Article 22 (Exercise and respect of the right to privacy) and Article 25 (Method and quality of health care provision, training of health workers to provide care to persons with disabilities, etc.).</w:t>
      </w:r>
    </w:p>
    <w:p w14:paraId="7A716AE3" w14:textId="77777777" w:rsidR="00B37F05" w:rsidRPr="00D06E2E" w:rsidRDefault="00B37F05" w:rsidP="00B37F05">
      <w:pPr>
        <w:pStyle w:val="Default"/>
        <w:spacing w:before="120"/>
        <w:jc w:val="both"/>
        <w:rPr>
          <w:rFonts w:ascii="Book Antiqua" w:eastAsia="Calibri" w:hAnsi="Book Antiqua" w:cs="Book Antiqua"/>
          <w:color w:val="auto"/>
          <w:sz w:val="22"/>
          <w:szCs w:val="22"/>
          <w:lang w:val="sr-Latn-RS"/>
        </w:rPr>
      </w:pPr>
      <w:r w:rsidRPr="00D06E2E">
        <w:rPr>
          <w:rFonts w:ascii="Book Antiqua" w:eastAsia="Calibri" w:hAnsi="Book Antiqua" w:cs="Book Antiqua"/>
          <w:color w:val="auto"/>
          <w:sz w:val="22"/>
          <w:szCs w:val="22"/>
          <w:lang w:val="sr-Latn-RS"/>
        </w:rPr>
        <w:lastRenderedPageBreak/>
        <w:t>During the visits to psychiatric institutions, an improvement was found in the procedures regarding obtaining consent for hospital treatment and informed consent to medical measures. The Protector of Citizens noticed that hospitals use standardized forms of the Ministry of Health during admission, that before signing the consent, the patient is given information about his condition, as well as about the proposed medical measures, treatment plan, risks and benefits of hospital treatment for his health, and that the patient who the psychiatrist assesses that he understands the purpose of placement in a psychiatric institution and is able to give consent to placement, as well as consent to the proposed medical measure, gives consent to placement separately from consent - consent to the proposed medical measure, on separate forms. In rare cases in which the Protector of Citizens found deficiencies in the admission and obtaining the patient's consent for accommodation and hospital treatment, the institution visited was recommended to arrange the procedure for admission and treatment of persons with mental disorders in accordance with the Act on the Protection of Persons with Mental Disorders and to in each specific case, the psychiatrist determines the patient's ability to make a decision on consent to accommodation, and in the forms of the person's statement on consent to accommodation and hospital treatment and consent to medical measures, he enters the date and time of their giving.</w:t>
      </w:r>
    </w:p>
    <w:p w14:paraId="6C1E797A" w14:textId="77777777" w:rsidR="00B37F05" w:rsidRPr="00D06E2E" w:rsidRDefault="00B37F05" w:rsidP="00B37F05">
      <w:pPr>
        <w:spacing w:before="120" w:after="0"/>
        <w:rPr>
          <w:rFonts w:eastAsia="Times New Roman" w:cs="Times New Roman"/>
          <w:color w:val="000000"/>
          <w:lang w:val="sr-Latn-RS"/>
        </w:rPr>
      </w:pPr>
      <w:r w:rsidRPr="00D06E2E">
        <w:rPr>
          <w:rFonts w:eastAsia="Times New Roman" w:cs="Times New Roman"/>
          <w:color w:val="000000"/>
          <w:lang w:val="sr-Latn-RS"/>
        </w:rPr>
        <w:t>In connection with the application of the measure of physical restraint, the Protector of Citizens observed that this measure is applied only exceptionally on the basis of a psychiatrist's decision and with the supervision of medical staff, but that there is a lack of special training for health workers for its application and that in the application of this measure, apart from health workers, occasionally non-medical personnel - security workers - also participate, which is contrary to the applicable regulations and standards. Also, according to the findings of the Protector of Citizens, the records on the application of the measure of physical restraint of persons with mental disorders are not always complete, they do not provide reliable data on the frequency of application and the duration of the measure.</w:t>
      </w:r>
    </w:p>
    <w:p w14:paraId="682736A1" w14:textId="77777777" w:rsidR="00B37F05" w:rsidRPr="00D06E2E" w:rsidRDefault="00B37F05" w:rsidP="00B37F05">
      <w:pPr>
        <w:spacing w:before="120" w:after="0"/>
        <w:rPr>
          <w:lang w:val="sr-Latn-RS"/>
        </w:rPr>
      </w:pPr>
      <w:r w:rsidRPr="00D06E2E">
        <w:rPr>
          <w:lang w:val="sr-Latn-RS"/>
        </w:rPr>
        <w:t>In social welfare institutions of the home type, fixation is not applied in practice. The law on the rights of beneficiaries of temporary housing services in social welfare</w:t>
      </w:r>
      <w:r w:rsidRPr="00D06E2E">
        <w:rPr>
          <w:vertAlign w:val="superscript"/>
          <w:lang w:val="sr-Latn-RS"/>
        </w:rPr>
        <w:footnoteReference w:id="106"/>
      </w:r>
      <w:r w:rsidRPr="00D06E2E">
        <w:rPr>
          <w:lang w:val="sr-Latn-RS"/>
        </w:rPr>
        <w:t xml:space="preserve">  prohibits the application of all coercive measures and treatment without the beneficiary’s consent. The law stipulates that in the event of the necessity of preventing endangerment of the life or safety of beneficiaries or other persons, or violation of the rights of other persons, measures proportionate to the elimination of the danger that has occurred can be taken, as well as that the manner and conditions of the institution's actions in incident situations are prescribed by the minister responsible for social welfare.</w:t>
      </w:r>
    </w:p>
    <w:p w14:paraId="43679B53" w14:textId="77777777" w:rsidR="00B37F05" w:rsidRPr="00D06E2E" w:rsidRDefault="00B37F05" w:rsidP="00B37F05">
      <w:pPr>
        <w:spacing w:before="120" w:after="0"/>
        <w:rPr>
          <w:rFonts w:eastAsia="Times New Roman" w:cs="Calibri"/>
          <w:lang w:val="sr-Latn-RS"/>
        </w:rPr>
      </w:pPr>
      <w:r w:rsidRPr="00D06E2E">
        <w:rPr>
          <w:rFonts w:eastAsia="Times New Roman" w:cs="Calibri"/>
          <w:lang w:val="sr-Latn-RS"/>
        </w:rPr>
        <w:t>During his visits, the Protector of Citizens observed that the material conditions of accommodation have been improved in some institutions, while in others those conditions are still poor, and he made recommendations to harmonize living conditions with current standards and create a positive therapeutic environment. In none of the institutions visited did the Protector of Citizens receive allegations of abuse, nor did he observe that there were any forms of abuse or neglect of patients, i.e. beneficiaries, but in most of the visited institutions he determined that there was an insufficient number of employees, which could affect the quality of care for beneficiaries and patients.</w:t>
      </w:r>
    </w:p>
    <w:p w14:paraId="78BE9B03" w14:textId="77777777" w:rsidR="00B37F05" w:rsidRPr="00D06E2E" w:rsidRDefault="00B37F05" w:rsidP="00B37F05">
      <w:pPr>
        <w:tabs>
          <w:tab w:val="left" w:pos="7290"/>
        </w:tabs>
        <w:spacing w:before="120" w:after="0"/>
        <w:rPr>
          <w:lang w:val="sr-Latn-RS"/>
        </w:rPr>
      </w:pPr>
      <w:r w:rsidRPr="00D06E2E">
        <w:rPr>
          <w:lang w:val="sr-Latn-RS"/>
        </w:rPr>
        <w:t>In some institutions, it was observed that there is no clearly visible information about the rights of patients and how to exercise them, as well as that the procedure for dealing with beneficiairy complaints is not in accordance with the current law and that there is no unified record of complaints/objections.</w:t>
      </w:r>
    </w:p>
    <w:p w14:paraId="434DB674" w14:textId="77777777" w:rsidR="00B37F05" w:rsidRPr="00D06E2E" w:rsidRDefault="00B37F05" w:rsidP="00B37F05">
      <w:pPr>
        <w:tabs>
          <w:tab w:val="left" w:pos="7290"/>
        </w:tabs>
        <w:spacing w:before="120" w:after="0"/>
        <w:rPr>
          <w:lang w:val="sr-Latn-RS"/>
        </w:rPr>
      </w:pPr>
      <w:r w:rsidRPr="00D06E2E">
        <w:rPr>
          <w:lang w:val="sr-Latn-RS"/>
        </w:rPr>
        <w:lastRenderedPageBreak/>
        <w:t>No cases were observed in which persons with disabilities are subjected to scientific research without their will, nor that electroshock therapy and psychosurgical interventions are applied in practice.</w:t>
      </w:r>
    </w:p>
    <w:p w14:paraId="175D5D6E" w14:textId="77777777" w:rsidR="00B37F05" w:rsidRPr="00D06E2E" w:rsidRDefault="00B37F05" w:rsidP="00B37F05">
      <w:pPr>
        <w:spacing w:before="120" w:after="0"/>
        <w:rPr>
          <w:lang w:val="sr-Latn-RS"/>
        </w:rPr>
      </w:pPr>
      <w:r w:rsidRPr="00D06E2E">
        <w:rPr>
          <w:lang w:val="sr-Latn-RS"/>
        </w:rPr>
        <w:t>Regarding the application of Articles 22 and 25 of the Convention, i.e. respect for privacy and the provision of health care, it was observed that all beneficiaires and patients in the visited institutions are provided with private correspondence without supervision, and that as a rule, health services are accessible to them. According to the findings from individual visits, it was observed that the individual treatment plans of the patients are not sufficiently individualized because they do not contain a plan of therapeutic and rehabilitation activities for a specific patient, data on the achieved progress, observation and evaluation of the implemented interventions, nor data on a possible change in the treatment plan, and the conclusion and recommendations of the therapeutic team. There is still a lack of continuous specialist education of secondary medical staff in the field of mental health and work with people with mental disorders, which can affect the quality of health care and psychosocial rehabilitation of patients. Finally, there is still a need to develop and organize appropriate rehabilitative psycho-social activities for patients and users and to involve as many as possible in psycho-social rehabilitation programs, in accordance with their needs and adjusted to their capabilities.</w:t>
      </w:r>
    </w:p>
    <w:p w14:paraId="73D5FDE7" w14:textId="77777777" w:rsidR="00B37F05" w:rsidRPr="00D06E2E" w:rsidRDefault="00B37F05" w:rsidP="00B37F05">
      <w:pPr>
        <w:spacing w:before="120" w:after="0"/>
        <w:rPr>
          <w:lang w:val="sr-Latn-RS"/>
        </w:rPr>
      </w:pPr>
      <w:r w:rsidRPr="00D06E2E">
        <w:rPr>
          <w:lang w:val="sr-Latn-RS"/>
        </w:rPr>
        <w:t>The Protector of Citizens once again points to the need to speed up activities regarding the creation of conditions for the efficient and sustainable functioning of the deinstitutionalization system, which includes both health and social aspects, since no significant progress in this area was observed in this reporting period either. A special problem is that there is no clear strategic direction for the deinstitutionalization of adults with intellectual and mental disabilities. In practice, the possibility of establishing social health institutions or organizational units for users who need both social care and permanent health care and supervision has not been developed.</w:t>
      </w:r>
    </w:p>
    <w:p w14:paraId="737A88EA" w14:textId="77777777" w:rsidR="00B37F05" w:rsidRPr="00D06E2E" w:rsidRDefault="00B37F05" w:rsidP="00B37F05">
      <w:pPr>
        <w:spacing w:before="120" w:after="0"/>
        <w:rPr>
          <w:rFonts w:cs="Arial"/>
          <w:color w:val="000000"/>
          <w:lang w:val="sr-Latn-RS"/>
        </w:rPr>
      </w:pPr>
      <w:r w:rsidRPr="00D06E2E">
        <w:rPr>
          <w:rFonts w:cs="Arial"/>
          <w:color w:val="000000"/>
          <w:lang w:val="sr-Latn-RS"/>
        </w:rPr>
        <w:t>In the adopted Strategy of deinstitutionalization and development of social protection services in the community for the period 2022-2026</w:t>
      </w:r>
      <w:r w:rsidRPr="00D06E2E">
        <w:rPr>
          <w:rStyle w:val="FootnoteReference"/>
          <w:lang w:val="sr-Latn-RS"/>
        </w:rPr>
        <w:footnoteReference w:id="107"/>
      </w:r>
      <w:r w:rsidRPr="00D06E2E">
        <w:rPr>
          <w:rFonts w:cs="Arial"/>
          <w:color w:val="000000"/>
          <w:lang w:val="sr-Latn-RS"/>
        </w:rPr>
        <w:t>, whose adoption is part of the Action Plan for Negotiating Chapter 23 Fundamental Rights, it was stated that certain results were achieved when it comes to the beneficiary group of children and youth, but not significant results when it comes to adults with intellectual and mental disabilities. Their number in accommodation institutions has remained practically unchanged for years, leaving the institutions is a rare phenomenon, certain services in the community that support staying in the natural environment are insufficiently developed. It was also stated that services in the community are insufficiently and unevenly developed with constant problems of financial sustainability, that certain services that are particularly important for deinstitutionalization processes, such as housing with support for people with disabilities, are gradually disappearing, that allocations from local budgets for the development of services are insufficient in the community and that the number of persons with complete or partial lack of business ability is increasing.</w:t>
      </w:r>
    </w:p>
    <w:p w14:paraId="3EE37EE8" w14:textId="77777777" w:rsidR="00B37F05" w:rsidRPr="00D06E2E" w:rsidRDefault="00B37F05" w:rsidP="00B37F05">
      <w:pPr>
        <w:spacing w:before="120" w:after="0"/>
        <w:rPr>
          <w:lang w:val="sr-Latn-RS"/>
        </w:rPr>
      </w:pPr>
      <w:r w:rsidRPr="00D06E2E">
        <w:rPr>
          <w:lang w:val="sr-Latn-RS"/>
        </w:rPr>
        <w:t>As pointed out in the aforementioned strategy, the insufficient development of social welfare services in the community is, in the opinion of the Protector of Citizens, the main reason for the constantly high number of beneficiaries of home accommodation for persons with disabilities, especially persons with intellectual and mental disabilities.</w:t>
      </w:r>
    </w:p>
    <w:p w14:paraId="38885489" w14:textId="77777777" w:rsidR="00B37F05" w:rsidRPr="00D06E2E" w:rsidRDefault="00B37F05" w:rsidP="00B37F05">
      <w:pPr>
        <w:spacing w:before="120" w:after="0"/>
        <w:rPr>
          <w:lang w:val="sr-Latn-RS"/>
        </w:rPr>
      </w:pPr>
      <w:r w:rsidRPr="00D06E2E">
        <w:rPr>
          <w:lang w:val="sr-Latn-RS"/>
        </w:rPr>
        <w:t xml:space="preserve">The Protector of Citizens notes with concern that a balanced and sustainable system of development of services in the community has not been established, that people with intellectual and mental disabilities, in the absence of appropriate services in the community, </w:t>
      </w:r>
      <w:r w:rsidRPr="00D06E2E">
        <w:rPr>
          <w:lang w:val="sr-Latn-RS"/>
        </w:rPr>
        <w:lastRenderedPageBreak/>
        <w:t>continue to be placed in institutions of the home type, which is contrary to the processes of deinstitutionalization and the Convention on Rights of Persons with Disabilities.</w:t>
      </w:r>
    </w:p>
    <w:p w14:paraId="611FE5D5" w14:textId="77777777" w:rsidR="00B37F05" w:rsidRPr="00D06E2E" w:rsidRDefault="00B37F05" w:rsidP="00B37F05">
      <w:pPr>
        <w:spacing w:before="120" w:after="0"/>
        <w:rPr>
          <w:rFonts w:cs="Arial"/>
          <w:bCs/>
          <w:bdr w:val="none" w:sz="0" w:space="0" w:color="auto" w:frame="1"/>
          <w:shd w:val="clear" w:color="auto" w:fill="FFFFFF"/>
          <w:lang w:val="sr-Latn-RS"/>
        </w:rPr>
      </w:pPr>
      <w:r w:rsidRPr="00D06E2E">
        <w:rPr>
          <w:rFonts w:cs="Arial"/>
          <w:bCs/>
          <w:bdr w:val="none" w:sz="0" w:space="0" w:color="auto" w:frame="1"/>
          <w:shd w:val="clear" w:color="auto" w:fill="FFFFFF"/>
          <w:lang w:val="sr-Latn-RS"/>
        </w:rPr>
        <w:t>The Protector of Citizens notes that in this reporting period the Action Plan for the period 2023-2024 has not yet been adopted for the implementation of the Strategy of deinstitutionalization and development of social welfare services in the community for the period 2022-2026, as well as that the amendments to the Family Law proposed in 2021, have not yet been adopted. Complete deprivation of professional capacity is still a legal practice in the Republic of Serbia, contrary to the provisions of the Convention on the Rights of Persons with Disabilities and the Concluding Observations of the Committee on the Rights of Persons with Disabilities. The Protector of Citizens lobbied for the abolition of the complete deprivation of legal capacity and the introduction of a decision-making institute with support through participation in the work of the Special Working Group for drafting the Draft Law on Amendments to the Family Law.</w:t>
      </w:r>
    </w:p>
    <w:p w14:paraId="1FC102F5" w14:textId="77777777" w:rsidR="00B37F05" w:rsidRPr="00D06E2E" w:rsidRDefault="00B37F05" w:rsidP="00B37F05">
      <w:pPr>
        <w:spacing w:before="120" w:after="0"/>
        <w:rPr>
          <w:lang w:val="sr-Latn-RS"/>
        </w:rPr>
      </w:pPr>
      <w:r w:rsidRPr="00D06E2E">
        <w:rPr>
          <w:lang w:val="sr-Latn-RS"/>
        </w:rPr>
        <w:t>The practice of the Protector of Citizens shows that the Law on the Rights of Beneficiaries of Temporary Accommodation Services in Social Welfare, which entered into force on December 31, 2021 is not fully applied and that employees are not sufficiently familiar with the provisions of this law. In this regard, this authority sent a Case Report with recommendations to the Ministry of Labour, Employment, Veterans and Social Policy to, in cooperation with the Ministry of Family Care and Demography, the Institute for Social Welfare and the Chamber of Social Welfare, provide training for employees in the centers for social work and social welfare institutions of the home type on the way of applying the provisions of the Law on the rights of beneficiaries of temporary accommodation services in social welfare.</w:t>
      </w:r>
    </w:p>
    <w:p w14:paraId="4A9B3E08" w14:textId="77777777" w:rsidR="00B37F05" w:rsidRPr="00D06E2E" w:rsidRDefault="00B37F05" w:rsidP="00B37F05">
      <w:pPr>
        <w:spacing w:after="0"/>
        <w:jc w:val="left"/>
        <w:rPr>
          <w:lang w:val="sr-Latn-RS"/>
        </w:rPr>
      </w:pPr>
    </w:p>
    <w:p w14:paraId="40A78841" w14:textId="3684FFA9" w:rsidR="00B37F05" w:rsidRPr="00D06E2E" w:rsidRDefault="00B37F05" w:rsidP="00B37F05">
      <w:pPr>
        <w:spacing w:after="0"/>
        <w:jc w:val="left"/>
        <w:rPr>
          <w:lang w:val="sr-Latn-RS"/>
        </w:rPr>
      </w:pPr>
    </w:p>
    <w:p w14:paraId="2750BB1B" w14:textId="4FE0B740" w:rsidR="00EB67F5" w:rsidRPr="00D06E2E" w:rsidRDefault="00EB67F5" w:rsidP="00B37F05">
      <w:pPr>
        <w:spacing w:after="0"/>
        <w:jc w:val="left"/>
        <w:rPr>
          <w:lang w:val="sr-Latn-RS"/>
        </w:rPr>
      </w:pPr>
    </w:p>
    <w:p w14:paraId="7AE2F560" w14:textId="447495D7" w:rsidR="00EB67F5" w:rsidRPr="00D06E2E" w:rsidRDefault="00EB67F5" w:rsidP="00B37F05">
      <w:pPr>
        <w:spacing w:after="0"/>
        <w:jc w:val="left"/>
        <w:rPr>
          <w:lang w:val="sr-Latn-RS"/>
        </w:rPr>
      </w:pPr>
    </w:p>
    <w:p w14:paraId="47A53006" w14:textId="658F9568" w:rsidR="00EB67F5" w:rsidRPr="00D06E2E" w:rsidRDefault="00EB67F5" w:rsidP="00B37F05">
      <w:pPr>
        <w:spacing w:after="0"/>
        <w:jc w:val="left"/>
        <w:rPr>
          <w:lang w:val="sr-Latn-RS"/>
        </w:rPr>
      </w:pPr>
    </w:p>
    <w:p w14:paraId="5063B1F6" w14:textId="208E34EE" w:rsidR="00EB67F5" w:rsidRPr="00D06E2E" w:rsidRDefault="00EB67F5" w:rsidP="00B37F05">
      <w:pPr>
        <w:spacing w:after="0"/>
        <w:jc w:val="left"/>
        <w:rPr>
          <w:lang w:val="sr-Latn-RS"/>
        </w:rPr>
      </w:pPr>
    </w:p>
    <w:p w14:paraId="0A915E57" w14:textId="77777777" w:rsidR="00EB67F5" w:rsidRPr="00D06E2E" w:rsidRDefault="00EB67F5" w:rsidP="00B37F05">
      <w:pPr>
        <w:spacing w:after="0"/>
        <w:jc w:val="left"/>
        <w:rPr>
          <w:lang w:val="sr-Latn-RS"/>
        </w:rPr>
      </w:pPr>
    </w:p>
    <w:p w14:paraId="76230D29" w14:textId="77777777" w:rsidR="00B37F05" w:rsidRPr="00D06E2E" w:rsidRDefault="00B37F05" w:rsidP="00B37F05">
      <w:pPr>
        <w:spacing w:after="0"/>
        <w:jc w:val="left"/>
        <w:rPr>
          <w:lang w:val="sr-Latn-RS"/>
        </w:rPr>
      </w:pPr>
    </w:p>
    <w:p w14:paraId="39BCDF26" w14:textId="77777777" w:rsidR="00B37F05" w:rsidRPr="00D06E2E" w:rsidRDefault="00B37F05" w:rsidP="00B37F05">
      <w:pPr>
        <w:spacing w:after="0"/>
        <w:jc w:val="left"/>
        <w:rPr>
          <w:lang w:val="sr-Latn-RS"/>
        </w:rPr>
      </w:pPr>
    </w:p>
    <w:p w14:paraId="1DC97505" w14:textId="77777777" w:rsidR="00B37F05" w:rsidRPr="00D06E2E" w:rsidRDefault="00B37F05" w:rsidP="00B37F05">
      <w:pPr>
        <w:spacing w:after="0"/>
        <w:jc w:val="left"/>
        <w:rPr>
          <w:lang w:val="sr-Latn-RS"/>
        </w:rPr>
      </w:pPr>
    </w:p>
    <w:p w14:paraId="549B0DD7" w14:textId="77777777" w:rsidR="00B37F05" w:rsidRPr="00D06E2E" w:rsidRDefault="00B37F05" w:rsidP="00B37F05">
      <w:pPr>
        <w:spacing w:after="0"/>
        <w:jc w:val="left"/>
        <w:rPr>
          <w:lang w:val="sr-Latn-RS"/>
        </w:rPr>
      </w:pPr>
    </w:p>
    <w:p w14:paraId="5B6EE6D1" w14:textId="77777777" w:rsidR="00B37F05" w:rsidRPr="00D06E2E" w:rsidRDefault="00B37F05" w:rsidP="00B37F05">
      <w:pPr>
        <w:spacing w:after="0"/>
        <w:jc w:val="left"/>
        <w:rPr>
          <w:lang w:val="sr-Latn-RS"/>
        </w:rPr>
      </w:pPr>
    </w:p>
    <w:p w14:paraId="4899C77A" w14:textId="77777777" w:rsidR="00B37F05" w:rsidRPr="00D06E2E" w:rsidRDefault="00B37F05" w:rsidP="00B37F05">
      <w:pPr>
        <w:spacing w:after="0"/>
        <w:jc w:val="left"/>
        <w:rPr>
          <w:lang w:val="sr-Latn-RS"/>
        </w:rPr>
      </w:pPr>
    </w:p>
    <w:p w14:paraId="4E866E35" w14:textId="77777777" w:rsidR="00B37F05" w:rsidRPr="00D06E2E" w:rsidRDefault="00B37F05" w:rsidP="00B37F05">
      <w:pPr>
        <w:spacing w:after="0"/>
        <w:jc w:val="left"/>
        <w:rPr>
          <w:lang w:val="sr-Latn-RS"/>
        </w:rPr>
      </w:pPr>
    </w:p>
    <w:p w14:paraId="163ECDC2" w14:textId="77777777" w:rsidR="00B37F05" w:rsidRPr="00D06E2E" w:rsidRDefault="00B37F05" w:rsidP="00B37F05">
      <w:pPr>
        <w:spacing w:after="0"/>
        <w:jc w:val="left"/>
        <w:rPr>
          <w:lang w:val="sr-Latn-RS"/>
        </w:rPr>
      </w:pPr>
    </w:p>
    <w:p w14:paraId="0268518A" w14:textId="77777777" w:rsidR="00B37F05" w:rsidRPr="00D06E2E" w:rsidRDefault="00B37F05" w:rsidP="00B37F05">
      <w:pPr>
        <w:spacing w:after="0"/>
        <w:jc w:val="left"/>
        <w:rPr>
          <w:lang w:val="sr-Latn-RS"/>
        </w:rPr>
      </w:pPr>
    </w:p>
    <w:p w14:paraId="770CC83D" w14:textId="77777777" w:rsidR="00B37F05" w:rsidRPr="00D06E2E" w:rsidRDefault="00B37F05" w:rsidP="00B37F05">
      <w:pPr>
        <w:spacing w:after="0"/>
        <w:jc w:val="left"/>
        <w:rPr>
          <w:lang w:val="sr-Latn-RS"/>
        </w:rPr>
      </w:pPr>
    </w:p>
    <w:p w14:paraId="406AB357" w14:textId="77777777" w:rsidR="00B37F05" w:rsidRPr="00D06E2E" w:rsidRDefault="00B37F05" w:rsidP="00B37F05">
      <w:pPr>
        <w:spacing w:after="0"/>
        <w:jc w:val="left"/>
        <w:rPr>
          <w:lang w:val="sr-Latn-RS"/>
        </w:rPr>
      </w:pPr>
    </w:p>
    <w:p w14:paraId="586EDFA7" w14:textId="77777777" w:rsidR="00B37F05" w:rsidRPr="00D06E2E" w:rsidRDefault="00B37F05" w:rsidP="00B37F05">
      <w:pPr>
        <w:spacing w:after="0"/>
        <w:jc w:val="left"/>
        <w:rPr>
          <w:lang w:val="sr-Latn-RS"/>
        </w:rPr>
      </w:pPr>
    </w:p>
    <w:p w14:paraId="3086FBB6" w14:textId="77777777" w:rsidR="00B37F05" w:rsidRPr="00D06E2E" w:rsidRDefault="00B37F05" w:rsidP="00B37F05">
      <w:pPr>
        <w:spacing w:after="0"/>
        <w:jc w:val="left"/>
        <w:rPr>
          <w:lang w:val="sr-Latn-RS"/>
        </w:rPr>
      </w:pPr>
    </w:p>
    <w:p w14:paraId="45733A20" w14:textId="77777777" w:rsidR="00B37F05" w:rsidRPr="00D06E2E" w:rsidRDefault="00B37F05" w:rsidP="00B37F05">
      <w:pPr>
        <w:spacing w:after="0"/>
        <w:jc w:val="left"/>
        <w:rPr>
          <w:lang w:val="sr-Latn-RS"/>
        </w:rPr>
      </w:pPr>
    </w:p>
    <w:p w14:paraId="7089C2A0" w14:textId="77777777" w:rsidR="00B37F05" w:rsidRPr="00D06E2E" w:rsidRDefault="00B37F05" w:rsidP="00B37F05">
      <w:pPr>
        <w:spacing w:after="0"/>
        <w:jc w:val="left"/>
        <w:rPr>
          <w:lang w:val="sr-Latn-RS"/>
        </w:rPr>
      </w:pPr>
    </w:p>
    <w:p w14:paraId="6FFC6EA1" w14:textId="77777777" w:rsidR="00B37F05" w:rsidRPr="00D06E2E" w:rsidRDefault="00B37F05" w:rsidP="00B37F05">
      <w:pPr>
        <w:spacing w:after="0"/>
        <w:jc w:val="left"/>
        <w:rPr>
          <w:lang w:val="sr-Latn-RS"/>
        </w:rPr>
      </w:pPr>
    </w:p>
    <w:p w14:paraId="422D1617" w14:textId="77777777" w:rsidR="00B37F05" w:rsidRPr="00D06E2E" w:rsidRDefault="00B37F05" w:rsidP="00B37F05">
      <w:pPr>
        <w:spacing w:after="0"/>
        <w:jc w:val="left"/>
        <w:rPr>
          <w:lang w:val="sr-Latn-RS"/>
        </w:rPr>
      </w:pPr>
    </w:p>
    <w:p w14:paraId="56B55715" w14:textId="77777777" w:rsidR="00B37F05" w:rsidRPr="00D06E2E" w:rsidRDefault="00B37F05" w:rsidP="00B37F05">
      <w:pPr>
        <w:spacing w:after="0"/>
        <w:jc w:val="left"/>
        <w:rPr>
          <w:lang w:val="sr-Latn-RS"/>
        </w:rPr>
      </w:pPr>
    </w:p>
    <w:p w14:paraId="05DA9B99" w14:textId="77777777" w:rsidR="00B37F05" w:rsidRPr="00D06E2E" w:rsidRDefault="00B37F05" w:rsidP="00B37F05">
      <w:pPr>
        <w:pStyle w:val="Heading2"/>
        <w:spacing w:after="0"/>
        <w:rPr>
          <w:lang w:val="sr-Latn-RS"/>
        </w:rPr>
      </w:pPr>
      <w:r w:rsidRPr="00D06E2E">
        <w:rPr>
          <w:lang w:val="sr-Latn-RS"/>
        </w:rPr>
        <w:lastRenderedPageBreak/>
        <w:t>NATIONAL MINORITY RIGHTS</w:t>
      </w:r>
    </w:p>
    <w:p w14:paraId="2E8FDD54" w14:textId="77777777" w:rsidR="00B37F05" w:rsidRPr="00D06E2E" w:rsidRDefault="00B37F05" w:rsidP="00B37F05">
      <w:pPr>
        <w:spacing w:after="0"/>
        <w:rPr>
          <w:lang w:val="sr-Latn-RS"/>
        </w:rPr>
      </w:pPr>
    </w:p>
    <w:p w14:paraId="602AA173" w14:textId="77777777" w:rsidR="00B37F05" w:rsidRPr="00D06E2E" w:rsidRDefault="00B37F05" w:rsidP="00B37F05">
      <w:pPr>
        <w:jc w:val="center"/>
        <w:rPr>
          <w:sz w:val="24"/>
          <w:szCs w:val="24"/>
          <w:lang w:val="sr-Latn-RS"/>
        </w:rPr>
      </w:pPr>
      <w:r w:rsidRPr="00D06E2E">
        <w:rPr>
          <w:sz w:val="24"/>
          <w:szCs w:val="24"/>
          <w:lang w:val="sr-Latn-RS"/>
        </w:rPr>
        <w:t>STATISTICS</w:t>
      </w:r>
    </w:p>
    <w:p w14:paraId="5E80B2FC" w14:textId="77777777" w:rsidR="00B37F05" w:rsidRPr="00D06E2E" w:rsidRDefault="00B37F05" w:rsidP="00B37F05">
      <w:pPr>
        <w:rPr>
          <w:lang w:val="sr-Latn-RS"/>
        </w:rPr>
      </w:pPr>
      <w:r w:rsidRPr="00D06E2E">
        <w:rPr>
          <w:lang w:val="sr-Latn-RS"/>
        </w:rPr>
        <w:t>In the area of national minority rights, the Protector of Citizens in 2023 handled 34 cases, of which there were 33 citizen complaints and one case initiated upon own initiative. Out of the 34 cases handled, the Protector of Citizens completed work on 30 cases. In 2023, work on five cases from earlier years was completed. Cases from this area make up almost 1% of the total considered cases in 2023.</w:t>
      </w:r>
    </w:p>
    <w:p w14:paraId="0A5F5135" w14:textId="77777777" w:rsidR="00B37F05" w:rsidRPr="00D06E2E" w:rsidRDefault="00B37F05" w:rsidP="00B37F05">
      <w:pPr>
        <w:spacing w:after="0"/>
        <w:rPr>
          <w:bCs/>
          <w:lang w:val="sr-Latn-RS"/>
        </w:rPr>
      </w:pPr>
      <w:r w:rsidRPr="00D06E2E">
        <w:rPr>
          <w:bCs/>
          <w:lang w:val="sr-Latn-RS"/>
        </w:rPr>
        <w:t>The Protector of Citizens sent two recommendations to the administrative bodies that were due for execution in the reporting period. Out of that, the administrative bodies acted on one recommendation, which makes up 50% of the recommendations that were acted upon. The cases considered in the reporting period, the outcome of action on completed cases and the outcome of action on recommendations are shown in the tables below.</w:t>
      </w:r>
    </w:p>
    <w:p w14:paraId="05BB01B3" w14:textId="77777777" w:rsidR="00B37F05" w:rsidRPr="00D06E2E" w:rsidRDefault="00B37F05" w:rsidP="00B37F05">
      <w:pPr>
        <w:spacing w:after="0"/>
        <w:rPr>
          <w:lang w:val="sr-Latn-RS"/>
        </w:rPr>
      </w:pPr>
    </w:p>
    <w:p w14:paraId="723CE047" w14:textId="77777777" w:rsidR="00B37F05" w:rsidRPr="00D06E2E" w:rsidRDefault="00B37F05" w:rsidP="00B37F05">
      <w:pPr>
        <w:pStyle w:val="Caption"/>
        <w:keepNext/>
        <w:spacing w:before="0"/>
        <w:jc w:val="center"/>
        <w:rPr>
          <w:lang w:val="sr-Latn-RS"/>
        </w:rPr>
      </w:pPr>
      <w:r w:rsidRPr="00D06E2E">
        <w:rPr>
          <w:lang w:val="sr-Latn-RS"/>
        </w:rPr>
        <w:t>Table 20 – Overview of handled cases in 2023</w:t>
      </w:r>
    </w:p>
    <w:tbl>
      <w:tblPr>
        <w:tblW w:w="8934" w:type="dxa"/>
        <w:jc w:val="center"/>
        <w:tblBorders>
          <w:top w:val="single" w:sz="12" w:space="0" w:color="0070C0"/>
          <w:bottom w:val="single" w:sz="8" w:space="0" w:color="0070C0"/>
          <w:insideH w:val="single" w:sz="8" w:space="0" w:color="0070C0"/>
          <w:insideV w:val="single" w:sz="8" w:space="0" w:color="0070C0"/>
        </w:tblBorders>
        <w:tblLook w:val="04A0" w:firstRow="1" w:lastRow="0" w:firstColumn="1" w:lastColumn="0" w:noHBand="0" w:noVBand="1"/>
      </w:tblPr>
      <w:tblGrid>
        <w:gridCol w:w="5128"/>
        <w:gridCol w:w="1908"/>
        <w:gridCol w:w="1898"/>
      </w:tblGrid>
      <w:tr w:rsidR="00B37F05" w:rsidRPr="00D06E2E" w14:paraId="7D752F09" w14:textId="77777777" w:rsidTr="00B37F05">
        <w:trPr>
          <w:trHeight w:hRule="exact" w:val="329"/>
          <w:jc w:val="center"/>
        </w:trPr>
        <w:tc>
          <w:tcPr>
            <w:tcW w:w="5128" w:type="dxa"/>
            <w:tcBorders>
              <w:top w:val="single" w:sz="2" w:space="0" w:color="0070C0"/>
              <w:left w:val="single" w:sz="2" w:space="0" w:color="0070C0"/>
              <w:bottom w:val="single" w:sz="2" w:space="0" w:color="0070C0"/>
            </w:tcBorders>
            <w:vAlign w:val="center"/>
          </w:tcPr>
          <w:p w14:paraId="24750319" w14:textId="77777777" w:rsidR="00B37F05" w:rsidRPr="00D06E2E" w:rsidRDefault="00B37F05" w:rsidP="00B37F05">
            <w:pPr>
              <w:spacing w:after="0"/>
              <w:rPr>
                <w:b/>
                <w:lang w:val="sr-Latn-RS"/>
              </w:rPr>
            </w:pPr>
            <w:r w:rsidRPr="00D06E2E">
              <w:rPr>
                <w:b/>
                <w:lang w:val="sr-Latn-RS"/>
              </w:rPr>
              <w:t>Number of cases in 2023</w:t>
            </w:r>
          </w:p>
        </w:tc>
        <w:tc>
          <w:tcPr>
            <w:tcW w:w="1908" w:type="dxa"/>
            <w:tcBorders>
              <w:top w:val="single" w:sz="2" w:space="0" w:color="0070C0"/>
              <w:bottom w:val="single" w:sz="2" w:space="0" w:color="0070C0"/>
            </w:tcBorders>
            <w:vAlign w:val="center"/>
          </w:tcPr>
          <w:p w14:paraId="3804A0F0" w14:textId="77777777" w:rsidR="00B37F05" w:rsidRPr="00D06E2E" w:rsidRDefault="00B37F05" w:rsidP="00B37F05">
            <w:pPr>
              <w:spacing w:after="0"/>
              <w:jc w:val="center"/>
              <w:rPr>
                <w:b/>
                <w:lang w:val="sr-Latn-RS"/>
              </w:rPr>
            </w:pPr>
            <w:r w:rsidRPr="00D06E2E">
              <w:rPr>
                <w:b/>
                <w:lang w:val="sr-Latn-RS"/>
              </w:rPr>
              <w:t>34</w:t>
            </w:r>
          </w:p>
        </w:tc>
        <w:tc>
          <w:tcPr>
            <w:tcW w:w="1898" w:type="dxa"/>
            <w:tcBorders>
              <w:top w:val="single" w:sz="2" w:space="0" w:color="0070C0"/>
              <w:bottom w:val="single" w:sz="2" w:space="0" w:color="0070C0"/>
              <w:right w:val="single" w:sz="2" w:space="0" w:color="0070C0"/>
            </w:tcBorders>
          </w:tcPr>
          <w:p w14:paraId="249EDC46" w14:textId="77777777" w:rsidR="00B37F05" w:rsidRPr="00D06E2E" w:rsidRDefault="00B37F05" w:rsidP="00B37F05">
            <w:pPr>
              <w:spacing w:after="0"/>
              <w:jc w:val="center"/>
              <w:rPr>
                <w:b/>
                <w:lang w:val="sr-Latn-RS"/>
              </w:rPr>
            </w:pPr>
            <w:r w:rsidRPr="00D06E2E">
              <w:rPr>
                <w:b/>
                <w:lang w:val="sr-Latn-RS"/>
              </w:rPr>
              <w:t>%</w:t>
            </w:r>
          </w:p>
        </w:tc>
      </w:tr>
      <w:tr w:rsidR="00B37F05" w:rsidRPr="00D06E2E" w14:paraId="409DD767" w14:textId="77777777" w:rsidTr="00B37F05">
        <w:trPr>
          <w:trHeight w:hRule="exact" w:val="329"/>
          <w:jc w:val="center"/>
        </w:trPr>
        <w:tc>
          <w:tcPr>
            <w:tcW w:w="5128" w:type="dxa"/>
            <w:tcBorders>
              <w:top w:val="single" w:sz="2" w:space="0" w:color="0070C0"/>
              <w:left w:val="single" w:sz="2" w:space="0" w:color="0070C0"/>
              <w:bottom w:val="single" w:sz="8" w:space="0" w:color="0070C0"/>
            </w:tcBorders>
            <w:vAlign w:val="center"/>
          </w:tcPr>
          <w:p w14:paraId="139A62A9" w14:textId="77777777" w:rsidR="00B37F05" w:rsidRPr="00D06E2E" w:rsidRDefault="00B37F05" w:rsidP="00B37F05">
            <w:pPr>
              <w:spacing w:after="0"/>
              <w:rPr>
                <w:lang w:val="sr-Latn-RS"/>
              </w:rPr>
            </w:pPr>
            <w:r w:rsidRPr="00D06E2E">
              <w:rPr>
                <w:lang w:val="sr-Latn-RS"/>
              </w:rPr>
              <w:t>Number of completed cases in 2023</w:t>
            </w:r>
          </w:p>
        </w:tc>
        <w:tc>
          <w:tcPr>
            <w:tcW w:w="1908" w:type="dxa"/>
            <w:tcBorders>
              <w:top w:val="single" w:sz="2" w:space="0" w:color="0070C0"/>
              <w:bottom w:val="single" w:sz="8" w:space="0" w:color="0070C0"/>
            </w:tcBorders>
            <w:vAlign w:val="center"/>
          </w:tcPr>
          <w:p w14:paraId="24C7A093" w14:textId="77777777" w:rsidR="00B37F05" w:rsidRPr="00D06E2E" w:rsidRDefault="00B37F05" w:rsidP="00B37F05">
            <w:pPr>
              <w:spacing w:after="0"/>
              <w:jc w:val="center"/>
              <w:rPr>
                <w:lang w:val="sr-Latn-RS"/>
              </w:rPr>
            </w:pPr>
            <w:r w:rsidRPr="00D06E2E">
              <w:rPr>
                <w:lang w:val="sr-Latn-RS"/>
              </w:rPr>
              <w:t>30</w:t>
            </w:r>
          </w:p>
        </w:tc>
        <w:tc>
          <w:tcPr>
            <w:tcW w:w="1898" w:type="dxa"/>
            <w:tcBorders>
              <w:top w:val="single" w:sz="2" w:space="0" w:color="0070C0"/>
              <w:bottom w:val="single" w:sz="8" w:space="0" w:color="0070C0"/>
              <w:right w:val="single" w:sz="2" w:space="0" w:color="0070C0"/>
            </w:tcBorders>
          </w:tcPr>
          <w:p w14:paraId="1967DD34" w14:textId="77777777" w:rsidR="00B37F05" w:rsidRPr="00D06E2E" w:rsidRDefault="00B37F05" w:rsidP="00B37F05">
            <w:pPr>
              <w:spacing w:after="0"/>
              <w:jc w:val="center"/>
              <w:rPr>
                <w:lang w:val="sr-Latn-RS"/>
              </w:rPr>
            </w:pPr>
            <w:r w:rsidRPr="00D06E2E">
              <w:rPr>
                <w:lang w:val="sr-Latn-RS"/>
              </w:rPr>
              <w:t>88,24%</w:t>
            </w:r>
          </w:p>
        </w:tc>
      </w:tr>
      <w:tr w:rsidR="00B37F05" w:rsidRPr="00D06E2E" w14:paraId="518F0468" w14:textId="77777777" w:rsidTr="00B37F05">
        <w:trPr>
          <w:trHeight w:hRule="exact" w:val="329"/>
          <w:jc w:val="center"/>
        </w:trPr>
        <w:tc>
          <w:tcPr>
            <w:tcW w:w="5128" w:type="dxa"/>
            <w:tcBorders>
              <w:top w:val="single" w:sz="8" w:space="0" w:color="0070C0"/>
              <w:left w:val="single" w:sz="2" w:space="0" w:color="0070C0"/>
              <w:bottom w:val="single" w:sz="2" w:space="0" w:color="0070C0"/>
            </w:tcBorders>
            <w:vAlign w:val="center"/>
          </w:tcPr>
          <w:p w14:paraId="025D5726" w14:textId="77777777" w:rsidR="00B37F05" w:rsidRPr="00D06E2E" w:rsidRDefault="00B37F05" w:rsidP="00B37F05">
            <w:pPr>
              <w:spacing w:after="0"/>
              <w:rPr>
                <w:lang w:val="sr-Latn-RS"/>
              </w:rPr>
            </w:pPr>
            <w:r w:rsidRPr="00D06E2E">
              <w:rPr>
                <w:lang w:val="sr-Latn-RS"/>
              </w:rPr>
              <w:t>Number of ongoing cases in 2023</w:t>
            </w:r>
          </w:p>
        </w:tc>
        <w:tc>
          <w:tcPr>
            <w:tcW w:w="1908" w:type="dxa"/>
            <w:tcBorders>
              <w:top w:val="single" w:sz="8" w:space="0" w:color="0070C0"/>
              <w:bottom w:val="single" w:sz="2" w:space="0" w:color="0070C0"/>
            </w:tcBorders>
            <w:vAlign w:val="center"/>
          </w:tcPr>
          <w:p w14:paraId="51E50048" w14:textId="77777777" w:rsidR="00B37F05" w:rsidRPr="00D06E2E" w:rsidRDefault="00B37F05" w:rsidP="00B37F05">
            <w:pPr>
              <w:spacing w:after="0"/>
              <w:jc w:val="center"/>
              <w:rPr>
                <w:lang w:val="sr-Latn-RS"/>
              </w:rPr>
            </w:pPr>
            <w:r w:rsidRPr="00D06E2E">
              <w:rPr>
                <w:lang w:val="sr-Latn-RS"/>
              </w:rPr>
              <w:t>4</w:t>
            </w:r>
          </w:p>
        </w:tc>
        <w:tc>
          <w:tcPr>
            <w:tcW w:w="1898" w:type="dxa"/>
            <w:tcBorders>
              <w:top w:val="single" w:sz="8" w:space="0" w:color="0070C0"/>
              <w:bottom w:val="single" w:sz="2" w:space="0" w:color="0070C0"/>
              <w:right w:val="single" w:sz="2" w:space="0" w:color="0070C0"/>
            </w:tcBorders>
          </w:tcPr>
          <w:p w14:paraId="59489BD4" w14:textId="77777777" w:rsidR="00B37F05" w:rsidRPr="00D06E2E" w:rsidRDefault="00B37F05" w:rsidP="00B37F05">
            <w:pPr>
              <w:spacing w:after="0"/>
              <w:jc w:val="center"/>
              <w:rPr>
                <w:lang w:val="sr-Latn-RS"/>
              </w:rPr>
            </w:pPr>
            <w:r w:rsidRPr="00D06E2E">
              <w:rPr>
                <w:lang w:val="sr-Latn-RS"/>
              </w:rPr>
              <w:t>11,76%</w:t>
            </w:r>
          </w:p>
        </w:tc>
      </w:tr>
    </w:tbl>
    <w:p w14:paraId="76A8F54D" w14:textId="77777777" w:rsidR="00B37F05" w:rsidRPr="00D06E2E" w:rsidRDefault="00B37F05" w:rsidP="00B37F05">
      <w:pPr>
        <w:spacing w:after="0"/>
        <w:rPr>
          <w:b/>
          <w:bCs/>
          <w:lang w:val="sr-Latn-RS"/>
        </w:rPr>
      </w:pPr>
    </w:p>
    <w:p w14:paraId="4AD77DEA" w14:textId="77777777" w:rsidR="00B37F05" w:rsidRPr="00D06E2E" w:rsidRDefault="00B37F05" w:rsidP="00B37F05">
      <w:pPr>
        <w:pStyle w:val="Caption"/>
        <w:keepNext/>
        <w:spacing w:before="0"/>
        <w:jc w:val="center"/>
        <w:rPr>
          <w:lang w:val="sr-Latn-RS"/>
        </w:rPr>
      </w:pPr>
      <w:r w:rsidRPr="00D06E2E">
        <w:rPr>
          <w:lang w:val="sr-Latn-RS"/>
        </w:rPr>
        <w:t>Table 21 – Overview of acting upon recommendations</w:t>
      </w:r>
    </w:p>
    <w:tbl>
      <w:tblPr>
        <w:tblW w:w="8934"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4A0" w:firstRow="1" w:lastRow="0" w:firstColumn="1" w:lastColumn="0" w:noHBand="0" w:noVBand="1"/>
      </w:tblPr>
      <w:tblGrid>
        <w:gridCol w:w="2174"/>
        <w:gridCol w:w="2209"/>
        <w:gridCol w:w="2343"/>
        <w:gridCol w:w="2208"/>
      </w:tblGrid>
      <w:tr w:rsidR="00B37F05" w:rsidRPr="00D06E2E" w14:paraId="5D646C2A" w14:textId="77777777" w:rsidTr="00B37F05">
        <w:trPr>
          <w:trHeight w:hRule="exact" w:val="924"/>
          <w:jc w:val="center"/>
        </w:trPr>
        <w:tc>
          <w:tcPr>
            <w:tcW w:w="2174" w:type="dxa"/>
            <w:vAlign w:val="center"/>
          </w:tcPr>
          <w:p w14:paraId="4806460F" w14:textId="77777777" w:rsidR="00B37F05" w:rsidRPr="00D06E2E" w:rsidRDefault="00B37F05" w:rsidP="00B37F05">
            <w:pPr>
              <w:spacing w:after="0"/>
              <w:jc w:val="center"/>
              <w:rPr>
                <w:b/>
                <w:bCs/>
                <w:lang w:val="sr-Latn-RS"/>
              </w:rPr>
            </w:pPr>
            <w:r w:rsidRPr="00D06E2E">
              <w:rPr>
                <w:b/>
                <w:bCs/>
                <w:lang w:val="sr-Latn-RS"/>
              </w:rPr>
              <w:t>Number of issued</w:t>
            </w:r>
          </w:p>
        </w:tc>
        <w:tc>
          <w:tcPr>
            <w:tcW w:w="2209" w:type="dxa"/>
          </w:tcPr>
          <w:p w14:paraId="33BA954D" w14:textId="77777777" w:rsidR="00B37F05" w:rsidRPr="00D06E2E" w:rsidRDefault="00B37F05" w:rsidP="00B37F05">
            <w:pPr>
              <w:spacing w:after="0"/>
              <w:jc w:val="center"/>
              <w:rPr>
                <w:b/>
                <w:bCs/>
                <w:lang w:val="sr-Latn-RS"/>
              </w:rPr>
            </w:pPr>
          </w:p>
          <w:p w14:paraId="17FE7B60" w14:textId="77777777" w:rsidR="00B37F05" w:rsidRPr="00D06E2E" w:rsidRDefault="00B37F05" w:rsidP="00B37F05">
            <w:pPr>
              <w:spacing w:after="0"/>
              <w:jc w:val="center"/>
              <w:rPr>
                <w:b/>
                <w:bCs/>
                <w:lang w:val="sr-Latn-RS"/>
              </w:rPr>
            </w:pPr>
            <w:r w:rsidRPr="00D06E2E">
              <w:rPr>
                <w:b/>
                <w:bCs/>
                <w:lang w:val="sr-Latn-RS"/>
              </w:rPr>
              <w:t>Number of received</w:t>
            </w:r>
          </w:p>
        </w:tc>
        <w:tc>
          <w:tcPr>
            <w:tcW w:w="2343" w:type="dxa"/>
            <w:vAlign w:val="center"/>
          </w:tcPr>
          <w:p w14:paraId="18CFC188" w14:textId="77777777" w:rsidR="00B37F05" w:rsidRPr="00D06E2E" w:rsidRDefault="00B37F05" w:rsidP="00B37F05">
            <w:pPr>
              <w:spacing w:after="0"/>
              <w:jc w:val="center"/>
              <w:rPr>
                <w:b/>
                <w:bCs/>
                <w:lang w:val="sr-Latn-RS"/>
              </w:rPr>
            </w:pPr>
            <w:r w:rsidRPr="00D06E2E">
              <w:rPr>
                <w:b/>
                <w:bCs/>
                <w:lang w:val="sr-Latn-RS"/>
              </w:rPr>
              <w:t>Number of those acted upon</w:t>
            </w:r>
          </w:p>
        </w:tc>
        <w:tc>
          <w:tcPr>
            <w:tcW w:w="2208" w:type="dxa"/>
          </w:tcPr>
          <w:p w14:paraId="754045F6" w14:textId="77777777" w:rsidR="00B37F05" w:rsidRPr="00D06E2E" w:rsidRDefault="00B37F05" w:rsidP="00B37F05">
            <w:pPr>
              <w:spacing w:after="0"/>
              <w:rPr>
                <w:b/>
                <w:bCs/>
                <w:lang w:val="sr-Latn-RS"/>
              </w:rPr>
            </w:pPr>
          </w:p>
          <w:p w14:paraId="3DC8DA1D" w14:textId="77777777" w:rsidR="00B37F05" w:rsidRPr="00D06E2E" w:rsidRDefault="00B37F05" w:rsidP="00B37F05">
            <w:pPr>
              <w:spacing w:after="0"/>
              <w:jc w:val="center"/>
              <w:rPr>
                <w:b/>
                <w:bCs/>
                <w:lang w:val="sr-Latn-RS"/>
              </w:rPr>
            </w:pPr>
            <w:r w:rsidRPr="00D06E2E">
              <w:rPr>
                <w:b/>
                <w:bCs/>
                <w:lang w:val="sr-Latn-RS"/>
              </w:rPr>
              <w:t>%</w:t>
            </w:r>
          </w:p>
        </w:tc>
      </w:tr>
      <w:tr w:rsidR="00B37F05" w:rsidRPr="00D06E2E" w14:paraId="132520CE" w14:textId="77777777" w:rsidTr="00B37F05">
        <w:trPr>
          <w:trHeight w:hRule="exact" w:val="329"/>
          <w:jc w:val="center"/>
        </w:trPr>
        <w:tc>
          <w:tcPr>
            <w:tcW w:w="2174" w:type="dxa"/>
            <w:vAlign w:val="center"/>
          </w:tcPr>
          <w:p w14:paraId="70967B18" w14:textId="77777777" w:rsidR="00B37F05" w:rsidRPr="00D06E2E" w:rsidRDefault="00B37F05" w:rsidP="00B37F05">
            <w:pPr>
              <w:spacing w:after="0"/>
              <w:jc w:val="center"/>
              <w:rPr>
                <w:b/>
                <w:bCs/>
                <w:lang w:val="sr-Latn-RS"/>
              </w:rPr>
            </w:pPr>
            <w:r w:rsidRPr="00D06E2E">
              <w:rPr>
                <w:b/>
                <w:bCs/>
                <w:lang w:val="sr-Latn-RS"/>
              </w:rPr>
              <w:t>2</w:t>
            </w:r>
          </w:p>
        </w:tc>
        <w:tc>
          <w:tcPr>
            <w:tcW w:w="2209" w:type="dxa"/>
          </w:tcPr>
          <w:p w14:paraId="57FD40E0" w14:textId="77777777" w:rsidR="00B37F05" w:rsidRPr="00D06E2E" w:rsidRDefault="00B37F05" w:rsidP="00B37F05">
            <w:pPr>
              <w:spacing w:after="0"/>
              <w:jc w:val="center"/>
              <w:rPr>
                <w:b/>
                <w:bCs/>
                <w:lang w:val="sr-Latn-RS"/>
              </w:rPr>
            </w:pPr>
            <w:r w:rsidRPr="00D06E2E">
              <w:rPr>
                <w:b/>
                <w:bCs/>
                <w:lang w:val="sr-Latn-RS"/>
              </w:rPr>
              <w:t>2</w:t>
            </w:r>
          </w:p>
        </w:tc>
        <w:tc>
          <w:tcPr>
            <w:tcW w:w="2343" w:type="dxa"/>
            <w:vAlign w:val="center"/>
          </w:tcPr>
          <w:p w14:paraId="29AEC6A4" w14:textId="77777777" w:rsidR="00B37F05" w:rsidRPr="00D06E2E" w:rsidRDefault="00B37F05" w:rsidP="00B37F05">
            <w:pPr>
              <w:spacing w:after="0"/>
              <w:jc w:val="center"/>
              <w:rPr>
                <w:b/>
                <w:bCs/>
                <w:lang w:val="sr-Latn-RS"/>
              </w:rPr>
            </w:pPr>
            <w:r w:rsidRPr="00D06E2E">
              <w:rPr>
                <w:b/>
                <w:bCs/>
                <w:lang w:val="sr-Latn-RS"/>
              </w:rPr>
              <w:t>1</w:t>
            </w:r>
          </w:p>
        </w:tc>
        <w:tc>
          <w:tcPr>
            <w:tcW w:w="2208" w:type="dxa"/>
          </w:tcPr>
          <w:p w14:paraId="31073F52" w14:textId="77777777" w:rsidR="00B37F05" w:rsidRPr="00D06E2E" w:rsidRDefault="00B37F05" w:rsidP="00B37F05">
            <w:pPr>
              <w:spacing w:after="0"/>
              <w:jc w:val="center"/>
              <w:rPr>
                <w:b/>
                <w:bCs/>
                <w:lang w:val="sr-Latn-RS"/>
              </w:rPr>
            </w:pPr>
            <w:r w:rsidRPr="00D06E2E">
              <w:rPr>
                <w:b/>
                <w:bCs/>
                <w:lang w:val="sr-Latn-RS"/>
              </w:rPr>
              <w:t>50%</w:t>
            </w:r>
          </w:p>
          <w:p w14:paraId="7E14FA09" w14:textId="77777777" w:rsidR="00B37F05" w:rsidRPr="00D06E2E" w:rsidRDefault="00B37F05" w:rsidP="00B37F05">
            <w:pPr>
              <w:spacing w:after="0"/>
              <w:jc w:val="center"/>
              <w:rPr>
                <w:b/>
                <w:bCs/>
                <w:lang w:val="sr-Latn-RS"/>
              </w:rPr>
            </w:pPr>
          </w:p>
          <w:p w14:paraId="05C935E4" w14:textId="77777777" w:rsidR="00B37F05" w:rsidRPr="00D06E2E" w:rsidRDefault="00B37F05" w:rsidP="00B37F05">
            <w:pPr>
              <w:spacing w:after="0"/>
              <w:jc w:val="center"/>
              <w:rPr>
                <w:b/>
                <w:bCs/>
                <w:lang w:val="sr-Latn-RS"/>
              </w:rPr>
            </w:pPr>
            <w:r w:rsidRPr="00D06E2E">
              <w:rPr>
                <w:b/>
                <w:bCs/>
                <w:lang w:val="sr-Latn-RS"/>
              </w:rPr>
              <w:t>%</w:t>
            </w:r>
          </w:p>
        </w:tc>
      </w:tr>
    </w:tbl>
    <w:p w14:paraId="1268426D" w14:textId="77777777" w:rsidR="00B37F05" w:rsidRPr="00D06E2E" w:rsidRDefault="00B37F05" w:rsidP="00B37F05">
      <w:pPr>
        <w:spacing w:after="0"/>
        <w:rPr>
          <w:lang w:val="sr-Latn-RS"/>
        </w:rPr>
      </w:pPr>
    </w:p>
    <w:p w14:paraId="44C8FCEE" w14:textId="77777777" w:rsidR="00B37F05" w:rsidRPr="00D06E2E" w:rsidRDefault="00B37F05" w:rsidP="00B37F05">
      <w:pPr>
        <w:pStyle w:val="Caption"/>
        <w:keepNext/>
        <w:spacing w:before="0"/>
        <w:jc w:val="center"/>
        <w:rPr>
          <w:lang w:val="sr-Latn-RS"/>
        </w:rPr>
      </w:pPr>
      <w:r w:rsidRPr="00D06E2E">
        <w:rPr>
          <w:lang w:val="sr-Latn-RS"/>
        </w:rPr>
        <w:t>Table 22 – The outcome actions upon completed cases in 2023</w:t>
      </w:r>
    </w:p>
    <w:tbl>
      <w:tblPr>
        <w:tblW w:w="8967"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4A0" w:firstRow="1" w:lastRow="0" w:firstColumn="1" w:lastColumn="0" w:noHBand="0" w:noVBand="1"/>
      </w:tblPr>
      <w:tblGrid>
        <w:gridCol w:w="6603"/>
        <w:gridCol w:w="1060"/>
        <w:gridCol w:w="1304"/>
      </w:tblGrid>
      <w:tr w:rsidR="00B37F05" w:rsidRPr="00D06E2E" w14:paraId="3D0A59D3" w14:textId="77777777" w:rsidTr="00B37F05">
        <w:trPr>
          <w:trHeight w:hRule="exact" w:val="329"/>
          <w:jc w:val="center"/>
        </w:trPr>
        <w:tc>
          <w:tcPr>
            <w:tcW w:w="6603" w:type="dxa"/>
            <w:vAlign w:val="center"/>
          </w:tcPr>
          <w:p w14:paraId="6D9C0C2D" w14:textId="77777777" w:rsidR="00B37F05" w:rsidRPr="00D06E2E" w:rsidRDefault="00B37F05" w:rsidP="00B37F05">
            <w:pPr>
              <w:rPr>
                <w:b/>
                <w:bCs/>
                <w:lang w:val="sr-Latn-RS"/>
              </w:rPr>
            </w:pPr>
          </w:p>
        </w:tc>
        <w:tc>
          <w:tcPr>
            <w:tcW w:w="1060" w:type="dxa"/>
            <w:vAlign w:val="center"/>
          </w:tcPr>
          <w:p w14:paraId="168C12C3" w14:textId="77777777" w:rsidR="00B37F05" w:rsidRPr="00D06E2E" w:rsidRDefault="00B37F05" w:rsidP="00B37F05">
            <w:pPr>
              <w:jc w:val="center"/>
              <w:rPr>
                <w:b/>
                <w:bCs/>
                <w:lang w:val="sr-Latn-RS"/>
              </w:rPr>
            </w:pPr>
            <w:r w:rsidRPr="00D06E2E">
              <w:rPr>
                <w:b/>
                <w:bCs/>
                <w:lang w:val="sr-Latn-RS"/>
              </w:rPr>
              <w:t>Number</w:t>
            </w:r>
          </w:p>
        </w:tc>
        <w:tc>
          <w:tcPr>
            <w:tcW w:w="1304" w:type="dxa"/>
            <w:noWrap/>
            <w:vAlign w:val="center"/>
          </w:tcPr>
          <w:p w14:paraId="16B8726C" w14:textId="77777777" w:rsidR="00B37F05" w:rsidRPr="00D06E2E" w:rsidRDefault="00B37F05" w:rsidP="00B37F05">
            <w:pPr>
              <w:jc w:val="center"/>
              <w:rPr>
                <w:b/>
                <w:bCs/>
                <w:lang w:val="sr-Latn-RS"/>
              </w:rPr>
            </w:pPr>
            <w:r w:rsidRPr="00D06E2E">
              <w:rPr>
                <w:b/>
                <w:bCs/>
                <w:lang w:val="sr-Latn-RS"/>
              </w:rPr>
              <w:t>Percentage</w:t>
            </w:r>
          </w:p>
        </w:tc>
      </w:tr>
      <w:tr w:rsidR="00B37F05" w:rsidRPr="00D06E2E" w14:paraId="244D62DC" w14:textId="77777777" w:rsidTr="00B37F05">
        <w:trPr>
          <w:trHeight w:hRule="exact" w:val="329"/>
          <w:jc w:val="center"/>
        </w:trPr>
        <w:tc>
          <w:tcPr>
            <w:tcW w:w="6603" w:type="dxa"/>
          </w:tcPr>
          <w:p w14:paraId="5124BD28" w14:textId="77777777" w:rsidR="00B37F05" w:rsidRPr="00D06E2E" w:rsidRDefault="00B37F05" w:rsidP="00B37F05">
            <w:pPr>
              <w:pStyle w:val="ListParagraph"/>
              <w:numPr>
                <w:ilvl w:val="0"/>
                <w:numId w:val="22"/>
              </w:numPr>
              <w:spacing w:after="0"/>
              <w:ind w:left="360"/>
              <w:contextualSpacing/>
              <w:rPr>
                <w:b/>
                <w:lang w:val="sr-Latn-RS"/>
              </w:rPr>
            </w:pPr>
            <w:r w:rsidRPr="00D06E2E">
              <w:rPr>
                <w:b/>
                <w:lang w:val="sr-Latn-RS"/>
              </w:rPr>
              <w:t>Inadmissible complaints</w:t>
            </w:r>
          </w:p>
        </w:tc>
        <w:tc>
          <w:tcPr>
            <w:tcW w:w="1060" w:type="dxa"/>
            <w:vAlign w:val="center"/>
          </w:tcPr>
          <w:p w14:paraId="097988A4"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19</w:t>
            </w:r>
          </w:p>
        </w:tc>
        <w:tc>
          <w:tcPr>
            <w:tcW w:w="1304" w:type="dxa"/>
            <w:noWrap/>
            <w:vAlign w:val="center"/>
          </w:tcPr>
          <w:p w14:paraId="167BBEA4"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63,33%</w:t>
            </w:r>
          </w:p>
        </w:tc>
      </w:tr>
      <w:tr w:rsidR="00B37F05" w:rsidRPr="00D06E2E" w14:paraId="5F05A981" w14:textId="77777777" w:rsidTr="00B37F05">
        <w:trPr>
          <w:trHeight w:hRule="exact" w:val="329"/>
          <w:jc w:val="center"/>
        </w:trPr>
        <w:tc>
          <w:tcPr>
            <w:tcW w:w="6603" w:type="dxa"/>
          </w:tcPr>
          <w:p w14:paraId="47D65E20" w14:textId="77777777" w:rsidR="00B37F05" w:rsidRPr="00D06E2E" w:rsidRDefault="00B37F05" w:rsidP="00B37F05">
            <w:pPr>
              <w:pStyle w:val="ListParagraph"/>
              <w:spacing w:after="0"/>
              <w:ind w:left="462"/>
              <w:contextualSpacing/>
              <w:rPr>
                <w:lang w:val="sr-Latn-RS"/>
              </w:rPr>
            </w:pPr>
            <w:r w:rsidRPr="00D06E2E">
              <w:rPr>
                <w:lang w:val="sr-Latn-RS"/>
              </w:rPr>
              <w:t>1.1. Incompetence</w:t>
            </w:r>
          </w:p>
        </w:tc>
        <w:tc>
          <w:tcPr>
            <w:tcW w:w="1060" w:type="dxa"/>
            <w:vAlign w:val="center"/>
          </w:tcPr>
          <w:p w14:paraId="05E5C10E"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12</w:t>
            </w:r>
          </w:p>
        </w:tc>
        <w:tc>
          <w:tcPr>
            <w:tcW w:w="1304" w:type="dxa"/>
            <w:noWrap/>
            <w:vAlign w:val="center"/>
          </w:tcPr>
          <w:p w14:paraId="5A2BD7E1"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63,16%</w:t>
            </w:r>
          </w:p>
        </w:tc>
      </w:tr>
      <w:tr w:rsidR="00B37F05" w:rsidRPr="00D06E2E" w14:paraId="29234166" w14:textId="77777777" w:rsidTr="00B37F05">
        <w:trPr>
          <w:trHeight w:hRule="exact" w:val="329"/>
          <w:jc w:val="center"/>
        </w:trPr>
        <w:tc>
          <w:tcPr>
            <w:tcW w:w="6603" w:type="dxa"/>
          </w:tcPr>
          <w:p w14:paraId="7744A0BD" w14:textId="77777777" w:rsidR="00B37F05" w:rsidRPr="00D06E2E" w:rsidRDefault="00B37F05" w:rsidP="00B37F05">
            <w:pPr>
              <w:pStyle w:val="ListParagraph"/>
              <w:spacing w:after="0"/>
              <w:ind w:left="462"/>
              <w:contextualSpacing/>
              <w:rPr>
                <w:lang w:val="sr-Latn-RS"/>
              </w:rPr>
            </w:pPr>
            <w:r w:rsidRPr="00D06E2E">
              <w:rPr>
                <w:lang w:val="sr-Latn-RS"/>
              </w:rPr>
              <w:t>1.2. Unused legal remedies</w:t>
            </w:r>
          </w:p>
        </w:tc>
        <w:tc>
          <w:tcPr>
            <w:tcW w:w="1060" w:type="dxa"/>
            <w:vAlign w:val="center"/>
          </w:tcPr>
          <w:p w14:paraId="1ED75B90"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4</w:t>
            </w:r>
          </w:p>
        </w:tc>
        <w:tc>
          <w:tcPr>
            <w:tcW w:w="1304" w:type="dxa"/>
            <w:noWrap/>
            <w:vAlign w:val="center"/>
          </w:tcPr>
          <w:p w14:paraId="46E0622D"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21,05%</w:t>
            </w:r>
          </w:p>
        </w:tc>
      </w:tr>
      <w:tr w:rsidR="00B37F05" w:rsidRPr="00D06E2E" w14:paraId="7ECC5FDD" w14:textId="77777777" w:rsidTr="00B37F05">
        <w:trPr>
          <w:trHeight w:hRule="exact" w:val="329"/>
          <w:jc w:val="center"/>
        </w:trPr>
        <w:tc>
          <w:tcPr>
            <w:tcW w:w="6603" w:type="dxa"/>
          </w:tcPr>
          <w:p w14:paraId="4890B2DB" w14:textId="77777777" w:rsidR="00B37F05" w:rsidRPr="00D06E2E" w:rsidRDefault="00B37F05" w:rsidP="00B37F05">
            <w:pPr>
              <w:pStyle w:val="ListParagraph"/>
              <w:spacing w:after="0"/>
              <w:ind w:left="462"/>
              <w:contextualSpacing/>
              <w:rPr>
                <w:lang w:val="sr-Latn-RS"/>
              </w:rPr>
            </w:pPr>
            <w:r w:rsidRPr="00D06E2E">
              <w:rPr>
                <w:lang w:val="sr-Latn-RS"/>
              </w:rPr>
              <w:t>1.3. Formally deficient complaint</w:t>
            </w:r>
          </w:p>
        </w:tc>
        <w:tc>
          <w:tcPr>
            <w:tcW w:w="1060" w:type="dxa"/>
            <w:vAlign w:val="center"/>
          </w:tcPr>
          <w:p w14:paraId="722A5C5D"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3</w:t>
            </w:r>
          </w:p>
        </w:tc>
        <w:tc>
          <w:tcPr>
            <w:tcW w:w="1304" w:type="dxa"/>
            <w:noWrap/>
            <w:vAlign w:val="center"/>
          </w:tcPr>
          <w:p w14:paraId="5E264FB3"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15,79%</w:t>
            </w:r>
          </w:p>
        </w:tc>
      </w:tr>
      <w:tr w:rsidR="00B37F05" w:rsidRPr="00D06E2E" w14:paraId="770DC438" w14:textId="77777777" w:rsidTr="00B37F05">
        <w:trPr>
          <w:trHeight w:hRule="exact" w:val="329"/>
          <w:jc w:val="center"/>
        </w:trPr>
        <w:tc>
          <w:tcPr>
            <w:tcW w:w="6603" w:type="dxa"/>
          </w:tcPr>
          <w:p w14:paraId="01869953" w14:textId="77777777" w:rsidR="00B37F05" w:rsidRPr="00D06E2E" w:rsidRDefault="00B37F05" w:rsidP="00B37F05">
            <w:pPr>
              <w:pStyle w:val="ListParagraph"/>
              <w:numPr>
                <w:ilvl w:val="0"/>
                <w:numId w:val="22"/>
              </w:numPr>
              <w:spacing w:after="0"/>
              <w:ind w:left="360"/>
              <w:contextualSpacing/>
              <w:rPr>
                <w:b/>
                <w:lang w:val="sr-Latn-RS"/>
              </w:rPr>
            </w:pPr>
            <w:r w:rsidRPr="00D06E2E">
              <w:rPr>
                <w:b/>
                <w:lang w:val="sr-Latn-RS"/>
              </w:rPr>
              <w:t>Unfounded complaints</w:t>
            </w:r>
          </w:p>
        </w:tc>
        <w:tc>
          <w:tcPr>
            <w:tcW w:w="1060" w:type="dxa"/>
            <w:vAlign w:val="center"/>
          </w:tcPr>
          <w:p w14:paraId="23B4B855"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5</w:t>
            </w:r>
          </w:p>
        </w:tc>
        <w:tc>
          <w:tcPr>
            <w:tcW w:w="1304" w:type="dxa"/>
            <w:noWrap/>
            <w:vAlign w:val="center"/>
          </w:tcPr>
          <w:p w14:paraId="67104AAD" w14:textId="77777777" w:rsidR="00B37F05" w:rsidRPr="00D06E2E" w:rsidRDefault="00B37F05" w:rsidP="00B37F05">
            <w:pPr>
              <w:spacing w:after="0"/>
              <w:jc w:val="center"/>
              <w:rPr>
                <w:b/>
                <w:bCs/>
                <w:lang w:val="sr-Latn-RS"/>
              </w:rPr>
            </w:pPr>
            <w:r w:rsidRPr="00D06E2E">
              <w:rPr>
                <w:b/>
                <w:bCs/>
                <w:lang w:val="sr-Latn-RS"/>
              </w:rPr>
              <w:t>16,66%</w:t>
            </w:r>
          </w:p>
        </w:tc>
      </w:tr>
      <w:tr w:rsidR="00B37F05" w:rsidRPr="00D06E2E" w14:paraId="04E52ABF" w14:textId="77777777" w:rsidTr="00B37F05">
        <w:trPr>
          <w:trHeight w:hRule="exact" w:val="329"/>
          <w:jc w:val="center"/>
        </w:trPr>
        <w:tc>
          <w:tcPr>
            <w:tcW w:w="6603" w:type="dxa"/>
            <w:shd w:val="clear" w:color="auto" w:fill="FFFFFF"/>
          </w:tcPr>
          <w:p w14:paraId="662D9A1E" w14:textId="77777777" w:rsidR="00B37F05" w:rsidRPr="00D06E2E" w:rsidRDefault="00B37F05" w:rsidP="00B37F05">
            <w:pPr>
              <w:pStyle w:val="ListParagraph"/>
              <w:numPr>
                <w:ilvl w:val="0"/>
                <w:numId w:val="22"/>
              </w:numPr>
              <w:spacing w:after="0"/>
              <w:ind w:left="360"/>
              <w:contextualSpacing/>
              <w:rPr>
                <w:b/>
                <w:lang w:val="sr-Latn-RS"/>
              </w:rPr>
            </w:pPr>
            <w:r w:rsidRPr="00D06E2E">
              <w:rPr>
                <w:b/>
                <w:lang w:val="sr-Latn-RS"/>
              </w:rPr>
              <w:t>Subjects covered by the opinion</w:t>
            </w:r>
          </w:p>
        </w:tc>
        <w:tc>
          <w:tcPr>
            <w:tcW w:w="1060" w:type="dxa"/>
            <w:shd w:val="clear" w:color="auto" w:fill="FFFFFF"/>
            <w:vAlign w:val="center"/>
          </w:tcPr>
          <w:p w14:paraId="7E7E61D0"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2</w:t>
            </w:r>
          </w:p>
        </w:tc>
        <w:tc>
          <w:tcPr>
            <w:tcW w:w="1304" w:type="dxa"/>
            <w:shd w:val="clear" w:color="auto" w:fill="FFFFFF"/>
            <w:noWrap/>
            <w:vAlign w:val="center"/>
          </w:tcPr>
          <w:p w14:paraId="517B5E80" w14:textId="77777777" w:rsidR="00B37F05" w:rsidRPr="00D06E2E" w:rsidRDefault="00B37F05" w:rsidP="00B37F05">
            <w:pPr>
              <w:spacing w:after="0"/>
              <w:jc w:val="center"/>
              <w:rPr>
                <w:b/>
                <w:bCs/>
                <w:lang w:val="sr-Latn-RS"/>
              </w:rPr>
            </w:pPr>
            <w:r w:rsidRPr="00D06E2E">
              <w:rPr>
                <w:b/>
                <w:bCs/>
                <w:lang w:val="sr-Latn-RS"/>
              </w:rPr>
              <w:t>6,67%</w:t>
            </w:r>
          </w:p>
        </w:tc>
      </w:tr>
      <w:tr w:rsidR="00B37F05" w:rsidRPr="00D06E2E" w14:paraId="354BC304" w14:textId="77777777" w:rsidTr="00B37F05">
        <w:trPr>
          <w:trHeight w:hRule="exact" w:val="608"/>
          <w:jc w:val="center"/>
        </w:trPr>
        <w:tc>
          <w:tcPr>
            <w:tcW w:w="6603" w:type="dxa"/>
            <w:shd w:val="clear" w:color="auto" w:fill="FFFFFF"/>
          </w:tcPr>
          <w:p w14:paraId="66A5977C" w14:textId="77777777" w:rsidR="00B37F05" w:rsidRPr="00D06E2E" w:rsidRDefault="00B37F05" w:rsidP="00B37F05">
            <w:pPr>
              <w:pStyle w:val="ListParagraph"/>
              <w:numPr>
                <w:ilvl w:val="0"/>
                <w:numId w:val="22"/>
              </w:numPr>
              <w:spacing w:after="0"/>
              <w:ind w:left="360"/>
              <w:contextualSpacing/>
              <w:rPr>
                <w:b/>
                <w:lang w:val="sr-Latn-RS"/>
              </w:rPr>
            </w:pPr>
            <w:r w:rsidRPr="00D06E2E">
              <w:rPr>
                <w:b/>
                <w:lang w:val="sr-Latn-RS"/>
              </w:rPr>
              <w:t>Cases covered by the recommendations resulting from the abbreviated procedure</w:t>
            </w:r>
          </w:p>
        </w:tc>
        <w:tc>
          <w:tcPr>
            <w:tcW w:w="1060" w:type="dxa"/>
            <w:shd w:val="clear" w:color="auto" w:fill="FFFFFF"/>
            <w:vAlign w:val="center"/>
          </w:tcPr>
          <w:p w14:paraId="79B14F6D"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2</w:t>
            </w:r>
          </w:p>
        </w:tc>
        <w:tc>
          <w:tcPr>
            <w:tcW w:w="1304" w:type="dxa"/>
            <w:shd w:val="clear" w:color="auto" w:fill="FFFFFF"/>
            <w:noWrap/>
            <w:vAlign w:val="center"/>
          </w:tcPr>
          <w:p w14:paraId="22411192" w14:textId="77777777" w:rsidR="00B37F05" w:rsidRPr="00D06E2E" w:rsidRDefault="00B37F05" w:rsidP="00B37F05">
            <w:pPr>
              <w:spacing w:after="0"/>
              <w:jc w:val="center"/>
              <w:rPr>
                <w:b/>
                <w:bCs/>
                <w:lang w:val="sr-Latn-RS"/>
              </w:rPr>
            </w:pPr>
            <w:r w:rsidRPr="00D06E2E">
              <w:rPr>
                <w:b/>
                <w:bCs/>
                <w:lang w:val="sr-Latn-RS"/>
              </w:rPr>
              <w:t>6,67%</w:t>
            </w:r>
          </w:p>
        </w:tc>
      </w:tr>
      <w:tr w:rsidR="00B37F05" w:rsidRPr="00D06E2E" w14:paraId="751A3AD7" w14:textId="77777777" w:rsidTr="00B37F05">
        <w:trPr>
          <w:trHeight w:hRule="exact" w:val="329"/>
          <w:jc w:val="center"/>
        </w:trPr>
        <w:tc>
          <w:tcPr>
            <w:tcW w:w="6603" w:type="dxa"/>
            <w:shd w:val="clear" w:color="auto" w:fill="FFFFFF"/>
          </w:tcPr>
          <w:p w14:paraId="3685340A" w14:textId="77777777" w:rsidR="00B37F05" w:rsidRPr="00D06E2E" w:rsidRDefault="00B37F05" w:rsidP="00B37F05">
            <w:pPr>
              <w:pStyle w:val="ListParagraph"/>
              <w:numPr>
                <w:ilvl w:val="0"/>
                <w:numId w:val="22"/>
              </w:numPr>
              <w:spacing w:after="0"/>
              <w:ind w:left="360"/>
              <w:contextualSpacing/>
              <w:rPr>
                <w:b/>
                <w:lang w:val="sr-Latn-RS"/>
              </w:rPr>
            </w:pPr>
            <w:r w:rsidRPr="00D06E2E">
              <w:rPr>
                <w:b/>
                <w:lang w:val="sr-Latn-RS"/>
              </w:rPr>
              <w:t>Informed and advised complainant</w:t>
            </w:r>
          </w:p>
        </w:tc>
        <w:tc>
          <w:tcPr>
            <w:tcW w:w="1060" w:type="dxa"/>
            <w:shd w:val="clear" w:color="auto" w:fill="FFFFFF"/>
            <w:vAlign w:val="center"/>
          </w:tcPr>
          <w:p w14:paraId="2F2A3754"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1</w:t>
            </w:r>
          </w:p>
        </w:tc>
        <w:tc>
          <w:tcPr>
            <w:tcW w:w="1304" w:type="dxa"/>
            <w:shd w:val="clear" w:color="auto" w:fill="FFFFFF"/>
            <w:noWrap/>
            <w:vAlign w:val="center"/>
          </w:tcPr>
          <w:p w14:paraId="0199673D" w14:textId="77777777" w:rsidR="00B37F05" w:rsidRPr="00D06E2E" w:rsidRDefault="00B37F05" w:rsidP="00B37F05">
            <w:pPr>
              <w:spacing w:after="0"/>
              <w:jc w:val="center"/>
              <w:rPr>
                <w:b/>
                <w:bCs/>
                <w:lang w:val="sr-Latn-RS"/>
              </w:rPr>
            </w:pPr>
            <w:r w:rsidRPr="00D06E2E">
              <w:rPr>
                <w:b/>
                <w:bCs/>
                <w:lang w:val="sr-Latn-RS"/>
              </w:rPr>
              <w:t>3,33%</w:t>
            </w:r>
          </w:p>
        </w:tc>
      </w:tr>
      <w:tr w:rsidR="00B37F05" w:rsidRPr="00D06E2E" w14:paraId="5E787F8F" w14:textId="77777777" w:rsidTr="00B37F05">
        <w:trPr>
          <w:trHeight w:hRule="exact" w:val="329"/>
          <w:jc w:val="center"/>
        </w:trPr>
        <w:tc>
          <w:tcPr>
            <w:tcW w:w="6603" w:type="dxa"/>
            <w:shd w:val="clear" w:color="auto" w:fill="FFFFFF"/>
          </w:tcPr>
          <w:p w14:paraId="0A504657" w14:textId="77777777" w:rsidR="00B37F05" w:rsidRPr="00D06E2E" w:rsidRDefault="00B37F05" w:rsidP="00B37F05">
            <w:pPr>
              <w:pStyle w:val="ListParagraph"/>
              <w:numPr>
                <w:ilvl w:val="0"/>
                <w:numId w:val="22"/>
              </w:numPr>
              <w:spacing w:after="0"/>
              <w:ind w:left="360"/>
              <w:contextualSpacing/>
              <w:rPr>
                <w:b/>
                <w:lang w:val="sr-Latn-RS"/>
              </w:rPr>
            </w:pPr>
            <w:r w:rsidRPr="00D06E2E">
              <w:rPr>
                <w:b/>
                <w:lang w:val="sr-Latn-RS"/>
              </w:rPr>
              <w:t>Waiver of the complainant</w:t>
            </w:r>
          </w:p>
        </w:tc>
        <w:tc>
          <w:tcPr>
            <w:tcW w:w="1060" w:type="dxa"/>
            <w:shd w:val="clear" w:color="auto" w:fill="FFFFFF"/>
            <w:vAlign w:val="center"/>
          </w:tcPr>
          <w:p w14:paraId="44A73CC4"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1</w:t>
            </w:r>
          </w:p>
        </w:tc>
        <w:tc>
          <w:tcPr>
            <w:tcW w:w="1304" w:type="dxa"/>
            <w:shd w:val="clear" w:color="auto" w:fill="FFFFFF"/>
            <w:noWrap/>
            <w:vAlign w:val="center"/>
          </w:tcPr>
          <w:p w14:paraId="5ED2F7C7" w14:textId="77777777" w:rsidR="00B37F05" w:rsidRPr="00D06E2E" w:rsidRDefault="00B37F05" w:rsidP="00B37F05">
            <w:pPr>
              <w:spacing w:after="0"/>
              <w:jc w:val="center"/>
              <w:rPr>
                <w:b/>
                <w:bCs/>
                <w:lang w:val="sr-Latn-RS"/>
              </w:rPr>
            </w:pPr>
            <w:r w:rsidRPr="00D06E2E">
              <w:rPr>
                <w:b/>
                <w:bCs/>
                <w:lang w:val="sr-Latn-RS"/>
              </w:rPr>
              <w:t>3,33%</w:t>
            </w:r>
          </w:p>
        </w:tc>
      </w:tr>
      <w:tr w:rsidR="00B37F05" w:rsidRPr="00D06E2E" w14:paraId="483171E6" w14:textId="77777777" w:rsidTr="00B37F05">
        <w:trPr>
          <w:trHeight w:hRule="exact" w:val="329"/>
          <w:jc w:val="center"/>
        </w:trPr>
        <w:tc>
          <w:tcPr>
            <w:tcW w:w="6603" w:type="dxa"/>
          </w:tcPr>
          <w:p w14:paraId="4FC26ADD" w14:textId="77777777" w:rsidR="00B37F05" w:rsidRPr="00D06E2E" w:rsidRDefault="00B37F05" w:rsidP="00B37F05">
            <w:pPr>
              <w:spacing w:after="0"/>
              <w:rPr>
                <w:b/>
                <w:bCs/>
                <w:lang w:val="sr-Latn-RS"/>
              </w:rPr>
            </w:pPr>
            <w:r w:rsidRPr="00D06E2E">
              <w:rPr>
                <w:b/>
                <w:lang w:val="sr-Latn-RS"/>
              </w:rPr>
              <w:t>Total</w:t>
            </w:r>
          </w:p>
        </w:tc>
        <w:tc>
          <w:tcPr>
            <w:tcW w:w="1060" w:type="dxa"/>
            <w:vAlign w:val="center"/>
          </w:tcPr>
          <w:p w14:paraId="708A78EC" w14:textId="77777777" w:rsidR="00B37F05" w:rsidRPr="00D06E2E" w:rsidRDefault="00B37F05" w:rsidP="00B37F05">
            <w:pPr>
              <w:spacing w:after="0"/>
              <w:jc w:val="center"/>
              <w:rPr>
                <w:rFonts w:cs="Calibri"/>
                <w:b/>
                <w:bCs/>
                <w:color w:val="000000"/>
                <w:highlight w:val="green"/>
                <w:lang w:val="sr-Latn-RS"/>
              </w:rPr>
            </w:pPr>
            <w:r w:rsidRPr="00D06E2E">
              <w:rPr>
                <w:rFonts w:cs="Calibri"/>
                <w:b/>
                <w:bCs/>
                <w:color w:val="000000"/>
                <w:lang w:val="sr-Latn-RS"/>
              </w:rPr>
              <w:t>30</w:t>
            </w:r>
          </w:p>
        </w:tc>
        <w:tc>
          <w:tcPr>
            <w:tcW w:w="1304" w:type="dxa"/>
            <w:noWrap/>
            <w:vAlign w:val="center"/>
          </w:tcPr>
          <w:p w14:paraId="0B4DF15F" w14:textId="77777777" w:rsidR="00B37F05" w:rsidRPr="00D06E2E" w:rsidRDefault="00B37F05" w:rsidP="00B37F05">
            <w:pPr>
              <w:spacing w:after="0"/>
              <w:jc w:val="center"/>
              <w:rPr>
                <w:rFonts w:cs="Calibri"/>
                <w:b/>
                <w:bCs/>
                <w:color w:val="000000"/>
                <w:highlight w:val="green"/>
                <w:lang w:val="sr-Latn-RS"/>
              </w:rPr>
            </w:pPr>
            <w:r w:rsidRPr="00D06E2E">
              <w:rPr>
                <w:rFonts w:cs="Calibri"/>
                <w:b/>
                <w:bCs/>
                <w:color w:val="000000"/>
                <w:lang w:val="sr-Latn-RS"/>
              </w:rPr>
              <w:t>100%</w:t>
            </w:r>
          </w:p>
        </w:tc>
      </w:tr>
    </w:tbl>
    <w:p w14:paraId="2BEB5AB9" w14:textId="77777777" w:rsidR="00B37F05" w:rsidRPr="00D06E2E" w:rsidRDefault="00B37F05" w:rsidP="00B37F05">
      <w:pPr>
        <w:spacing w:after="0"/>
        <w:rPr>
          <w:lang w:val="sr-Latn-RS"/>
        </w:rPr>
      </w:pPr>
    </w:p>
    <w:p w14:paraId="7F0440B2" w14:textId="77777777" w:rsidR="00B37F05" w:rsidRPr="00D06E2E" w:rsidRDefault="00B37F05" w:rsidP="00B37F05">
      <w:pPr>
        <w:rPr>
          <w:sz w:val="10"/>
          <w:szCs w:val="10"/>
          <w:lang w:val="sr-Latn-RS"/>
        </w:rPr>
      </w:pPr>
      <w:r w:rsidRPr="00D06E2E">
        <w:rPr>
          <w:lang w:val="sr-Latn-RS"/>
        </w:rPr>
        <w:t xml:space="preserve">The greatest number of received complaints is </w:t>
      </w:r>
      <w:r w:rsidRPr="00D06E2E">
        <w:rPr>
          <w:rFonts w:cstheme="minorHAnsi"/>
          <w:lang w:val="sr-Latn-RS"/>
        </w:rPr>
        <w:t xml:space="preserve">inadmissible </w:t>
      </w:r>
      <w:r w:rsidRPr="00D06E2E">
        <w:rPr>
          <w:lang w:val="sr-Latn-RS"/>
        </w:rPr>
        <w:t xml:space="preserve">by the Protector of Citizens because the legally prescribed conditions for acting upon them are not fulfilled. The complaints are </w:t>
      </w:r>
      <w:r w:rsidRPr="00D06E2E">
        <w:rPr>
          <w:rFonts w:cstheme="minorHAnsi"/>
          <w:lang w:val="sr-Latn-RS"/>
        </w:rPr>
        <w:t xml:space="preserve">inadmissible </w:t>
      </w:r>
      <w:r w:rsidRPr="00D06E2E">
        <w:rPr>
          <w:lang w:val="sr-Latn-RS"/>
        </w:rPr>
        <w:t>due to incompetence, untimeliness, prematurity, anonymity and formal deficiency. In 84.21% of dismissed cases (16) in this area, the Protector of Citizens referred the complainant to the competent authority or advised him about available legal remedies.</w:t>
      </w:r>
    </w:p>
    <w:p w14:paraId="6132F688" w14:textId="77777777" w:rsidR="00B37F05" w:rsidRPr="00D06E2E" w:rsidRDefault="00B37F05" w:rsidP="00B37F05">
      <w:pPr>
        <w:spacing w:after="0"/>
        <w:rPr>
          <w:lang w:val="sr-Latn-RS"/>
        </w:rPr>
      </w:pPr>
      <w:r w:rsidRPr="00D06E2E">
        <w:rPr>
          <w:lang w:val="sr-Latn-RS"/>
        </w:rPr>
        <w:lastRenderedPageBreak/>
        <w:t>In the area of rights of national minorities, 36 violations of rights were pointed out in 34 cases, most of which relate to special rights in the area of rights of national minorities: special rights of Roma, prohibition of discrimination, individual rights of members of national minorities.</w:t>
      </w:r>
    </w:p>
    <w:p w14:paraId="7B28A1A2" w14:textId="77777777" w:rsidR="00B37F05" w:rsidRPr="00D06E2E" w:rsidRDefault="00B37F05" w:rsidP="00B37F05">
      <w:pPr>
        <w:spacing w:after="0"/>
        <w:rPr>
          <w:lang w:val="sr-Latn-RS"/>
        </w:rPr>
      </w:pPr>
    </w:p>
    <w:p w14:paraId="60CDC913" w14:textId="77777777" w:rsidR="00B37F05" w:rsidRPr="00D06E2E" w:rsidRDefault="00B37F05" w:rsidP="00B37F05">
      <w:pPr>
        <w:pStyle w:val="Caption"/>
        <w:keepNext/>
        <w:spacing w:before="0"/>
        <w:jc w:val="center"/>
        <w:rPr>
          <w:noProof/>
          <w:lang w:val="sr-Latn-RS"/>
        </w:rPr>
      </w:pPr>
      <w:r w:rsidRPr="00D06E2E">
        <w:rPr>
          <w:lang w:val="sr-Latn-RS"/>
        </w:rPr>
        <w:t>Chart 6 – Categories of authorities and organizations most frequently complained about by the citizens in the area of national minority rights</w:t>
      </w:r>
      <w:r w:rsidRPr="00D06E2E">
        <w:rPr>
          <w:noProof/>
          <w:lang w:val="sr-Latn-RS"/>
        </w:rPr>
        <w:t xml:space="preserve"> </w:t>
      </w:r>
    </w:p>
    <w:p w14:paraId="51A7B63E" w14:textId="77777777" w:rsidR="00B37F05" w:rsidRPr="00D06E2E" w:rsidRDefault="00B37F05" w:rsidP="00B37F05">
      <w:pPr>
        <w:pStyle w:val="Caption"/>
        <w:keepNext/>
        <w:spacing w:before="0"/>
        <w:jc w:val="center"/>
        <w:rPr>
          <w:sz w:val="24"/>
          <w:szCs w:val="24"/>
          <w:lang w:val="sr-Latn-RS"/>
        </w:rPr>
      </w:pPr>
      <w:r w:rsidRPr="00D06E2E">
        <w:rPr>
          <w:noProof/>
          <w:lang w:val="sr-Latn-RS"/>
        </w:rPr>
        <w:drawing>
          <wp:inline distT="0" distB="0" distL="0" distR="0" wp14:anchorId="2E531FA4" wp14:editId="45F1AA0C">
            <wp:extent cx="5572125" cy="40100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074849" w14:textId="77777777" w:rsidR="00B37F05" w:rsidRPr="00D06E2E" w:rsidRDefault="00B37F05" w:rsidP="00B37F05">
      <w:pPr>
        <w:spacing w:after="0"/>
        <w:jc w:val="center"/>
        <w:rPr>
          <w:sz w:val="24"/>
          <w:lang w:val="sr-Latn-RS"/>
        </w:rPr>
      </w:pPr>
    </w:p>
    <w:p w14:paraId="746CD13D" w14:textId="77777777" w:rsidR="00B37F05" w:rsidRPr="00D06E2E" w:rsidRDefault="00B37F05" w:rsidP="00B37F05">
      <w:pPr>
        <w:jc w:val="center"/>
        <w:rPr>
          <w:sz w:val="24"/>
          <w:lang w:val="sr-Latn-RS"/>
        </w:rPr>
      </w:pPr>
      <w:r w:rsidRPr="00D06E2E">
        <w:rPr>
          <w:sz w:val="24"/>
          <w:lang w:val="sr-Latn-RS"/>
        </w:rPr>
        <w:t>ACTIVITIES OF THE PROTECTOR OF CITIZENS</w:t>
      </w:r>
    </w:p>
    <w:p w14:paraId="0DA3FE42" w14:textId="77777777" w:rsidR="00B37F05" w:rsidRPr="00D06E2E" w:rsidRDefault="00B37F05" w:rsidP="00B37F05">
      <w:pPr>
        <w:rPr>
          <w:lang w:val="sr-Latn-RS"/>
        </w:rPr>
      </w:pPr>
      <w:r w:rsidRPr="00D06E2E">
        <w:rPr>
          <w:lang w:val="sr-Latn-RS"/>
        </w:rPr>
        <w:t>In this reporting period, the Protector of Citizens completed the proceedings on the complaint of a member of the Albanian national minority, in which it was pointed out the non-compliance with the obligation to use the Albanian language and alphabet in the work of the Ministry of Interior, Preševo Police Station. In the Report on the case with recommendations</w:t>
      </w:r>
      <w:r w:rsidRPr="00D06E2E">
        <w:rPr>
          <w:rStyle w:val="FootnoteReference"/>
          <w:lang w:val="sr-Latn-RS"/>
        </w:rPr>
        <w:footnoteReference w:id="108"/>
      </w:r>
      <w:r w:rsidRPr="00D06E2E">
        <w:rPr>
          <w:lang w:val="sr-Latn-RS"/>
        </w:rPr>
        <w:t xml:space="preserve">, the Protector of Citizens determined that the Ministry of Internal Affairs, not in accordance with the law, prepared and delivered decisions and notices in the Albanian language and a letter to the complainant - a police officer, who emphasized the request that the proceedings be conducted in the Albanian language and alphabet, which is in official use on the territory of the municipality of Preševo, thus violating the rights of the complainant to the official use of the language and alphabet of members of national minorities guaranteed by the Constitution and laws. </w:t>
      </w:r>
    </w:p>
    <w:p w14:paraId="675DEF6F" w14:textId="77777777" w:rsidR="00B37F05" w:rsidRPr="00D06E2E" w:rsidRDefault="00B37F05" w:rsidP="00B37F05">
      <w:pPr>
        <w:rPr>
          <w:lang w:val="sr-Latn-RS"/>
        </w:rPr>
      </w:pPr>
      <w:r w:rsidRPr="00D06E2E">
        <w:rPr>
          <w:lang w:val="sr-Latn-RS"/>
        </w:rPr>
        <w:t xml:space="preserve">In the Report on the case with recommendations, the Protector of Citizens asked the Ministry of the Interior to, in accordance with the Law on the Official Use of Languages and Alphabets, draft all decisions and notices in the disciplinary proceedings against the complainant in the Albanian language and alphabet and to take care in future work on respecting the official use </w:t>
      </w:r>
      <w:r w:rsidRPr="00D06E2E">
        <w:rPr>
          <w:lang w:val="sr-Latn-RS"/>
        </w:rPr>
        <w:lastRenderedPageBreak/>
        <w:t>of the language and alphabet of members of national minorities. The Ministry of Interior informed the Protector of Citizens that the disciplinary proceedings against the complainant have been completed, and that is why decisions have not been made in the Albanian language and alphabet, but that in the future they will take care to make decisions bilingually when the party highlights the request that the proceedings be conducted in the language of the national minority.</w:t>
      </w:r>
    </w:p>
    <w:p w14:paraId="19B75DC7" w14:textId="77777777" w:rsidR="00B37F05" w:rsidRPr="00D06E2E" w:rsidRDefault="00B37F05" w:rsidP="00B37F05">
      <w:pPr>
        <w:rPr>
          <w:lang w:val="sr-Latn-RS"/>
        </w:rPr>
      </w:pPr>
      <w:r w:rsidRPr="00D06E2E">
        <w:rPr>
          <w:lang w:val="sr-Latn-RS"/>
        </w:rPr>
        <w:t>The importance of monitoring the exercise of the right to the official use of languages and alphabets, as well as the registration of a personal name according to the language and alphabet of the national minority, is indicated by the Report on the case with an opinion</w:t>
      </w:r>
      <w:r w:rsidRPr="00D06E2E">
        <w:rPr>
          <w:rStyle w:val="FootnoteReference"/>
          <w:lang w:val="sr-Latn-RS"/>
        </w:rPr>
        <w:footnoteReference w:id="109"/>
      </w:r>
      <w:r w:rsidRPr="00D06E2E">
        <w:rPr>
          <w:lang w:val="sr-Latn-RS"/>
        </w:rPr>
        <w:t xml:space="preserve"> sent by the Protector of Citizens to the Ministry of State Administration and Local Self-Government in 2023. After receiving a complaint from a parent that the City Administration for City Authorities and Civil Conditions of the City of Niš has been refusing to register the name of his minor child in the Albanian language and alphabet for two years, the Protector of Citizens sent an Opinion to the Ministry of State Administration and Local Self-Government, as a second-level authority, considering that further annulment of the decision and return to the first-instance authority for re-decision would lead to an unnecessary delay of the procedure.</w:t>
      </w:r>
    </w:p>
    <w:p w14:paraId="2A9556B6" w14:textId="77777777" w:rsidR="00B37F05" w:rsidRPr="00D06E2E" w:rsidRDefault="00B37F05" w:rsidP="00B37F05">
      <w:pPr>
        <w:rPr>
          <w:lang w:val="sr-Latn-RS"/>
        </w:rPr>
      </w:pPr>
      <w:r w:rsidRPr="00D06E2E">
        <w:rPr>
          <w:lang w:val="sr-Latn-RS"/>
        </w:rPr>
        <w:t xml:space="preserve">Also, in the examination procedure of the legality and regularity of the work of the City Administration for the city authorities and civil conditions of the city of Nis and the Ministry of State Administration and Local Self-Government as a second-level authority, the Protector of Citizens determined that the rejection of the request to register the personal name or surname of a minor child in the Albanian language led to the violation of the child's rights and resulted in the child's last name being different from the last name registered by his parents in the birth register. In the Report on the case with an opinion sent to the Ministry of State Administration and Local Self-Government, the Protector of Citizens pointed out that the legal requirements for the Ministry of State Administration and Local Self-Government as a second-instance authority to cancel the decision of the City Administration for the City Authorities and Civil Conditions of the City of Niš are met and that just decide on an administrative matter in accordance with the law. The Ministry of State Administration and Local Self-Government acted in accordance with the sent opinion within the time allowed, and the City Administration for City Bodies and Civil Conditions of the City of Niš, after receiving the decision of the second-instance body, entered the personal name of the complainant's minor son in the Albanian language and alphabet. </w:t>
      </w:r>
    </w:p>
    <w:p w14:paraId="3E2C5F88" w14:textId="77777777" w:rsidR="00B37F05" w:rsidRPr="00D06E2E" w:rsidRDefault="00B37F05" w:rsidP="00B37F05">
      <w:pPr>
        <w:rPr>
          <w:lang w:val="sr-Latn-RS"/>
        </w:rPr>
      </w:pPr>
      <w:r w:rsidRPr="00D06E2E">
        <w:rPr>
          <w:lang w:val="sr-Latn-RS"/>
        </w:rPr>
        <w:t xml:space="preserve">In this reporting period, the proceedings on the case on its own initiative regarding the disconnection of the electricity in the Roma settlement in Niš were completed. Namely, the Protector of Citizens learned from the media about the protests of residents of the Roma settlement “12. Februar” in Niš who are protesting against the power cut. As stated in the media, the residents of this settlement did not have electricity for more than five months, and they demanded that they be connected to the network as soon as possible and that everyone get their own separate meter. The Protector of Citizens conducted an examination of the legality and regularity of the work of the City Administration of the City of Niš, which ended with the suspension of the proceedings because the City Administration of the City of Niš informed the Protector of Citizens that electricity was temporarily switched on for families in the Roma settlement, as well as that measures were taken to implement the legalization procedure in order to permanent solution of connection to the electrical distribution network. Also, increased one-time financial assistance is provided for families. The Protector of Citizens will continue to monitor the actions of the City Administration of the city of Niš, as well as </w:t>
      </w:r>
      <w:r w:rsidRPr="00D06E2E">
        <w:rPr>
          <w:lang w:val="sr-Latn-RS"/>
        </w:rPr>
        <w:lastRenderedPageBreak/>
        <w:t xml:space="preserve">other local self-governments, in relation to solving infrastructure issues and improving living conditions in Roma settlements. </w:t>
      </w:r>
    </w:p>
    <w:p w14:paraId="4759AEF6" w14:textId="77777777" w:rsidR="00B37F05" w:rsidRPr="00D06E2E" w:rsidRDefault="00B37F05" w:rsidP="00B37F05">
      <w:pPr>
        <w:rPr>
          <w:lang w:val="sr-Latn-RS"/>
        </w:rPr>
      </w:pPr>
      <w:r w:rsidRPr="00D06E2E">
        <w:rPr>
          <w:lang w:val="sr-Latn-RS"/>
        </w:rPr>
        <w:t>The results achieved in improving the position of the Roma did not remove key obstacles in the process of their integration, and that is why the Protector of Citizens believes that we should continue to insist on comprehensive support for the Roma national minority, which certainly includes the improvement of housing conditions. The living conditions in Roma settlements are also indicated by the frequent occurrence of fires in Roma settlements, which unfortunately in some cases had tragic outcomes, as the Protector of Citizens pointed out several times in his public addresses.</w:t>
      </w:r>
    </w:p>
    <w:p w14:paraId="5699E2F1" w14:textId="77777777" w:rsidR="00B37F05" w:rsidRPr="00D06E2E" w:rsidRDefault="00B37F05" w:rsidP="00B37F05">
      <w:pPr>
        <w:rPr>
          <w:rFonts w:cs="Arial"/>
          <w:lang w:val="sr-Latn-RS"/>
        </w:rPr>
      </w:pPr>
      <w:r w:rsidRPr="00D06E2E">
        <w:rPr>
          <w:rFonts w:cs="Arial"/>
          <w:lang w:val="sr-Latn-RS"/>
        </w:rPr>
        <w:t>In the reporting period, the Protector of Citizens received a complaint from citizens belonging to the Roma national minority who lost their houses in a fire that occurred in May 2023 in Belgrade. The complainants were left without their entire property and belongings. Acting on the complaint, the Protector of Citizens established that the families who were left without their property, and bearing in mind that they are socially vulnerable persons, the City Administration of the City of Belgrade paid an increase in one-time financial assistance and provided assistance in the form of clothing and basic necessities of life, but there was no opportunity to provide them with accommodation except in collective shelters.</w:t>
      </w:r>
    </w:p>
    <w:p w14:paraId="68A40DA4" w14:textId="77777777" w:rsidR="00B37F05" w:rsidRPr="00D06E2E" w:rsidRDefault="00B37F05" w:rsidP="00B37F05">
      <w:pPr>
        <w:rPr>
          <w:rFonts w:cs="Arial"/>
          <w:lang w:val="sr-Latn-RS"/>
        </w:rPr>
      </w:pPr>
      <w:r w:rsidRPr="00D06E2E">
        <w:rPr>
          <w:rFonts w:cs="Arial"/>
          <w:lang w:val="sr-Latn-RS"/>
        </w:rPr>
        <w:t>In this regard, the Protector of Citizens sent a Report on the case with an opinion</w:t>
      </w:r>
      <w:r w:rsidRPr="00D06E2E">
        <w:rPr>
          <w:rStyle w:val="FootnoteReference"/>
          <w:rFonts w:cs="Arial"/>
          <w:lang w:val="sr-Latn-RS"/>
        </w:rPr>
        <w:footnoteReference w:id="110"/>
      </w:r>
      <w:r w:rsidRPr="00D06E2E">
        <w:rPr>
          <w:rFonts w:cs="Arial"/>
          <w:lang w:val="sr-Latn-RS"/>
        </w:rPr>
        <w:t xml:space="preserve"> to the City Administration of the City of Belgrade, in which he stated that it is necessary to plan and increase the fund of apartments for social housing in order to ensure the right to housing for all persons in a state of housing need who cannot independently solve this issue.</w:t>
      </w:r>
    </w:p>
    <w:p w14:paraId="78AC4177" w14:textId="77777777" w:rsidR="00B37F05" w:rsidRPr="00D06E2E" w:rsidRDefault="00B37F05" w:rsidP="00B37F05">
      <w:pPr>
        <w:rPr>
          <w:lang w:val="sr-Latn-RS"/>
        </w:rPr>
      </w:pPr>
      <w:r w:rsidRPr="00D06E2E">
        <w:rPr>
          <w:lang w:val="sr-Latn-RS"/>
        </w:rPr>
        <w:t>Another worrisome event that indicates that the degree of ethnic distance towards the Roma is still high is the complaint regarding the racist graffiti that appeared in Leskovac. The Protector of Citizens received a complaint from a member of the Roma community who submitted photos from several locations where racist graffiti against the Roma was written. Action on this complaint is ongoing.</w:t>
      </w:r>
    </w:p>
    <w:p w14:paraId="035859DC" w14:textId="77777777" w:rsidR="00B37F05" w:rsidRPr="00D06E2E" w:rsidRDefault="00B37F05" w:rsidP="00B37F05">
      <w:pPr>
        <w:rPr>
          <w:lang w:val="sr-Latn-RS"/>
        </w:rPr>
      </w:pPr>
      <w:r w:rsidRPr="00D06E2E">
        <w:rPr>
          <w:lang w:val="sr-Latn-RS"/>
        </w:rPr>
        <w:t>In 2023, the Slovak national minority also faced graffiti with offensive content. Namely, the Protector of Citizens received a complaint from the National Council of the Slovak National Minority in which graffiti against members of the Slovak National Minority was pointed out in the settlement of Kisač, in Novi Sad. The National Council informed the Protector of Citizens that in the populated place Kisač unknown person wrote graffiti with the following content: "principle Kill Slovak". Photographs of the mentioned graffiti were submitted with the complaint. Acting on the complaint, the Protector of Citizens initiated examination procedures of the legality and regularity of the work of the City Administration of the City of Novi Sad and the Ministry of Interior, and after the initiation of the procedure, the City Administration of the City of Novi Sad informed the Protector of Citizens that the inspection authorities had removed the disputed graffiti, as well as that communal militia officers visited the location where the graffiti was written and that no new graffiti was observed.</w:t>
      </w:r>
    </w:p>
    <w:p w14:paraId="6F7C087D" w14:textId="77777777" w:rsidR="00B37F05" w:rsidRPr="00D06E2E" w:rsidRDefault="00B37F05" w:rsidP="00B37F05">
      <w:pPr>
        <w:rPr>
          <w:lang w:val="sr-Latn-RS"/>
        </w:rPr>
      </w:pPr>
      <w:r w:rsidRPr="00D06E2E">
        <w:rPr>
          <w:lang w:val="sr-Latn-RS"/>
        </w:rPr>
        <w:t>Also, the Ministry of Interior informed the Protector of Citizens that due to the report on the appearance of disputed graffiti, police officers went to the scene, conducted appropriate investigative actions and identified the perpetrator who fully admitted to committing the crime. The Ministry of Interior informed the Higher Public Prosecutor's Office in Novi Sad of all established facts, which qualified the act as a criminal act of inciting national, racial and religious hatred and intolerance from Article 317, paragraph 1 of the Criminal Code</w:t>
      </w:r>
      <w:r w:rsidRPr="00D06E2E">
        <w:rPr>
          <w:rStyle w:val="FootnoteReference"/>
          <w:lang w:val="sr-Latn-RS"/>
        </w:rPr>
        <w:footnoteReference w:id="111"/>
      </w:r>
      <w:r w:rsidRPr="00D06E2E">
        <w:rPr>
          <w:lang w:val="sr-Latn-RS"/>
        </w:rPr>
        <w:t xml:space="preserve">. As it </w:t>
      </w:r>
      <w:r w:rsidRPr="00D06E2E">
        <w:rPr>
          <w:lang w:val="sr-Latn-RS"/>
        </w:rPr>
        <w:lastRenderedPageBreak/>
        <w:t>was determined that the perpetrator is not criminally responsible because he is a minor, a report was drawn up and submitted to the Center for Social Work, which took measures within its jurisdiction. Bearing in mind that the City Administration of the city of Novi Sad removed the disputed graffiti, as well as that the Ministry of Interior took measures within its jurisdiction, the procedure was suspended, and the fact that all competent authorities reacted quickly is encouraging.</w:t>
      </w:r>
    </w:p>
    <w:p w14:paraId="045E8CC3" w14:textId="77777777" w:rsidR="00B37F05" w:rsidRPr="00D06E2E" w:rsidRDefault="00B37F05" w:rsidP="00B37F05">
      <w:pPr>
        <w:pStyle w:val="FootnoteText"/>
        <w:spacing w:after="120"/>
        <w:ind w:firstLine="0"/>
        <w:rPr>
          <w:sz w:val="22"/>
          <w:szCs w:val="22"/>
          <w:lang w:val="sr-Latn-RS"/>
        </w:rPr>
      </w:pPr>
      <w:r w:rsidRPr="00D06E2E">
        <w:rPr>
          <w:sz w:val="22"/>
          <w:szCs w:val="22"/>
          <w:lang w:val="sr-Latn-RS"/>
        </w:rPr>
        <w:t>The Protector of Citizens also visited local self-government units in this reporting period, and special attention was paid to the realization of the rights of the Roma community as a particularly sensitive category of the population. In order to inform the Roma community about ways to protect their rights, as well as to raise the awareness of employees in local self-government bodies about the position of Roma, the Protector of Citizens organized trainings in Vranje, Bujanovac, Kragujevac, Niš and Leskovac</w:t>
      </w:r>
      <w:r w:rsidRPr="00D06E2E">
        <w:rPr>
          <w:rStyle w:val="FootnoteReference"/>
          <w:sz w:val="22"/>
          <w:szCs w:val="22"/>
          <w:lang w:val="sr-Latn-RS"/>
        </w:rPr>
        <w:footnoteReference w:id="112"/>
      </w:r>
      <w:r w:rsidRPr="00D06E2E">
        <w:rPr>
          <w:sz w:val="22"/>
          <w:szCs w:val="22"/>
          <w:lang w:val="sr-Latn-RS"/>
        </w:rPr>
        <w:t>. The trainings were attended by members of the Roma community, representatives of Roma non-governmental organizations, teaching assistants, health mediators, coordinators for Roma issues and employees of local self-governments.</w:t>
      </w:r>
    </w:p>
    <w:p w14:paraId="3A4AD74D" w14:textId="77777777" w:rsidR="00B37F05" w:rsidRPr="00D06E2E" w:rsidRDefault="00B37F05" w:rsidP="00B37F05">
      <w:pPr>
        <w:rPr>
          <w:lang w:val="sr-Latn-RS"/>
        </w:rPr>
      </w:pPr>
      <w:r w:rsidRPr="00D06E2E">
        <w:rPr>
          <w:lang w:val="sr-Latn-RS"/>
        </w:rPr>
        <w:t>Also, a special training was organized in Belgrade for the members of the National Council of the Roma National Minority on the responsibilities of the Protector of Citizens, where the importance of the National Council of the Roma National Minority in the realization and protection of Roma rights was highlighted, as well as the excellent cooperation that the Protector of Citizens has with this council. The members of the council were presented with the novelties in the Law on the Protector of Citizens from 2021, which additionally strengthened the position of this body, as well as the previous practice of the Protector of Citizens in working with members of the Roma community.</w:t>
      </w:r>
    </w:p>
    <w:p w14:paraId="6432833B" w14:textId="77777777" w:rsidR="00B37F05" w:rsidRPr="00D06E2E" w:rsidRDefault="00B37F05" w:rsidP="00B37F05">
      <w:pPr>
        <w:rPr>
          <w:lang w:val="sr-Latn-RS"/>
        </w:rPr>
      </w:pPr>
      <w:r w:rsidRPr="00D06E2E">
        <w:rPr>
          <w:lang w:val="sr-Latn-RS"/>
        </w:rPr>
        <w:t>In this reporting period as well, the Protector of Citizens continued with activities within the framework of the third Memorandum of Understanding signed by the Protector of Citizens, the Ministry of State Administration and Local Self-Government and the United Nations High Commissioner for Refugees (UNHCR) in February 2022, in connection with the resolution issues of legally invisible Roma. As part of the implementation of the Memorandum of Understanding, four trainings were held on the importance of mutual coordination of participants in the process of registration in the birth register, with an emphasis on cases of the birth of a child whose mother does not have personal documents, in which representatives of the Protector of Citizens participated as lecturers. More than 180 participants, registrars, police officers, officers in social work centers, providers of free legal aid and trustees for refugees took part in the trainings. The participants were also representatives of the Roma community who, in direct contact with the officials, were able to present the problems they have in exercising their rights and get answers to their questions.</w:t>
      </w:r>
    </w:p>
    <w:p w14:paraId="00E15B9C" w14:textId="77777777" w:rsidR="00B37F05" w:rsidRPr="00D06E2E" w:rsidRDefault="00B37F05" w:rsidP="00B37F05">
      <w:pPr>
        <w:rPr>
          <w:lang w:val="sr-Latn-RS"/>
        </w:rPr>
      </w:pPr>
      <w:r w:rsidRPr="00D06E2E">
        <w:rPr>
          <w:lang w:val="sr-Latn-RS"/>
        </w:rPr>
        <w:t>Representatives of the Protector of Citizens participated in a regional workshop in Albania organized by the Council of Europe, where they had the opportunity to present their experiences in the work of the Protector of Citizens with sensitive groups, especially practices in the protection of the rights of national minorities</w:t>
      </w:r>
      <w:r w:rsidRPr="00D06E2E">
        <w:rPr>
          <w:rStyle w:val="FootnoteReference"/>
          <w:lang w:val="sr-Latn-RS"/>
        </w:rPr>
        <w:footnoteReference w:id="113"/>
      </w:r>
      <w:r w:rsidRPr="00D06E2E">
        <w:rPr>
          <w:lang w:val="sr-Latn-RS"/>
        </w:rPr>
        <w:t>.</w:t>
      </w:r>
    </w:p>
    <w:p w14:paraId="608415BC" w14:textId="77777777" w:rsidR="00B37F05" w:rsidRPr="00D06E2E" w:rsidRDefault="00B37F05" w:rsidP="00B37F05">
      <w:pPr>
        <w:spacing w:after="0"/>
        <w:rPr>
          <w:lang w:val="sr-Latn-RS"/>
        </w:rPr>
      </w:pPr>
      <w:r w:rsidRPr="00D06E2E">
        <w:rPr>
          <w:lang w:val="sr-Latn-RS"/>
        </w:rPr>
        <w:t xml:space="preserve">Also, the representative of the Protector of Citizens participated as a member of the delegation of the Republic of Serbia at the regional conference in Skopje organized by the UNHCR and </w:t>
      </w:r>
      <w:r w:rsidRPr="00D06E2E">
        <w:rPr>
          <w:lang w:val="sr-Latn-RS"/>
        </w:rPr>
        <w:lastRenderedPageBreak/>
        <w:t>the OSCE Mission to Serbia. At the conference, the successes achieved by the Republic of Serbia when it comes to solving the issue of Roma registration in the registers and the results of the ten-year implementation of the Memorandum on Understanding between the Protector of Citizens, the Ministry of State Administration and Local Self-Government and the UNHCR</w:t>
      </w:r>
      <w:r w:rsidRPr="00D06E2E">
        <w:rPr>
          <w:rStyle w:val="FootnoteReference"/>
          <w:lang w:val="sr-Latn-RS"/>
        </w:rPr>
        <w:footnoteReference w:id="114"/>
      </w:r>
      <w:r w:rsidRPr="00D06E2E">
        <w:rPr>
          <w:lang w:val="sr-Latn-RS"/>
        </w:rPr>
        <w:t xml:space="preserve">  were presented.</w:t>
      </w:r>
    </w:p>
    <w:p w14:paraId="4642B1A1" w14:textId="77777777" w:rsidR="00B37F05" w:rsidRPr="00D06E2E" w:rsidRDefault="00B37F05" w:rsidP="00B37F05">
      <w:pPr>
        <w:spacing w:after="0"/>
        <w:rPr>
          <w:lang w:val="sr-Latn-RS"/>
        </w:rPr>
      </w:pPr>
    </w:p>
    <w:p w14:paraId="07A534C0" w14:textId="77777777" w:rsidR="00B37F05" w:rsidRPr="00D06E2E" w:rsidRDefault="00B37F05" w:rsidP="00B37F05">
      <w:pPr>
        <w:jc w:val="center"/>
        <w:rPr>
          <w:lang w:val="sr-Latn-RS"/>
        </w:rPr>
      </w:pPr>
      <w:r w:rsidRPr="00D06E2E">
        <w:rPr>
          <w:sz w:val="24"/>
          <w:szCs w:val="24"/>
          <w:lang w:val="sr-Latn-RS"/>
        </w:rPr>
        <w:t>PROPOSALS FOR THE IMPROVEMENT OF THE STATUS OF NATIONAL MINORITIES IN RELATION TO ADMINISTRATIVE AUTHORITIES</w:t>
      </w:r>
    </w:p>
    <w:p w14:paraId="67E55342" w14:textId="77777777" w:rsidR="00B37F05" w:rsidRPr="00D06E2E" w:rsidRDefault="00B37F05" w:rsidP="00B37F05">
      <w:pPr>
        <w:numPr>
          <w:ilvl w:val="0"/>
          <w:numId w:val="16"/>
        </w:numPr>
        <w:ind w:left="426" w:hanging="426"/>
        <w:rPr>
          <w:lang w:val="sr-Latn-RS"/>
        </w:rPr>
      </w:pPr>
      <w:r w:rsidRPr="00D06E2E">
        <w:rPr>
          <w:b/>
          <w:lang w:val="sr-Latn-RS"/>
        </w:rPr>
        <w:t xml:space="preserve">The Ministry of Interior </w:t>
      </w:r>
      <w:r w:rsidRPr="00D06E2E">
        <w:rPr>
          <w:lang w:val="sr-Latn-RS"/>
        </w:rPr>
        <w:t>should ensure that in all future procedures, care is taken to respect the official use of the language and alphabet of members of national minorities;</w:t>
      </w:r>
    </w:p>
    <w:p w14:paraId="63B7FCF1" w14:textId="77777777" w:rsidR="00B37F05" w:rsidRPr="00D06E2E" w:rsidRDefault="00B37F05" w:rsidP="00B37F05">
      <w:pPr>
        <w:numPr>
          <w:ilvl w:val="0"/>
          <w:numId w:val="16"/>
        </w:numPr>
        <w:ind w:left="426" w:hanging="426"/>
        <w:rPr>
          <w:lang w:val="sr-Latn-RS"/>
        </w:rPr>
      </w:pPr>
      <w:r w:rsidRPr="00D06E2E">
        <w:rPr>
          <w:b/>
          <w:lang w:val="sr-Latn-RS"/>
        </w:rPr>
        <w:t>The Ministry for Human and Minority Rights and Social Dialogue</w:t>
      </w:r>
      <w:r w:rsidRPr="00D06E2E">
        <w:rPr>
          <w:lang w:val="sr-Latn-RS"/>
        </w:rPr>
        <w:t>, in cooperation with other competent authorities, should conduct trainings for employees in local self-government units on the Law on National Councils of National Minorities and the Law on Official Use of Languages and Alphabet;</w:t>
      </w:r>
    </w:p>
    <w:p w14:paraId="246F8DF5" w14:textId="77777777" w:rsidR="00B37F05" w:rsidRPr="00D06E2E" w:rsidRDefault="00B37F05" w:rsidP="00B37F05">
      <w:pPr>
        <w:numPr>
          <w:ilvl w:val="0"/>
          <w:numId w:val="16"/>
        </w:numPr>
        <w:ind w:left="426" w:hanging="426"/>
        <w:rPr>
          <w:lang w:val="sr-Latn-RS"/>
        </w:rPr>
      </w:pPr>
      <w:r w:rsidRPr="00D06E2E">
        <w:rPr>
          <w:b/>
          <w:lang w:val="sr-Latn-RS"/>
        </w:rPr>
        <w:t xml:space="preserve">The City of Belgrade </w:t>
      </w:r>
      <w:r w:rsidRPr="00D06E2E">
        <w:rPr>
          <w:lang w:val="sr-Latn-RS"/>
        </w:rPr>
        <w:t>should plan and, in accordance with the estimates, increase the fund of apartments for social housing so that the right to housing is ensured for all persons who are in need of housing;</w:t>
      </w:r>
    </w:p>
    <w:p w14:paraId="66A5B2C3" w14:textId="77777777" w:rsidR="00B37F05" w:rsidRPr="00D06E2E" w:rsidRDefault="00B37F05" w:rsidP="00B37F05">
      <w:pPr>
        <w:numPr>
          <w:ilvl w:val="0"/>
          <w:numId w:val="16"/>
        </w:numPr>
        <w:ind w:left="426" w:hanging="426"/>
        <w:rPr>
          <w:lang w:val="sr-Latn-RS"/>
        </w:rPr>
      </w:pPr>
      <w:r w:rsidRPr="00D06E2E">
        <w:rPr>
          <w:b/>
          <w:lang w:val="sr-Latn-RS"/>
        </w:rPr>
        <w:t xml:space="preserve"> Local governments where</w:t>
      </w:r>
      <w:r w:rsidRPr="00D06E2E">
        <w:rPr>
          <w:lang w:val="sr-Latn-RS"/>
        </w:rPr>
        <w:t>, according to the 2022 population census members of the Roma national minority live, should increase the number of apartments for social housing in accordance with needs and plan other measures to improve living conditions in Roma settlements.</w:t>
      </w:r>
    </w:p>
    <w:p w14:paraId="7DC7DCF8" w14:textId="77777777" w:rsidR="00B37F05" w:rsidRPr="00D06E2E" w:rsidRDefault="00B37F05" w:rsidP="00B37F05">
      <w:pPr>
        <w:pStyle w:val="Numeracija2"/>
        <w:numPr>
          <w:ilvl w:val="0"/>
          <w:numId w:val="0"/>
        </w:numPr>
        <w:rPr>
          <w:sz w:val="28"/>
          <w:szCs w:val="28"/>
          <w:lang w:val="sr-Latn-RS"/>
        </w:rPr>
      </w:pPr>
    </w:p>
    <w:p w14:paraId="77751924" w14:textId="77777777" w:rsidR="00B37F05" w:rsidRPr="00D06E2E" w:rsidRDefault="00B37F05" w:rsidP="00B37F05">
      <w:pPr>
        <w:pStyle w:val="Numeracija2"/>
        <w:numPr>
          <w:ilvl w:val="0"/>
          <w:numId w:val="0"/>
        </w:numPr>
        <w:rPr>
          <w:sz w:val="28"/>
          <w:szCs w:val="28"/>
          <w:lang w:val="sr-Latn-RS"/>
        </w:rPr>
      </w:pPr>
    </w:p>
    <w:p w14:paraId="62526E71" w14:textId="77777777" w:rsidR="00B37F05" w:rsidRPr="00D06E2E" w:rsidRDefault="00B37F05" w:rsidP="00B37F05">
      <w:pPr>
        <w:pStyle w:val="Numeracija2"/>
        <w:numPr>
          <w:ilvl w:val="0"/>
          <w:numId w:val="0"/>
        </w:numPr>
        <w:rPr>
          <w:sz w:val="28"/>
          <w:szCs w:val="28"/>
          <w:lang w:val="sr-Latn-RS"/>
        </w:rPr>
      </w:pPr>
    </w:p>
    <w:p w14:paraId="0F63C257" w14:textId="77777777" w:rsidR="00B37F05" w:rsidRPr="00D06E2E" w:rsidRDefault="00B37F05" w:rsidP="00B37F05">
      <w:pPr>
        <w:pStyle w:val="Numeracija2"/>
        <w:numPr>
          <w:ilvl w:val="0"/>
          <w:numId w:val="0"/>
        </w:numPr>
        <w:rPr>
          <w:sz w:val="28"/>
          <w:szCs w:val="28"/>
          <w:lang w:val="sr-Latn-RS"/>
        </w:rPr>
      </w:pPr>
    </w:p>
    <w:p w14:paraId="01233C8E" w14:textId="77777777" w:rsidR="00B37F05" w:rsidRPr="00D06E2E" w:rsidRDefault="00B37F05" w:rsidP="00B37F05">
      <w:pPr>
        <w:pStyle w:val="Numeracija2"/>
        <w:numPr>
          <w:ilvl w:val="0"/>
          <w:numId w:val="0"/>
        </w:numPr>
        <w:rPr>
          <w:sz w:val="28"/>
          <w:szCs w:val="28"/>
          <w:lang w:val="sr-Latn-RS"/>
        </w:rPr>
      </w:pPr>
    </w:p>
    <w:p w14:paraId="3FD6C8DC" w14:textId="77777777" w:rsidR="00B37F05" w:rsidRPr="00D06E2E" w:rsidRDefault="00B37F05" w:rsidP="00B37F05">
      <w:pPr>
        <w:pStyle w:val="Numeracija2"/>
        <w:numPr>
          <w:ilvl w:val="0"/>
          <w:numId w:val="0"/>
        </w:numPr>
        <w:rPr>
          <w:sz w:val="28"/>
          <w:szCs w:val="28"/>
          <w:lang w:val="sr-Latn-RS"/>
        </w:rPr>
      </w:pPr>
    </w:p>
    <w:p w14:paraId="2DE47F62" w14:textId="77777777" w:rsidR="00B37F05" w:rsidRPr="00D06E2E" w:rsidRDefault="00B37F05" w:rsidP="00B37F05">
      <w:pPr>
        <w:pStyle w:val="Numeracija2"/>
        <w:numPr>
          <w:ilvl w:val="0"/>
          <w:numId w:val="0"/>
        </w:numPr>
        <w:rPr>
          <w:sz w:val="28"/>
          <w:szCs w:val="28"/>
          <w:lang w:val="sr-Latn-RS"/>
        </w:rPr>
      </w:pPr>
    </w:p>
    <w:p w14:paraId="31F7A147" w14:textId="77777777" w:rsidR="00B37F05" w:rsidRPr="00D06E2E" w:rsidRDefault="00B37F05" w:rsidP="00B37F05">
      <w:pPr>
        <w:pStyle w:val="Numeracija2"/>
        <w:numPr>
          <w:ilvl w:val="0"/>
          <w:numId w:val="0"/>
        </w:numPr>
        <w:rPr>
          <w:sz w:val="28"/>
          <w:szCs w:val="28"/>
          <w:lang w:val="sr-Latn-RS"/>
        </w:rPr>
      </w:pPr>
    </w:p>
    <w:p w14:paraId="03F2EFFF" w14:textId="77777777" w:rsidR="00B37F05" w:rsidRPr="00D06E2E" w:rsidRDefault="00B37F05" w:rsidP="00B37F05">
      <w:pPr>
        <w:pStyle w:val="Numeracija2"/>
        <w:numPr>
          <w:ilvl w:val="0"/>
          <w:numId w:val="0"/>
        </w:numPr>
        <w:rPr>
          <w:sz w:val="28"/>
          <w:szCs w:val="28"/>
          <w:lang w:val="sr-Latn-RS"/>
        </w:rPr>
      </w:pPr>
    </w:p>
    <w:p w14:paraId="19EDBCE4" w14:textId="1F9D2C6F" w:rsidR="00B37F05" w:rsidRPr="00D06E2E" w:rsidRDefault="00B37F05" w:rsidP="00B37F05">
      <w:pPr>
        <w:pStyle w:val="Numeracija2"/>
        <w:numPr>
          <w:ilvl w:val="0"/>
          <w:numId w:val="0"/>
        </w:numPr>
        <w:rPr>
          <w:sz w:val="28"/>
          <w:szCs w:val="28"/>
          <w:lang w:val="sr-Latn-RS"/>
        </w:rPr>
      </w:pPr>
    </w:p>
    <w:p w14:paraId="6BBE61FB" w14:textId="31F4146A" w:rsidR="00EB67F5" w:rsidRPr="00D06E2E" w:rsidRDefault="00EB67F5" w:rsidP="00B37F05">
      <w:pPr>
        <w:pStyle w:val="Numeracija2"/>
        <w:numPr>
          <w:ilvl w:val="0"/>
          <w:numId w:val="0"/>
        </w:numPr>
        <w:rPr>
          <w:sz w:val="28"/>
          <w:szCs w:val="28"/>
          <w:lang w:val="sr-Latn-RS"/>
        </w:rPr>
      </w:pPr>
    </w:p>
    <w:p w14:paraId="7BBFE4EB" w14:textId="75FB94E9" w:rsidR="00EB67F5" w:rsidRPr="00D06E2E" w:rsidRDefault="00EB67F5" w:rsidP="00B37F05">
      <w:pPr>
        <w:pStyle w:val="Numeracija2"/>
        <w:numPr>
          <w:ilvl w:val="0"/>
          <w:numId w:val="0"/>
        </w:numPr>
        <w:rPr>
          <w:sz w:val="28"/>
          <w:szCs w:val="28"/>
          <w:lang w:val="sr-Latn-RS"/>
        </w:rPr>
      </w:pPr>
    </w:p>
    <w:p w14:paraId="4F8C973E" w14:textId="77777777" w:rsidR="00EB67F5" w:rsidRPr="00D06E2E" w:rsidRDefault="00EB67F5" w:rsidP="00B37F05">
      <w:pPr>
        <w:pStyle w:val="Numeracija2"/>
        <w:numPr>
          <w:ilvl w:val="0"/>
          <w:numId w:val="0"/>
        </w:numPr>
        <w:rPr>
          <w:sz w:val="28"/>
          <w:szCs w:val="28"/>
          <w:lang w:val="sr-Latn-RS"/>
        </w:rPr>
      </w:pPr>
    </w:p>
    <w:p w14:paraId="50743398" w14:textId="77777777" w:rsidR="00B37F05" w:rsidRPr="00D06E2E" w:rsidRDefault="00B37F05" w:rsidP="00B37F05">
      <w:pPr>
        <w:pStyle w:val="Heading2"/>
        <w:spacing w:after="0"/>
        <w:rPr>
          <w:lang w:val="sr-Latn-RS"/>
        </w:rPr>
      </w:pPr>
      <w:r w:rsidRPr="00D06E2E">
        <w:rPr>
          <w:lang w:val="sr-Latn-RS"/>
        </w:rPr>
        <w:lastRenderedPageBreak/>
        <w:t>RIGHTS OF PERSONS DEPRIVED OF LIBERTY</w:t>
      </w:r>
    </w:p>
    <w:p w14:paraId="14EC33F9" w14:textId="77777777" w:rsidR="00B37F05" w:rsidRPr="00D06E2E" w:rsidRDefault="00B37F05" w:rsidP="00B37F05">
      <w:pPr>
        <w:pStyle w:val="Caption"/>
        <w:spacing w:before="0" w:after="0"/>
        <w:jc w:val="center"/>
        <w:rPr>
          <w:b w:val="0"/>
          <w:sz w:val="24"/>
          <w:szCs w:val="24"/>
          <w:lang w:val="sr-Latn-RS"/>
        </w:rPr>
      </w:pPr>
    </w:p>
    <w:p w14:paraId="4492A48F" w14:textId="77777777" w:rsidR="00B37F05" w:rsidRPr="00D06E2E" w:rsidRDefault="00B37F05" w:rsidP="00B37F05">
      <w:pPr>
        <w:pStyle w:val="Caption"/>
        <w:spacing w:before="0"/>
        <w:jc w:val="center"/>
        <w:rPr>
          <w:b w:val="0"/>
          <w:sz w:val="24"/>
          <w:szCs w:val="24"/>
          <w:lang w:val="sr-Latn-RS"/>
        </w:rPr>
      </w:pPr>
      <w:r w:rsidRPr="00D06E2E">
        <w:rPr>
          <w:b w:val="0"/>
          <w:sz w:val="24"/>
          <w:szCs w:val="24"/>
          <w:lang w:val="sr-Latn-RS"/>
        </w:rPr>
        <w:t>STATISTICS</w:t>
      </w:r>
    </w:p>
    <w:p w14:paraId="48BFD844" w14:textId="77777777" w:rsidR="00B37F05" w:rsidRPr="00D06E2E" w:rsidRDefault="00B37F05" w:rsidP="00B37F05">
      <w:pPr>
        <w:rPr>
          <w:lang w:val="sr-Latn-RS"/>
        </w:rPr>
      </w:pPr>
      <w:r w:rsidRPr="00D06E2E">
        <w:rPr>
          <w:lang w:val="sr-Latn-RS"/>
        </w:rPr>
        <w:t>In the area of rights of persons deprived of liberty, the Protector of Citizens in 2023 handled 242 cases, among which there were 237 citizen complaints and 5 cases initiated upon own initiative. In 2023 the Protector of citizens completed work on 238 cases. In 2023, work was completed on 38 cases from earlier years.</w:t>
      </w:r>
    </w:p>
    <w:p w14:paraId="02D88C23" w14:textId="77777777" w:rsidR="00B37F05" w:rsidRPr="00D06E2E" w:rsidRDefault="00B37F05" w:rsidP="00B37F05">
      <w:pPr>
        <w:spacing w:after="0"/>
        <w:rPr>
          <w:lang w:val="sr-Latn-RS"/>
        </w:rPr>
      </w:pPr>
      <w:r w:rsidRPr="00D06E2E">
        <w:rPr>
          <w:lang w:val="sr-Latn-RS"/>
        </w:rPr>
        <w:t>Cases from this area make up 5.47% of the total considered cases in 2023, namely: 156 complaints about the treatment of persons who were serving a prison sentence, 62 complaints about the treatment of persons who were serving a custody measure, 13 complaints on treatment of detained persons and persons against whom police powers have been applied, seven complaints on treatment of migrants, three complaints on treatment of persons undergoing treatment in psychiatric institutions and one complaint on treatment of persons undergoing treatment in the social welfare institution.</w:t>
      </w:r>
    </w:p>
    <w:p w14:paraId="4884CF9D" w14:textId="77777777" w:rsidR="00B37F05" w:rsidRPr="00D06E2E" w:rsidRDefault="00B37F05" w:rsidP="00B37F05">
      <w:pPr>
        <w:spacing w:after="0"/>
        <w:rPr>
          <w:lang w:val="sr-Latn-RS"/>
        </w:rPr>
      </w:pPr>
      <w:r w:rsidRPr="00D06E2E">
        <w:rPr>
          <w:lang w:val="sr-Latn-RS"/>
        </w:rPr>
        <w:t>The Protector of Citizens sent 37 recommendations to the administrative bodies, of which 34 were executed in the reporting period. Of these, the administrative authorities acted on 33 recommendations, or 97.06%. The cases considered in the reporting period, the outcome of action on completed cases and the outcome of action on recommendations are shown in the graph and tables below.</w:t>
      </w:r>
    </w:p>
    <w:p w14:paraId="2A1D9D05" w14:textId="77777777" w:rsidR="00B37F05" w:rsidRPr="00D06E2E" w:rsidRDefault="00B37F05" w:rsidP="00B37F05">
      <w:pPr>
        <w:spacing w:after="0"/>
        <w:rPr>
          <w:lang w:val="sr-Latn-RS"/>
        </w:rPr>
      </w:pPr>
    </w:p>
    <w:p w14:paraId="4D1D9146" w14:textId="77777777" w:rsidR="00B37F05" w:rsidRPr="00D06E2E" w:rsidRDefault="00B37F05" w:rsidP="00B37F05">
      <w:pPr>
        <w:pStyle w:val="Caption"/>
        <w:keepNext/>
        <w:spacing w:before="0"/>
        <w:jc w:val="center"/>
        <w:rPr>
          <w:lang w:val="sr-Latn-RS"/>
        </w:rPr>
      </w:pPr>
      <w:r w:rsidRPr="00D06E2E">
        <w:rPr>
          <w:lang w:val="sr-Latn-RS"/>
        </w:rPr>
        <w:t>Chart 7 – Overview of received cases</w:t>
      </w:r>
    </w:p>
    <w:p w14:paraId="025AF6B6" w14:textId="77777777" w:rsidR="00B37F05" w:rsidRPr="00D06E2E" w:rsidRDefault="00B37F05" w:rsidP="00B37F05">
      <w:pPr>
        <w:pStyle w:val="Caption"/>
        <w:keepNext/>
        <w:spacing w:before="0" w:after="0"/>
        <w:jc w:val="center"/>
        <w:rPr>
          <w:lang w:val="sr-Latn-RS"/>
        </w:rPr>
      </w:pPr>
      <w:r w:rsidRPr="00D06E2E">
        <w:rPr>
          <w:noProof/>
          <w:lang w:val="sr-Latn-RS"/>
        </w:rPr>
        <mc:AlternateContent>
          <mc:Choice Requires="wps">
            <w:drawing>
              <wp:anchor distT="0" distB="0" distL="114300" distR="114300" simplePos="0" relativeHeight="251664384" behindDoc="0" locked="0" layoutInCell="1" allowOverlap="1" wp14:anchorId="63157589" wp14:editId="494AE72E">
                <wp:simplePos x="0" y="0"/>
                <wp:positionH relativeFrom="column">
                  <wp:posOffset>3726611</wp:posOffset>
                </wp:positionH>
                <wp:positionV relativeFrom="paragraph">
                  <wp:posOffset>2245971</wp:posOffset>
                </wp:positionV>
                <wp:extent cx="1371600" cy="57797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71600" cy="577970"/>
                        </a:xfrm>
                        <a:prstGeom prst="rect">
                          <a:avLst/>
                        </a:prstGeom>
                        <a:solidFill>
                          <a:schemeClr val="lt1"/>
                        </a:solidFill>
                        <a:ln w="6350">
                          <a:noFill/>
                        </a:ln>
                      </wps:spPr>
                      <wps:txbx>
                        <w:txbxContent>
                          <w:p w14:paraId="70E02A14" w14:textId="77777777" w:rsidR="00B37F05" w:rsidRPr="00B94EF9" w:rsidRDefault="00B37F05" w:rsidP="00B37F05">
                            <w:pPr>
                              <w:jc w:val="left"/>
                              <w:rPr>
                                <w:sz w:val="18"/>
                                <w:szCs w:val="18"/>
                              </w:rPr>
                            </w:pPr>
                            <w:r w:rsidRPr="00B94EF9">
                              <w:rPr>
                                <w:sz w:val="18"/>
                                <w:szCs w:val="18"/>
                              </w:rPr>
                              <w:t>Social welfare</w:t>
                            </w:r>
                            <w:r>
                              <w:rPr>
                                <w:sz w:val="18"/>
                                <w:szCs w:val="18"/>
                              </w:rPr>
                              <w:t xml:space="preserve"> institutions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57589" id="_x0000_t202" coordsize="21600,21600" o:spt="202" path="m,l,21600r21600,l21600,xe">
                <v:stroke joinstyle="miter"/>
                <v:path gradientshapeok="t" o:connecttype="rect"/>
              </v:shapetype>
              <v:shape id="Text Box 15" o:spid="_x0000_s1026" type="#_x0000_t202" style="position:absolute;left:0;text-align:left;margin-left:293.45pt;margin-top:176.85pt;width:108pt;height: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" fillcolor="white [3201]" stroked="f" strokeweight=".5pt">
                <v:textbox>
                  <w:txbxContent>
                    <w:p w14:paraId="70E02A14" w14:textId="77777777" w:rsidR="00B37F05" w:rsidRPr="00B94EF9" w:rsidRDefault="00B37F05" w:rsidP="00B37F05">
                      <w:pPr>
                        <w:jc w:val="left"/>
                        <w:rPr>
                          <w:sz w:val="18"/>
                          <w:szCs w:val="18"/>
                        </w:rPr>
                      </w:pPr>
                      <w:r w:rsidRPr="00B94EF9">
                        <w:rPr>
                          <w:sz w:val="18"/>
                          <w:szCs w:val="18"/>
                        </w:rPr>
                        <w:t>Social welfare</w:t>
                      </w:r>
                      <w:r>
                        <w:rPr>
                          <w:sz w:val="18"/>
                          <w:szCs w:val="18"/>
                        </w:rPr>
                        <w:t xml:space="preserve"> institutions</w:t>
                      </w:r>
                    </w:p>
                  </w:txbxContent>
                </v:textbox>
              </v:shape>
            </w:pict>
          </mc:Fallback>
        </mc:AlternateContent>
      </w:r>
      <w:r w:rsidRPr="00D06E2E">
        <w:rPr>
          <w:noProof/>
          <w:lang w:val="sr-Latn-RS"/>
        </w:rPr>
        <mc:AlternateContent>
          <mc:Choice Requires="wps">
            <w:drawing>
              <wp:anchor distT="0" distB="0" distL="114300" distR="114300" simplePos="0" relativeHeight="251663360" behindDoc="0" locked="0" layoutInCell="1" allowOverlap="1" wp14:anchorId="5993A474" wp14:editId="1018E0B1">
                <wp:simplePos x="0" y="0"/>
                <wp:positionH relativeFrom="column">
                  <wp:posOffset>3734064</wp:posOffset>
                </wp:positionH>
                <wp:positionV relativeFrom="paragraph">
                  <wp:posOffset>1868170</wp:posOffset>
                </wp:positionV>
                <wp:extent cx="1371600" cy="224287"/>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1371600" cy="224287"/>
                        </a:xfrm>
                        <a:prstGeom prst="rect">
                          <a:avLst/>
                        </a:prstGeom>
                        <a:solidFill>
                          <a:schemeClr val="lt1"/>
                        </a:solidFill>
                        <a:ln w="6350">
                          <a:noFill/>
                        </a:ln>
                      </wps:spPr>
                      <wps:txbx>
                        <w:txbxContent>
                          <w:p w14:paraId="404ABE47" w14:textId="77777777" w:rsidR="00B37F05" w:rsidRPr="00B94EF9" w:rsidRDefault="00B37F05" w:rsidP="00B37F05">
                            <w:pPr>
                              <w:rPr>
                                <w:sz w:val="18"/>
                                <w:szCs w:val="18"/>
                              </w:rPr>
                            </w:pPr>
                            <w:r>
                              <w:rPr>
                                <w:sz w:val="18"/>
                                <w:szCs w:val="18"/>
                              </w:rPr>
                              <w:t>P</w:t>
                            </w:r>
                            <w:r w:rsidRPr="00B94EF9">
                              <w:rPr>
                                <w:sz w:val="18"/>
                                <w:szCs w:val="18"/>
                                <w:lang w:val="sr-Cyrl-CS"/>
                              </w:rPr>
                              <w:t>sychiatric institutions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3A474" id="Text Box 14" o:spid="_x0000_s1027" type="#_x0000_t202" style="position:absolute;left:0;text-align:left;margin-left:294pt;margin-top:147.1pt;width:108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" fillcolor="white [3201]" stroked="f" strokeweight=".5pt">
                <v:textbox>
                  <w:txbxContent>
                    <w:p w14:paraId="404ABE47" w14:textId="77777777" w:rsidR="00B37F05" w:rsidRPr="00B94EF9" w:rsidRDefault="00B37F05" w:rsidP="00B37F05">
                      <w:pPr>
                        <w:rPr>
                          <w:sz w:val="18"/>
                          <w:szCs w:val="18"/>
                        </w:rPr>
                      </w:pPr>
                      <w:r>
                        <w:rPr>
                          <w:sz w:val="18"/>
                          <w:szCs w:val="18"/>
                        </w:rPr>
                        <w:t>P</w:t>
                      </w:r>
                      <w:r w:rsidRPr="00B94EF9">
                        <w:rPr>
                          <w:sz w:val="18"/>
                          <w:szCs w:val="18"/>
                          <w:lang w:val="sr-Cyrl-CS"/>
                        </w:rPr>
                        <w:t>sychiatric institutions</w:t>
                      </w:r>
                    </w:p>
                  </w:txbxContent>
                </v:textbox>
              </v:shape>
            </w:pict>
          </mc:Fallback>
        </mc:AlternateContent>
      </w:r>
      <w:r w:rsidRPr="00D06E2E">
        <w:rPr>
          <w:noProof/>
          <w:lang w:val="sr-Latn-RS"/>
        </w:rPr>
        <mc:AlternateContent>
          <mc:Choice Requires="wps">
            <w:drawing>
              <wp:anchor distT="0" distB="0" distL="114300" distR="114300" simplePos="0" relativeHeight="251662336" behindDoc="0" locked="0" layoutInCell="1" allowOverlap="1" wp14:anchorId="2570A505" wp14:editId="6D776590">
                <wp:simplePos x="0" y="0"/>
                <wp:positionH relativeFrom="column">
                  <wp:posOffset>3755126</wp:posOffset>
                </wp:positionH>
                <wp:positionV relativeFrom="paragraph">
                  <wp:posOffset>1508760</wp:posOffset>
                </wp:positionV>
                <wp:extent cx="1371600" cy="224287"/>
                <wp:effectExtent l="0" t="0" r="0" b="4445"/>
                <wp:wrapNone/>
                <wp:docPr id="13" name="Text Box 13"/>
                <wp:cNvGraphicFramePr/>
                <a:graphic xmlns:a="http://schemas.openxmlformats.org/drawingml/2006/main">
                  <a:graphicData uri="http://schemas.microsoft.com/office/word/2010/wordprocessingShape">
                    <wps:wsp>
                      <wps:cNvSpPr txBox="1"/>
                      <wps:spPr>
                        <a:xfrm>
                          <a:off x="0" y="0"/>
                          <a:ext cx="1371600" cy="224287"/>
                        </a:xfrm>
                        <a:prstGeom prst="rect">
                          <a:avLst/>
                        </a:prstGeom>
                        <a:solidFill>
                          <a:schemeClr val="lt1"/>
                        </a:solidFill>
                        <a:ln w="6350">
                          <a:noFill/>
                        </a:ln>
                      </wps:spPr>
                      <wps:txbx>
                        <w:txbxContent>
                          <w:p w14:paraId="56E6756A" w14:textId="77777777" w:rsidR="00B37F05" w:rsidRPr="00EE7B72" w:rsidRDefault="00B37F05" w:rsidP="00B37F05">
                            <w:pPr>
                              <w:rPr>
                                <w:sz w:val="18"/>
                                <w:szCs w:val="18"/>
                              </w:rPr>
                            </w:pPr>
                            <w:r>
                              <w:rPr>
                                <w:sz w:val="18"/>
                                <w:szCs w:val="18"/>
                              </w:rPr>
                              <w:t>Migrants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0A505" id="Text Box 13" o:spid="_x0000_s1028" type="#_x0000_t202" style="position:absolute;left:0;text-align:left;margin-left:295.7pt;margin-top:118.8pt;width:108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" fillcolor="white [3201]" stroked="f" strokeweight=".5pt">
                <v:textbox>
                  <w:txbxContent>
                    <w:p w14:paraId="56E6756A" w14:textId="77777777" w:rsidR="00B37F05" w:rsidRPr="00EE7B72" w:rsidRDefault="00B37F05" w:rsidP="00B37F05">
                      <w:pPr>
                        <w:rPr>
                          <w:sz w:val="18"/>
                          <w:szCs w:val="18"/>
                        </w:rPr>
                      </w:pPr>
                      <w:r>
                        <w:rPr>
                          <w:sz w:val="18"/>
                          <w:szCs w:val="18"/>
                        </w:rPr>
                        <w:t>Migrants</w:t>
                      </w:r>
                    </w:p>
                  </w:txbxContent>
                </v:textbox>
              </v:shape>
            </w:pict>
          </mc:Fallback>
        </mc:AlternateContent>
      </w:r>
      <w:r w:rsidRPr="00D06E2E">
        <w:rPr>
          <w:noProof/>
          <w:lang w:val="sr-Latn-RS"/>
        </w:rPr>
        <mc:AlternateContent>
          <mc:Choice Requires="wps">
            <w:drawing>
              <wp:anchor distT="0" distB="0" distL="114300" distR="114300" simplePos="0" relativeHeight="251661312" behindDoc="0" locked="0" layoutInCell="1" allowOverlap="1" wp14:anchorId="188040B9" wp14:editId="0B3FB2FB">
                <wp:simplePos x="0" y="0"/>
                <wp:positionH relativeFrom="column">
                  <wp:posOffset>3751580</wp:posOffset>
                </wp:positionH>
                <wp:positionV relativeFrom="paragraph">
                  <wp:posOffset>1158504</wp:posOffset>
                </wp:positionV>
                <wp:extent cx="1371600" cy="224287"/>
                <wp:effectExtent l="0" t="0" r="0" b="4445"/>
                <wp:wrapNone/>
                <wp:docPr id="12" name="Text Box 12"/>
                <wp:cNvGraphicFramePr/>
                <a:graphic xmlns:a="http://schemas.openxmlformats.org/drawingml/2006/main">
                  <a:graphicData uri="http://schemas.microsoft.com/office/word/2010/wordprocessingShape">
                    <wps:wsp>
                      <wps:cNvSpPr txBox="1"/>
                      <wps:spPr>
                        <a:xfrm>
                          <a:off x="0" y="0"/>
                          <a:ext cx="1371600" cy="224287"/>
                        </a:xfrm>
                        <a:prstGeom prst="rect">
                          <a:avLst/>
                        </a:prstGeom>
                        <a:solidFill>
                          <a:schemeClr val="lt1"/>
                        </a:solidFill>
                        <a:ln w="6350">
                          <a:noFill/>
                        </a:ln>
                      </wps:spPr>
                      <wps:txbx>
                        <w:txbxContent>
                          <w:p w14:paraId="656E925A" w14:textId="77777777" w:rsidR="00B37F05" w:rsidRPr="00EE7B72" w:rsidRDefault="00B37F05" w:rsidP="00B37F05">
                            <w:pPr>
                              <w:rPr>
                                <w:sz w:val="18"/>
                                <w:szCs w:val="18"/>
                              </w:rPr>
                            </w:pPr>
                            <w:r>
                              <w:rPr>
                                <w:sz w:val="18"/>
                                <w:szCs w:val="18"/>
                              </w:rPr>
                              <w:t>Police powers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040B9" id="Text Box 12" o:spid="_x0000_s1029" type="#_x0000_t202" style="position:absolute;left:0;text-align:left;margin-left:295.4pt;margin-top:91.2pt;width:108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" fillcolor="white [3201]" stroked="f" strokeweight=".5pt">
                <v:textbox>
                  <w:txbxContent>
                    <w:p w14:paraId="656E925A" w14:textId="77777777" w:rsidR="00B37F05" w:rsidRPr="00EE7B72" w:rsidRDefault="00B37F05" w:rsidP="00B37F05">
                      <w:pPr>
                        <w:rPr>
                          <w:sz w:val="18"/>
                          <w:szCs w:val="18"/>
                        </w:rPr>
                      </w:pPr>
                      <w:r>
                        <w:rPr>
                          <w:sz w:val="18"/>
                          <w:szCs w:val="18"/>
                        </w:rPr>
                        <w:t>Police powers</w:t>
                      </w:r>
                    </w:p>
                  </w:txbxContent>
                </v:textbox>
              </v:shape>
            </w:pict>
          </mc:Fallback>
        </mc:AlternateContent>
      </w:r>
      <w:r w:rsidRPr="00D06E2E">
        <w:rPr>
          <w:noProof/>
          <w:lang w:val="sr-Latn-RS"/>
        </w:rPr>
        <mc:AlternateContent>
          <mc:Choice Requires="wps">
            <w:drawing>
              <wp:anchor distT="0" distB="0" distL="114300" distR="114300" simplePos="0" relativeHeight="251660288" behindDoc="0" locked="0" layoutInCell="1" allowOverlap="1" wp14:anchorId="25C1FC62" wp14:editId="1DFC1418">
                <wp:simplePos x="0" y="0"/>
                <wp:positionH relativeFrom="column">
                  <wp:posOffset>3748932</wp:posOffset>
                </wp:positionH>
                <wp:positionV relativeFrom="paragraph">
                  <wp:posOffset>800998</wp:posOffset>
                </wp:positionV>
                <wp:extent cx="681487" cy="224287"/>
                <wp:effectExtent l="0" t="0" r="4445" b="4445"/>
                <wp:wrapNone/>
                <wp:docPr id="1" name="Text Box 1"/>
                <wp:cNvGraphicFramePr/>
                <a:graphic xmlns:a="http://schemas.openxmlformats.org/drawingml/2006/main">
                  <a:graphicData uri="http://schemas.microsoft.com/office/word/2010/wordprocessingShape">
                    <wps:wsp>
                      <wps:cNvSpPr txBox="1"/>
                      <wps:spPr>
                        <a:xfrm>
                          <a:off x="0" y="0"/>
                          <a:ext cx="681487" cy="224287"/>
                        </a:xfrm>
                        <a:prstGeom prst="rect">
                          <a:avLst/>
                        </a:prstGeom>
                        <a:solidFill>
                          <a:schemeClr val="lt1"/>
                        </a:solidFill>
                        <a:ln w="6350">
                          <a:noFill/>
                        </a:ln>
                      </wps:spPr>
                      <wps:txbx>
                        <w:txbxContent>
                          <w:p w14:paraId="131C3666" w14:textId="77777777" w:rsidR="00B37F05" w:rsidRPr="00EE7B72" w:rsidRDefault="00B37F05" w:rsidP="00B37F05">
                            <w:pPr>
                              <w:rPr>
                                <w:sz w:val="18"/>
                                <w:szCs w:val="18"/>
                              </w:rPr>
                            </w:pPr>
                            <w:r>
                              <w:rPr>
                                <w:sz w:val="18"/>
                                <w:szCs w:val="18"/>
                              </w:rPr>
                              <w:t>Custody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1FC62" id="Text Box 1" o:spid="_x0000_s1030" type="#_x0000_t202" style="position:absolute;left:0;text-align:left;margin-left:295.2pt;margin-top:63.05pt;width:53.6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" fillcolor="white [3201]" stroked="f" strokeweight=".5pt">
                <v:textbox>
                  <w:txbxContent>
                    <w:p w14:paraId="131C3666" w14:textId="77777777" w:rsidR="00B37F05" w:rsidRPr="00EE7B72" w:rsidRDefault="00B37F05" w:rsidP="00B37F05">
                      <w:pPr>
                        <w:rPr>
                          <w:sz w:val="18"/>
                          <w:szCs w:val="18"/>
                        </w:rPr>
                      </w:pPr>
                      <w:r>
                        <w:rPr>
                          <w:sz w:val="18"/>
                          <w:szCs w:val="18"/>
                        </w:rPr>
                        <w:t>Custody</w:t>
                      </w:r>
                    </w:p>
                  </w:txbxContent>
                </v:textbox>
              </v:shape>
            </w:pict>
          </mc:Fallback>
        </mc:AlternateContent>
      </w:r>
      <w:r w:rsidRPr="00D06E2E">
        <w:rPr>
          <w:noProof/>
          <w:lang w:val="sr-Latn-RS"/>
        </w:rPr>
        <mc:AlternateContent>
          <mc:Choice Requires="wps">
            <w:drawing>
              <wp:anchor distT="0" distB="0" distL="114300" distR="114300" simplePos="0" relativeHeight="251659264" behindDoc="0" locked="0" layoutInCell="1" allowOverlap="1" wp14:anchorId="6A9BA40C" wp14:editId="6FF15D90">
                <wp:simplePos x="0" y="0"/>
                <wp:positionH relativeFrom="column">
                  <wp:posOffset>3743325</wp:posOffset>
                </wp:positionH>
                <wp:positionV relativeFrom="paragraph">
                  <wp:posOffset>450479</wp:posOffset>
                </wp:positionV>
                <wp:extent cx="681487" cy="224287"/>
                <wp:effectExtent l="0" t="0" r="4445" b="4445"/>
                <wp:wrapNone/>
                <wp:docPr id="2" name="Text Box 2"/>
                <wp:cNvGraphicFramePr/>
                <a:graphic xmlns:a="http://schemas.openxmlformats.org/drawingml/2006/main">
                  <a:graphicData uri="http://schemas.microsoft.com/office/word/2010/wordprocessingShape">
                    <wps:wsp>
                      <wps:cNvSpPr txBox="1"/>
                      <wps:spPr>
                        <a:xfrm>
                          <a:off x="0" y="0"/>
                          <a:ext cx="681487" cy="224287"/>
                        </a:xfrm>
                        <a:prstGeom prst="rect">
                          <a:avLst/>
                        </a:prstGeom>
                        <a:solidFill>
                          <a:schemeClr val="lt1"/>
                        </a:solidFill>
                        <a:ln w="6350">
                          <a:noFill/>
                        </a:ln>
                      </wps:spPr>
                      <wps:txbx>
                        <w:txbxContent>
                          <w:p w14:paraId="3A030D3A" w14:textId="77777777" w:rsidR="00B37F05" w:rsidRPr="00EE7B72" w:rsidRDefault="00B37F05" w:rsidP="00B37F05">
                            <w:pPr>
                              <w:rPr>
                                <w:sz w:val="18"/>
                                <w:szCs w:val="18"/>
                              </w:rPr>
                            </w:pPr>
                            <w:r w:rsidRPr="00EE7B72">
                              <w:rPr>
                                <w:sz w:val="18"/>
                                <w:szCs w:val="18"/>
                              </w:rPr>
                              <w:t>Prison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BA40C" id="Text Box 2" o:spid="_x0000_s1031" type="#_x0000_t202" style="position:absolute;left:0;text-align:left;margin-left:294.75pt;margin-top:35.45pt;width:53.6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" fillcolor="white [3201]" stroked="f" strokeweight=".5pt">
                <v:textbox>
                  <w:txbxContent>
                    <w:p w14:paraId="3A030D3A" w14:textId="77777777" w:rsidR="00B37F05" w:rsidRPr="00EE7B72" w:rsidRDefault="00B37F05" w:rsidP="00B37F05">
                      <w:pPr>
                        <w:rPr>
                          <w:sz w:val="18"/>
                          <w:szCs w:val="18"/>
                        </w:rPr>
                      </w:pPr>
                      <w:r w:rsidRPr="00EE7B72">
                        <w:rPr>
                          <w:sz w:val="18"/>
                          <w:szCs w:val="18"/>
                        </w:rPr>
                        <w:t>Prison</w:t>
                      </w:r>
                    </w:p>
                  </w:txbxContent>
                </v:textbox>
              </v:shape>
            </w:pict>
          </mc:Fallback>
        </mc:AlternateContent>
      </w:r>
      <w:r w:rsidRPr="00D06E2E">
        <w:rPr>
          <w:noProof/>
          <w:lang w:val="sr-Latn-RS"/>
        </w:rPr>
        <w:drawing>
          <wp:inline distT="0" distB="0" distL="0" distR="0" wp14:anchorId="199F4B29" wp14:editId="0F132277">
            <wp:extent cx="4676775" cy="30194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B75425" w14:textId="77777777" w:rsidR="00B37F05" w:rsidRPr="00D06E2E" w:rsidRDefault="00B37F05" w:rsidP="00B37F05">
      <w:pPr>
        <w:spacing w:after="0"/>
        <w:rPr>
          <w:lang w:val="sr-Latn-RS"/>
        </w:rPr>
      </w:pPr>
    </w:p>
    <w:p w14:paraId="7223F9D7" w14:textId="77777777" w:rsidR="00B37F05" w:rsidRPr="00D06E2E" w:rsidRDefault="00B37F05" w:rsidP="00B37F05">
      <w:pPr>
        <w:spacing w:after="0"/>
        <w:rPr>
          <w:lang w:val="sr-Latn-RS"/>
        </w:rPr>
      </w:pPr>
    </w:p>
    <w:p w14:paraId="69349B53" w14:textId="77777777" w:rsidR="00B37F05" w:rsidRPr="00D06E2E" w:rsidRDefault="00B37F05" w:rsidP="00B37F05">
      <w:pPr>
        <w:spacing w:after="0"/>
        <w:rPr>
          <w:lang w:val="sr-Latn-RS"/>
        </w:rPr>
      </w:pPr>
    </w:p>
    <w:p w14:paraId="2237A07D" w14:textId="77777777" w:rsidR="00B37F05" w:rsidRPr="00D06E2E" w:rsidRDefault="00B37F05" w:rsidP="00B37F05">
      <w:pPr>
        <w:spacing w:after="0"/>
        <w:rPr>
          <w:lang w:val="sr-Latn-RS"/>
        </w:rPr>
      </w:pPr>
    </w:p>
    <w:p w14:paraId="4B148D03" w14:textId="77777777" w:rsidR="00B37F05" w:rsidRPr="00D06E2E" w:rsidRDefault="00B37F05" w:rsidP="00B37F05">
      <w:pPr>
        <w:spacing w:after="0"/>
        <w:rPr>
          <w:lang w:val="sr-Latn-RS"/>
        </w:rPr>
      </w:pPr>
    </w:p>
    <w:p w14:paraId="6E728F5E" w14:textId="77777777" w:rsidR="00B37F05" w:rsidRPr="00D06E2E" w:rsidRDefault="00B37F05" w:rsidP="00B37F05">
      <w:pPr>
        <w:spacing w:after="0"/>
        <w:rPr>
          <w:lang w:val="sr-Latn-RS"/>
        </w:rPr>
      </w:pPr>
    </w:p>
    <w:p w14:paraId="3BF2FCD7" w14:textId="77777777" w:rsidR="00B37F05" w:rsidRPr="00D06E2E" w:rsidRDefault="00B37F05" w:rsidP="00B37F05">
      <w:pPr>
        <w:spacing w:after="0"/>
        <w:rPr>
          <w:lang w:val="sr-Latn-RS"/>
        </w:rPr>
      </w:pPr>
    </w:p>
    <w:p w14:paraId="73DA88F6" w14:textId="77777777" w:rsidR="00B37F05" w:rsidRPr="00D06E2E" w:rsidRDefault="00B37F05" w:rsidP="00B37F05">
      <w:pPr>
        <w:spacing w:after="0"/>
        <w:rPr>
          <w:lang w:val="sr-Latn-RS"/>
        </w:rPr>
      </w:pPr>
    </w:p>
    <w:p w14:paraId="21C542CD" w14:textId="77777777" w:rsidR="00B37F05" w:rsidRPr="00D06E2E" w:rsidRDefault="00B37F05" w:rsidP="00B37F05">
      <w:pPr>
        <w:spacing w:after="0"/>
        <w:rPr>
          <w:lang w:val="sr-Latn-RS"/>
        </w:rPr>
      </w:pPr>
    </w:p>
    <w:p w14:paraId="27A068A6" w14:textId="77777777" w:rsidR="00B37F05" w:rsidRPr="00D06E2E" w:rsidRDefault="00B37F05" w:rsidP="00B37F05">
      <w:pPr>
        <w:pStyle w:val="Caption"/>
        <w:keepNext/>
        <w:spacing w:before="0"/>
        <w:jc w:val="center"/>
        <w:rPr>
          <w:lang w:val="sr-Latn-RS"/>
        </w:rPr>
      </w:pPr>
      <w:r w:rsidRPr="00D06E2E">
        <w:rPr>
          <w:lang w:val="sr-Latn-RS"/>
        </w:rPr>
        <w:lastRenderedPageBreak/>
        <w:t>Table 23 – Overview of considered cases in 2023</w:t>
      </w:r>
    </w:p>
    <w:tbl>
      <w:tblPr>
        <w:tblW w:w="8934"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4A0" w:firstRow="1" w:lastRow="0" w:firstColumn="1" w:lastColumn="0" w:noHBand="0" w:noVBand="1"/>
      </w:tblPr>
      <w:tblGrid>
        <w:gridCol w:w="5125"/>
        <w:gridCol w:w="1912"/>
        <w:gridCol w:w="1897"/>
      </w:tblGrid>
      <w:tr w:rsidR="00B37F05" w:rsidRPr="00D06E2E" w14:paraId="71CA985E" w14:textId="77777777" w:rsidTr="00B37F05">
        <w:trPr>
          <w:trHeight w:hRule="exact" w:val="329"/>
          <w:jc w:val="center"/>
        </w:trPr>
        <w:tc>
          <w:tcPr>
            <w:tcW w:w="5125" w:type="dxa"/>
            <w:vAlign w:val="center"/>
          </w:tcPr>
          <w:p w14:paraId="4FDB684B" w14:textId="77777777" w:rsidR="00B37F05" w:rsidRPr="00D06E2E" w:rsidRDefault="00B37F05" w:rsidP="00B37F05">
            <w:pPr>
              <w:spacing w:after="0"/>
              <w:rPr>
                <w:b/>
                <w:lang w:val="sr-Latn-RS"/>
              </w:rPr>
            </w:pPr>
            <w:r w:rsidRPr="00D06E2E">
              <w:rPr>
                <w:b/>
                <w:lang w:val="sr-Latn-RS"/>
              </w:rPr>
              <w:t>Number of cases in 2023</w:t>
            </w:r>
          </w:p>
        </w:tc>
        <w:tc>
          <w:tcPr>
            <w:tcW w:w="1912" w:type="dxa"/>
            <w:vAlign w:val="center"/>
          </w:tcPr>
          <w:p w14:paraId="2F3CE3BB" w14:textId="77777777" w:rsidR="00B37F05" w:rsidRPr="00D06E2E" w:rsidRDefault="00B37F05" w:rsidP="00B37F05">
            <w:pPr>
              <w:spacing w:after="0"/>
              <w:jc w:val="center"/>
              <w:rPr>
                <w:b/>
                <w:lang w:val="sr-Latn-RS"/>
              </w:rPr>
            </w:pPr>
            <w:r w:rsidRPr="00D06E2E">
              <w:rPr>
                <w:b/>
                <w:lang w:val="sr-Latn-RS"/>
              </w:rPr>
              <w:t>242</w:t>
            </w:r>
          </w:p>
        </w:tc>
        <w:tc>
          <w:tcPr>
            <w:tcW w:w="1897" w:type="dxa"/>
          </w:tcPr>
          <w:p w14:paraId="4DF958A5" w14:textId="77777777" w:rsidR="00B37F05" w:rsidRPr="00D06E2E" w:rsidRDefault="00B37F05" w:rsidP="00B37F05">
            <w:pPr>
              <w:spacing w:after="0"/>
              <w:jc w:val="center"/>
              <w:rPr>
                <w:b/>
                <w:lang w:val="sr-Latn-RS"/>
              </w:rPr>
            </w:pPr>
            <w:r w:rsidRPr="00D06E2E">
              <w:rPr>
                <w:b/>
                <w:lang w:val="sr-Latn-RS"/>
              </w:rPr>
              <w:t>%</w:t>
            </w:r>
          </w:p>
        </w:tc>
      </w:tr>
      <w:tr w:rsidR="00B37F05" w:rsidRPr="00D06E2E" w14:paraId="58080EC0" w14:textId="77777777" w:rsidTr="00B37F05">
        <w:trPr>
          <w:trHeight w:hRule="exact" w:val="329"/>
          <w:jc w:val="center"/>
        </w:trPr>
        <w:tc>
          <w:tcPr>
            <w:tcW w:w="5125" w:type="dxa"/>
            <w:vAlign w:val="center"/>
          </w:tcPr>
          <w:p w14:paraId="0444339B" w14:textId="77777777" w:rsidR="00B37F05" w:rsidRPr="00D06E2E" w:rsidRDefault="00B37F05" w:rsidP="00B37F05">
            <w:pPr>
              <w:spacing w:after="0"/>
              <w:rPr>
                <w:lang w:val="sr-Latn-RS"/>
              </w:rPr>
            </w:pPr>
            <w:r w:rsidRPr="00D06E2E">
              <w:rPr>
                <w:lang w:val="sr-Latn-RS"/>
              </w:rPr>
              <w:t>Number of completed cases in 2023</w:t>
            </w:r>
          </w:p>
        </w:tc>
        <w:tc>
          <w:tcPr>
            <w:tcW w:w="1912" w:type="dxa"/>
            <w:vAlign w:val="center"/>
          </w:tcPr>
          <w:p w14:paraId="477C72B0" w14:textId="77777777" w:rsidR="00B37F05" w:rsidRPr="00D06E2E" w:rsidRDefault="00B37F05" w:rsidP="00B37F05">
            <w:pPr>
              <w:spacing w:after="0"/>
              <w:jc w:val="center"/>
              <w:rPr>
                <w:lang w:val="sr-Latn-RS"/>
              </w:rPr>
            </w:pPr>
            <w:r w:rsidRPr="00D06E2E">
              <w:rPr>
                <w:lang w:val="sr-Latn-RS"/>
              </w:rPr>
              <w:t>238</w:t>
            </w:r>
          </w:p>
        </w:tc>
        <w:tc>
          <w:tcPr>
            <w:tcW w:w="1897" w:type="dxa"/>
          </w:tcPr>
          <w:p w14:paraId="0C489851" w14:textId="77777777" w:rsidR="00B37F05" w:rsidRPr="00D06E2E" w:rsidRDefault="00B37F05" w:rsidP="00B37F05">
            <w:pPr>
              <w:spacing w:after="0"/>
              <w:jc w:val="center"/>
              <w:rPr>
                <w:lang w:val="sr-Latn-RS"/>
              </w:rPr>
            </w:pPr>
            <w:r w:rsidRPr="00D06E2E">
              <w:rPr>
                <w:lang w:val="sr-Latn-RS"/>
              </w:rPr>
              <w:t>98,35%</w:t>
            </w:r>
          </w:p>
        </w:tc>
      </w:tr>
      <w:tr w:rsidR="00B37F05" w:rsidRPr="00D06E2E" w14:paraId="2805BB8D" w14:textId="77777777" w:rsidTr="00B37F05">
        <w:trPr>
          <w:trHeight w:hRule="exact" w:val="329"/>
          <w:jc w:val="center"/>
        </w:trPr>
        <w:tc>
          <w:tcPr>
            <w:tcW w:w="5125" w:type="dxa"/>
            <w:vAlign w:val="center"/>
          </w:tcPr>
          <w:p w14:paraId="482AC5D9" w14:textId="77777777" w:rsidR="00B37F05" w:rsidRPr="00D06E2E" w:rsidRDefault="00B37F05" w:rsidP="00B37F05">
            <w:pPr>
              <w:spacing w:after="0"/>
              <w:rPr>
                <w:lang w:val="sr-Latn-RS"/>
              </w:rPr>
            </w:pPr>
            <w:r w:rsidRPr="00D06E2E">
              <w:rPr>
                <w:lang w:val="sr-Latn-RS"/>
              </w:rPr>
              <w:t>Number of ongoing cases in 2023</w:t>
            </w:r>
          </w:p>
        </w:tc>
        <w:tc>
          <w:tcPr>
            <w:tcW w:w="1912" w:type="dxa"/>
            <w:vAlign w:val="center"/>
          </w:tcPr>
          <w:p w14:paraId="2BF4F777" w14:textId="77777777" w:rsidR="00B37F05" w:rsidRPr="00D06E2E" w:rsidRDefault="00B37F05" w:rsidP="00B37F05">
            <w:pPr>
              <w:spacing w:after="0"/>
              <w:jc w:val="center"/>
              <w:rPr>
                <w:lang w:val="sr-Latn-RS"/>
              </w:rPr>
            </w:pPr>
            <w:r w:rsidRPr="00D06E2E">
              <w:rPr>
                <w:lang w:val="sr-Latn-RS"/>
              </w:rPr>
              <w:t>4</w:t>
            </w:r>
          </w:p>
        </w:tc>
        <w:tc>
          <w:tcPr>
            <w:tcW w:w="1897" w:type="dxa"/>
          </w:tcPr>
          <w:p w14:paraId="6FC65DB4" w14:textId="77777777" w:rsidR="00B37F05" w:rsidRPr="00D06E2E" w:rsidRDefault="00B37F05" w:rsidP="00B37F05">
            <w:pPr>
              <w:spacing w:after="0"/>
              <w:jc w:val="center"/>
              <w:rPr>
                <w:lang w:val="sr-Latn-RS"/>
              </w:rPr>
            </w:pPr>
            <w:r w:rsidRPr="00D06E2E">
              <w:rPr>
                <w:lang w:val="sr-Latn-RS"/>
              </w:rPr>
              <w:t>1,65%</w:t>
            </w:r>
          </w:p>
        </w:tc>
      </w:tr>
    </w:tbl>
    <w:p w14:paraId="7EF8DF1E" w14:textId="77777777" w:rsidR="00B37F05" w:rsidRPr="00D06E2E" w:rsidRDefault="00B37F05" w:rsidP="00B37F05">
      <w:pPr>
        <w:spacing w:after="0"/>
        <w:rPr>
          <w:lang w:val="sr-Latn-RS"/>
        </w:rPr>
      </w:pPr>
    </w:p>
    <w:p w14:paraId="2C948C5E" w14:textId="77777777" w:rsidR="00B37F05" w:rsidRPr="00D06E2E" w:rsidRDefault="00B37F05" w:rsidP="00B37F05">
      <w:pPr>
        <w:pStyle w:val="Caption"/>
        <w:keepNext/>
        <w:spacing w:before="0"/>
        <w:jc w:val="center"/>
        <w:rPr>
          <w:lang w:val="sr-Latn-RS"/>
        </w:rPr>
      </w:pPr>
      <w:r w:rsidRPr="00D06E2E">
        <w:rPr>
          <w:lang w:val="sr-Latn-RS"/>
        </w:rPr>
        <w:t>Table 24 – Outcome of acting upon recommendations in 2023</w:t>
      </w:r>
    </w:p>
    <w:tbl>
      <w:tblPr>
        <w:tblW w:w="8934"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4A0" w:firstRow="1" w:lastRow="0" w:firstColumn="1" w:lastColumn="0" w:noHBand="0" w:noVBand="1"/>
      </w:tblPr>
      <w:tblGrid>
        <w:gridCol w:w="2013"/>
        <w:gridCol w:w="2108"/>
        <w:gridCol w:w="2711"/>
        <w:gridCol w:w="2102"/>
      </w:tblGrid>
      <w:tr w:rsidR="00B37F05" w:rsidRPr="00D06E2E" w14:paraId="2FFD40D2" w14:textId="77777777" w:rsidTr="00B37F05">
        <w:trPr>
          <w:trHeight w:hRule="exact" w:val="944"/>
          <w:jc w:val="center"/>
        </w:trPr>
        <w:tc>
          <w:tcPr>
            <w:tcW w:w="1610" w:type="dxa"/>
            <w:vAlign w:val="center"/>
          </w:tcPr>
          <w:p w14:paraId="59D9BF66" w14:textId="77777777" w:rsidR="00B37F05" w:rsidRPr="00D06E2E" w:rsidRDefault="00B37F05" w:rsidP="00B37F05">
            <w:pPr>
              <w:spacing w:after="0"/>
              <w:jc w:val="center"/>
              <w:rPr>
                <w:b/>
                <w:bCs/>
                <w:lang w:val="sr-Latn-RS"/>
              </w:rPr>
            </w:pPr>
            <w:r w:rsidRPr="00D06E2E">
              <w:rPr>
                <w:b/>
                <w:bCs/>
                <w:lang w:val="sr-Latn-RS"/>
              </w:rPr>
              <w:t>Number of issued recommendations</w:t>
            </w:r>
          </w:p>
        </w:tc>
        <w:tc>
          <w:tcPr>
            <w:tcW w:w="2127" w:type="dxa"/>
          </w:tcPr>
          <w:p w14:paraId="11909050" w14:textId="77777777" w:rsidR="00B37F05" w:rsidRPr="00D06E2E" w:rsidRDefault="00B37F05" w:rsidP="00B37F05">
            <w:pPr>
              <w:spacing w:after="0"/>
              <w:jc w:val="center"/>
              <w:rPr>
                <w:b/>
                <w:bCs/>
                <w:lang w:val="sr-Latn-RS"/>
              </w:rPr>
            </w:pPr>
          </w:p>
          <w:p w14:paraId="71FD01E2" w14:textId="77777777" w:rsidR="00B37F05" w:rsidRPr="00D06E2E" w:rsidRDefault="00B37F05" w:rsidP="00B37F05">
            <w:pPr>
              <w:spacing w:after="0"/>
              <w:jc w:val="center"/>
              <w:rPr>
                <w:b/>
                <w:bCs/>
                <w:lang w:val="sr-Latn-RS"/>
              </w:rPr>
            </w:pPr>
            <w:r w:rsidRPr="00D06E2E">
              <w:rPr>
                <w:b/>
                <w:bCs/>
                <w:lang w:val="sr-Latn-RS"/>
              </w:rPr>
              <w:t>Number of due recommendations</w:t>
            </w:r>
          </w:p>
        </w:tc>
        <w:tc>
          <w:tcPr>
            <w:tcW w:w="2852" w:type="dxa"/>
            <w:vAlign w:val="center"/>
          </w:tcPr>
          <w:p w14:paraId="123E3D7B" w14:textId="77777777" w:rsidR="00B37F05" w:rsidRPr="00D06E2E" w:rsidRDefault="00B37F05" w:rsidP="00B37F05">
            <w:pPr>
              <w:spacing w:after="0"/>
              <w:jc w:val="center"/>
              <w:rPr>
                <w:b/>
                <w:bCs/>
                <w:lang w:val="sr-Latn-RS"/>
              </w:rPr>
            </w:pPr>
            <w:r w:rsidRPr="00D06E2E">
              <w:rPr>
                <w:b/>
                <w:bCs/>
                <w:lang w:val="sr-Latn-RS"/>
              </w:rPr>
              <w:t>Number of acting upon recommendations</w:t>
            </w:r>
          </w:p>
        </w:tc>
        <w:tc>
          <w:tcPr>
            <w:tcW w:w="2345" w:type="dxa"/>
          </w:tcPr>
          <w:p w14:paraId="78C94D41" w14:textId="77777777" w:rsidR="00B37F05" w:rsidRPr="00D06E2E" w:rsidRDefault="00B37F05" w:rsidP="00B37F05">
            <w:pPr>
              <w:spacing w:after="0"/>
              <w:jc w:val="center"/>
              <w:rPr>
                <w:b/>
                <w:bCs/>
                <w:lang w:val="sr-Latn-RS"/>
              </w:rPr>
            </w:pPr>
          </w:p>
          <w:p w14:paraId="5DA5B1F2" w14:textId="77777777" w:rsidR="00B37F05" w:rsidRPr="00D06E2E" w:rsidRDefault="00B37F05" w:rsidP="00B37F05">
            <w:pPr>
              <w:spacing w:after="0"/>
              <w:jc w:val="center"/>
              <w:rPr>
                <w:b/>
                <w:bCs/>
                <w:lang w:val="sr-Latn-RS"/>
              </w:rPr>
            </w:pPr>
            <w:r w:rsidRPr="00D06E2E">
              <w:rPr>
                <w:b/>
                <w:bCs/>
                <w:lang w:val="sr-Latn-RS"/>
              </w:rPr>
              <w:t xml:space="preserve">% </w:t>
            </w:r>
          </w:p>
          <w:p w14:paraId="38A86A28" w14:textId="77777777" w:rsidR="00B37F05" w:rsidRPr="00D06E2E" w:rsidRDefault="00B37F05" w:rsidP="00B37F05">
            <w:pPr>
              <w:spacing w:after="0"/>
              <w:jc w:val="center"/>
              <w:rPr>
                <w:b/>
                <w:bCs/>
                <w:lang w:val="sr-Latn-RS"/>
              </w:rPr>
            </w:pPr>
          </w:p>
        </w:tc>
      </w:tr>
      <w:tr w:rsidR="00B37F05" w:rsidRPr="00D06E2E" w14:paraId="74A423BA" w14:textId="77777777" w:rsidTr="00B37F05">
        <w:trPr>
          <w:trHeight w:hRule="exact" w:val="329"/>
          <w:jc w:val="center"/>
        </w:trPr>
        <w:tc>
          <w:tcPr>
            <w:tcW w:w="1610" w:type="dxa"/>
            <w:vAlign w:val="center"/>
          </w:tcPr>
          <w:p w14:paraId="21AC8C49" w14:textId="77777777" w:rsidR="00B37F05" w:rsidRPr="00D06E2E" w:rsidRDefault="00B37F05" w:rsidP="00B37F05">
            <w:pPr>
              <w:spacing w:after="0"/>
              <w:jc w:val="center"/>
              <w:rPr>
                <w:bCs/>
                <w:lang w:val="sr-Latn-RS"/>
              </w:rPr>
            </w:pPr>
            <w:r w:rsidRPr="00D06E2E">
              <w:rPr>
                <w:bCs/>
                <w:lang w:val="sr-Latn-RS"/>
              </w:rPr>
              <w:t>37</w:t>
            </w:r>
          </w:p>
        </w:tc>
        <w:tc>
          <w:tcPr>
            <w:tcW w:w="2127" w:type="dxa"/>
          </w:tcPr>
          <w:p w14:paraId="738E97BF" w14:textId="77777777" w:rsidR="00B37F05" w:rsidRPr="00D06E2E" w:rsidRDefault="00B37F05" w:rsidP="00B37F05">
            <w:pPr>
              <w:spacing w:after="0"/>
              <w:jc w:val="center"/>
              <w:rPr>
                <w:bCs/>
                <w:lang w:val="sr-Latn-RS"/>
              </w:rPr>
            </w:pPr>
            <w:r w:rsidRPr="00D06E2E">
              <w:rPr>
                <w:bCs/>
                <w:lang w:val="sr-Latn-RS"/>
              </w:rPr>
              <w:t>34</w:t>
            </w:r>
          </w:p>
        </w:tc>
        <w:tc>
          <w:tcPr>
            <w:tcW w:w="2852" w:type="dxa"/>
            <w:vAlign w:val="center"/>
          </w:tcPr>
          <w:p w14:paraId="40606250" w14:textId="77777777" w:rsidR="00B37F05" w:rsidRPr="00D06E2E" w:rsidRDefault="00B37F05" w:rsidP="00B37F05">
            <w:pPr>
              <w:spacing w:after="0"/>
              <w:jc w:val="center"/>
              <w:rPr>
                <w:bCs/>
                <w:lang w:val="sr-Latn-RS"/>
              </w:rPr>
            </w:pPr>
            <w:r w:rsidRPr="00D06E2E">
              <w:rPr>
                <w:bCs/>
                <w:lang w:val="sr-Latn-RS"/>
              </w:rPr>
              <w:t>33</w:t>
            </w:r>
          </w:p>
        </w:tc>
        <w:tc>
          <w:tcPr>
            <w:tcW w:w="2345" w:type="dxa"/>
          </w:tcPr>
          <w:p w14:paraId="4CA86E81" w14:textId="77777777" w:rsidR="00B37F05" w:rsidRPr="00D06E2E" w:rsidRDefault="00B37F05" w:rsidP="00B37F05">
            <w:pPr>
              <w:spacing w:after="0"/>
              <w:jc w:val="center"/>
              <w:rPr>
                <w:bCs/>
                <w:lang w:val="sr-Latn-RS"/>
              </w:rPr>
            </w:pPr>
            <w:r w:rsidRPr="00D06E2E">
              <w:rPr>
                <w:bCs/>
                <w:lang w:val="sr-Latn-RS"/>
              </w:rPr>
              <w:t>97,06%</w:t>
            </w:r>
          </w:p>
        </w:tc>
      </w:tr>
    </w:tbl>
    <w:p w14:paraId="57FB80BE" w14:textId="77777777" w:rsidR="00B37F05" w:rsidRPr="00D06E2E" w:rsidRDefault="00B37F05" w:rsidP="00B37F05">
      <w:pPr>
        <w:spacing w:after="0"/>
        <w:rPr>
          <w:lang w:val="sr-Latn-RS"/>
        </w:rPr>
      </w:pPr>
    </w:p>
    <w:p w14:paraId="6686E1B2" w14:textId="77777777" w:rsidR="00B37F05" w:rsidRPr="00D06E2E" w:rsidRDefault="00B37F05" w:rsidP="00B37F05">
      <w:pPr>
        <w:pStyle w:val="Caption"/>
        <w:keepNext/>
        <w:spacing w:before="0"/>
        <w:jc w:val="center"/>
        <w:rPr>
          <w:lang w:val="sr-Latn-RS"/>
        </w:rPr>
      </w:pPr>
      <w:r w:rsidRPr="00D06E2E">
        <w:rPr>
          <w:lang w:val="sr-Latn-RS"/>
        </w:rPr>
        <w:t>Table 25 – Outcome of acting upon completed cases in 2023</w:t>
      </w:r>
    </w:p>
    <w:tbl>
      <w:tblPr>
        <w:tblW w:w="8967"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8" w:space="0" w:color="0070C0"/>
        </w:tblBorders>
        <w:tblLook w:val="04A0" w:firstRow="1" w:lastRow="0" w:firstColumn="1" w:lastColumn="0" w:noHBand="0" w:noVBand="1"/>
      </w:tblPr>
      <w:tblGrid>
        <w:gridCol w:w="6603"/>
        <w:gridCol w:w="1060"/>
        <w:gridCol w:w="1304"/>
      </w:tblGrid>
      <w:tr w:rsidR="00B37F05" w:rsidRPr="00D06E2E" w14:paraId="35C3F330" w14:textId="77777777" w:rsidTr="00B37F05">
        <w:trPr>
          <w:trHeight w:hRule="exact" w:val="329"/>
          <w:jc w:val="center"/>
        </w:trPr>
        <w:tc>
          <w:tcPr>
            <w:tcW w:w="7057" w:type="dxa"/>
            <w:vAlign w:val="center"/>
          </w:tcPr>
          <w:p w14:paraId="5F8D6059" w14:textId="77777777" w:rsidR="00B37F05" w:rsidRPr="00D06E2E" w:rsidRDefault="00B37F05" w:rsidP="00B37F05">
            <w:pPr>
              <w:spacing w:after="0"/>
              <w:rPr>
                <w:b/>
                <w:bCs/>
                <w:lang w:val="sr-Latn-RS"/>
              </w:rPr>
            </w:pPr>
          </w:p>
        </w:tc>
        <w:tc>
          <w:tcPr>
            <w:tcW w:w="673" w:type="dxa"/>
            <w:vAlign w:val="center"/>
          </w:tcPr>
          <w:p w14:paraId="4DB62BBF" w14:textId="77777777" w:rsidR="00B37F05" w:rsidRPr="00D06E2E" w:rsidRDefault="00B37F05" w:rsidP="00B37F05">
            <w:pPr>
              <w:spacing w:after="0"/>
              <w:jc w:val="center"/>
              <w:rPr>
                <w:b/>
                <w:bCs/>
                <w:lang w:val="sr-Latn-RS"/>
              </w:rPr>
            </w:pPr>
            <w:r w:rsidRPr="00D06E2E">
              <w:rPr>
                <w:b/>
                <w:bCs/>
                <w:lang w:val="sr-Latn-RS"/>
              </w:rPr>
              <w:t>Number</w:t>
            </w:r>
          </w:p>
        </w:tc>
        <w:tc>
          <w:tcPr>
            <w:tcW w:w="1237" w:type="dxa"/>
            <w:noWrap/>
            <w:vAlign w:val="center"/>
          </w:tcPr>
          <w:p w14:paraId="60B90A10" w14:textId="77777777" w:rsidR="00B37F05" w:rsidRPr="00D06E2E" w:rsidRDefault="00B37F05" w:rsidP="00B37F05">
            <w:pPr>
              <w:spacing w:after="0"/>
              <w:jc w:val="center"/>
              <w:rPr>
                <w:b/>
                <w:bCs/>
                <w:lang w:val="sr-Latn-RS"/>
              </w:rPr>
            </w:pPr>
            <w:r w:rsidRPr="00D06E2E">
              <w:rPr>
                <w:b/>
                <w:bCs/>
                <w:lang w:val="sr-Latn-RS"/>
              </w:rPr>
              <w:t>Percentage</w:t>
            </w:r>
          </w:p>
        </w:tc>
      </w:tr>
      <w:tr w:rsidR="00B37F05" w:rsidRPr="00D06E2E" w14:paraId="146E9563" w14:textId="77777777" w:rsidTr="00B37F05">
        <w:trPr>
          <w:trHeight w:hRule="exact" w:val="329"/>
          <w:jc w:val="center"/>
        </w:trPr>
        <w:tc>
          <w:tcPr>
            <w:tcW w:w="7057" w:type="dxa"/>
            <w:vAlign w:val="center"/>
          </w:tcPr>
          <w:p w14:paraId="39553714" w14:textId="77777777" w:rsidR="00B37F05" w:rsidRPr="00D06E2E" w:rsidRDefault="00B37F05" w:rsidP="00B37F05">
            <w:pPr>
              <w:pStyle w:val="ListParagraph"/>
              <w:numPr>
                <w:ilvl w:val="0"/>
                <w:numId w:val="23"/>
              </w:numPr>
              <w:spacing w:after="0"/>
              <w:ind w:left="360"/>
              <w:contextualSpacing/>
              <w:rPr>
                <w:b/>
                <w:lang w:val="sr-Latn-RS"/>
              </w:rPr>
            </w:pPr>
            <w:r w:rsidRPr="00D06E2E">
              <w:rPr>
                <w:b/>
                <w:lang w:val="sr-Latn-RS"/>
              </w:rPr>
              <w:t>Inadmissible complaints</w:t>
            </w:r>
          </w:p>
        </w:tc>
        <w:tc>
          <w:tcPr>
            <w:tcW w:w="673" w:type="dxa"/>
            <w:vAlign w:val="center"/>
          </w:tcPr>
          <w:p w14:paraId="152ECE6A"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189</w:t>
            </w:r>
          </w:p>
        </w:tc>
        <w:tc>
          <w:tcPr>
            <w:tcW w:w="1237" w:type="dxa"/>
            <w:noWrap/>
            <w:vAlign w:val="center"/>
          </w:tcPr>
          <w:p w14:paraId="3FB16B4F"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79,41%</w:t>
            </w:r>
          </w:p>
        </w:tc>
      </w:tr>
      <w:tr w:rsidR="00B37F05" w:rsidRPr="00D06E2E" w14:paraId="759C8303" w14:textId="77777777" w:rsidTr="00B37F05">
        <w:trPr>
          <w:trHeight w:hRule="exact" w:val="329"/>
          <w:jc w:val="center"/>
        </w:trPr>
        <w:tc>
          <w:tcPr>
            <w:tcW w:w="7057" w:type="dxa"/>
            <w:vAlign w:val="center"/>
          </w:tcPr>
          <w:p w14:paraId="7165A8B7" w14:textId="77777777" w:rsidR="00B37F05" w:rsidRPr="00D06E2E" w:rsidRDefault="00B37F05" w:rsidP="00B37F05">
            <w:pPr>
              <w:pStyle w:val="ListParagraph"/>
              <w:numPr>
                <w:ilvl w:val="1"/>
                <w:numId w:val="23"/>
              </w:numPr>
              <w:spacing w:after="0"/>
              <w:ind w:left="462" w:hanging="425"/>
              <w:contextualSpacing/>
              <w:rPr>
                <w:lang w:val="sr-Latn-RS"/>
              </w:rPr>
            </w:pPr>
            <w:r w:rsidRPr="00D06E2E">
              <w:rPr>
                <w:lang w:val="sr-Latn-RS"/>
              </w:rPr>
              <w:t>Unused legal remedies</w:t>
            </w:r>
          </w:p>
        </w:tc>
        <w:tc>
          <w:tcPr>
            <w:tcW w:w="673" w:type="dxa"/>
            <w:vAlign w:val="center"/>
          </w:tcPr>
          <w:p w14:paraId="640665B2"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86</w:t>
            </w:r>
          </w:p>
        </w:tc>
        <w:tc>
          <w:tcPr>
            <w:tcW w:w="1237" w:type="dxa"/>
            <w:noWrap/>
            <w:vAlign w:val="center"/>
          </w:tcPr>
          <w:p w14:paraId="6478492F" w14:textId="77777777" w:rsidR="00B37F05" w:rsidRPr="00D06E2E" w:rsidRDefault="00B37F05" w:rsidP="00B37F05">
            <w:pPr>
              <w:spacing w:after="0" w:line="360" w:lineRule="auto"/>
              <w:jc w:val="center"/>
              <w:rPr>
                <w:rFonts w:cs="Calibri"/>
                <w:color w:val="000000"/>
                <w:lang w:val="sr-Latn-RS"/>
              </w:rPr>
            </w:pPr>
            <w:r w:rsidRPr="00D06E2E">
              <w:rPr>
                <w:rFonts w:cs="Calibri"/>
                <w:color w:val="000000"/>
                <w:lang w:val="sr-Latn-RS"/>
              </w:rPr>
              <w:t>45,50%</w:t>
            </w:r>
          </w:p>
        </w:tc>
      </w:tr>
      <w:tr w:rsidR="00B37F05" w:rsidRPr="00D06E2E" w14:paraId="50A42B3E" w14:textId="77777777" w:rsidTr="00B37F05">
        <w:trPr>
          <w:trHeight w:hRule="exact" w:val="329"/>
          <w:jc w:val="center"/>
        </w:trPr>
        <w:tc>
          <w:tcPr>
            <w:tcW w:w="7057" w:type="dxa"/>
            <w:vAlign w:val="center"/>
          </w:tcPr>
          <w:p w14:paraId="105AFC5C" w14:textId="77777777" w:rsidR="00B37F05" w:rsidRPr="00D06E2E" w:rsidRDefault="00B37F05" w:rsidP="00B37F05">
            <w:pPr>
              <w:pStyle w:val="ListParagraph"/>
              <w:numPr>
                <w:ilvl w:val="1"/>
                <w:numId w:val="23"/>
              </w:numPr>
              <w:spacing w:after="0"/>
              <w:ind w:left="462" w:hanging="425"/>
              <w:contextualSpacing/>
              <w:rPr>
                <w:lang w:val="sr-Latn-RS"/>
              </w:rPr>
            </w:pPr>
            <w:r w:rsidRPr="00D06E2E">
              <w:rPr>
                <w:lang w:val="sr-Latn-RS"/>
              </w:rPr>
              <w:t>Incompetence</w:t>
            </w:r>
          </w:p>
        </w:tc>
        <w:tc>
          <w:tcPr>
            <w:tcW w:w="673" w:type="dxa"/>
            <w:vAlign w:val="center"/>
          </w:tcPr>
          <w:p w14:paraId="0D90090D"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66</w:t>
            </w:r>
          </w:p>
        </w:tc>
        <w:tc>
          <w:tcPr>
            <w:tcW w:w="1237" w:type="dxa"/>
            <w:noWrap/>
            <w:vAlign w:val="center"/>
          </w:tcPr>
          <w:p w14:paraId="69B7F0F7"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34,92%</w:t>
            </w:r>
          </w:p>
        </w:tc>
      </w:tr>
      <w:tr w:rsidR="00B37F05" w:rsidRPr="00D06E2E" w14:paraId="63C64703" w14:textId="77777777" w:rsidTr="00B37F05">
        <w:trPr>
          <w:trHeight w:hRule="exact" w:val="329"/>
          <w:jc w:val="center"/>
        </w:trPr>
        <w:tc>
          <w:tcPr>
            <w:tcW w:w="7057" w:type="dxa"/>
            <w:vAlign w:val="center"/>
          </w:tcPr>
          <w:p w14:paraId="451BB87F" w14:textId="77777777" w:rsidR="00B37F05" w:rsidRPr="00D06E2E" w:rsidRDefault="00B37F05" w:rsidP="00B37F05">
            <w:pPr>
              <w:pStyle w:val="ListParagraph"/>
              <w:numPr>
                <w:ilvl w:val="1"/>
                <w:numId w:val="23"/>
              </w:numPr>
              <w:spacing w:after="0"/>
              <w:ind w:left="462" w:hanging="425"/>
              <w:contextualSpacing/>
              <w:rPr>
                <w:lang w:val="sr-Latn-RS"/>
              </w:rPr>
            </w:pPr>
            <w:r w:rsidRPr="00D06E2E">
              <w:rPr>
                <w:lang w:val="sr-Latn-RS"/>
              </w:rPr>
              <w:t>Formally deficient complaint</w:t>
            </w:r>
          </w:p>
        </w:tc>
        <w:tc>
          <w:tcPr>
            <w:tcW w:w="673" w:type="dxa"/>
            <w:vAlign w:val="center"/>
          </w:tcPr>
          <w:p w14:paraId="5381CB35"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30</w:t>
            </w:r>
          </w:p>
        </w:tc>
        <w:tc>
          <w:tcPr>
            <w:tcW w:w="1237" w:type="dxa"/>
            <w:noWrap/>
            <w:vAlign w:val="center"/>
          </w:tcPr>
          <w:p w14:paraId="355D9FC0"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15,87%</w:t>
            </w:r>
          </w:p>
        </w:tc>
      </w:tr>
      <w:tr w:rsidR="00B37F05" w:rsidRPr="00D06E2E" w14:paraId="261FF530" w14:textId="77777777" w:rsidTr="00B37F05">
        <w:trPr>
          <w:trHeight w:hRule="exact" w:val="329"/>
          <w:jc w:val="center"/>
        </w:trPr>
        <w:tc>
          <w:tcPr>
            <w:tcW w:w="7057" w:type="dxa"/>
            <w:vAlign w:val="center"/>
          </w:tcPr>
          <w:p w14:paraId="489F3C1E" w14:textId="77777777" w:rsidR="00B37F05" w:rsidRPr="00D06E2E" w:rsidRDefault="00B37F05" w:rsidP="00B37F05">
            <w:pPr>
              <w:pStyle w:val="ListParagraph"/>
              <w:numPr>
                <w:ilvl w:val="1"/>
                <w:numId w:val="23"/>
              </w:numPr>
              <w:spacing w:after="0"/>
              <w:ind w:left="462" w:hanging="425"/>
              <w:contextualSpacing/>
              <w:rPr>
                <w:lang w:val="sr-Latn-RS"/>
              </w:rPr>
            </w:pPr>
            <w:r w:rsidRPr="00D06E2E">
              <w:rPr>
                <w:lang w:val="sr-Latn-RS"/>
              </w:rPr>
              <w:t>The merits have already been decided</w:t>
            </w:r>
          </w:p>
        </w:tc>
        <w:tc>
          <w:tcPr>
            <w:tcW w:w="673" w:type="dxa"/>
            <w:vAlign w:val="center"/>
          </w:tcPr>
          <w:p w14:paraId="1FD238AC"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4</w:t>
            </w:r>
          </w:p>
        </w:tc>
        <w:tc>
          <w:tcPr>
            <w:tcW w:w="1237" w:type="dxa"/>
            <w:noWrap/>
            <w:vAlign w:val="center"/>
          </w:tcPr>
          <w:p w14:paraId="5ED4D5EE"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2,12%</w:t>
            </w:r>
          </w:p>
        </w:tc>
      </w:tr>
      <w:tr w:rsidR="00B37F05" w:rsidRPr="00D06E2E" w14:paraId="1AF2D7CA" w14:textId="77777777" w:rsidTr="00B37F05">
        <w:trPr>
          <w:trHeight w:hRule="exact" w:val="329"/>
          <w:jc w:val="center"/>
        </w:trPr>
        <w:tc>
          <w:tcPr>
            <w:tcW w:w="7057" w:type="dxa"/>
            <w:vAlign w:val="center"/>
          </w:tcPr>
          <w:p w14:paraId="330DF13B" w14:textId="77777777" w:rsidR="00B37F05" w:rsidRPr="00D06E2E" w:rsidRDefault="00B37F05" w:rsidP="00B37F05">
            <w:pPr>
              <w:pStyle w:val="ListParagraph"/>
              <w:numPr>
                <w:ilvl w:val="1"/>
                <w:numId w:val="23"/>
              </w:numPr>
              <w:spacing w:after="0"/>
              <w:ind w:left="462" w:hanging="425"/>
              <w:contextualSpacing/>
              <w:rPr>
                <w:lang w:val="sr-Latn-RS"/>
              </w:rPr>
            </w:pPr>
            <w:r w:rsidRPr="00D06E2E">
              <w:rPr>
                <w:lang w:val="sr-Latn-RS"/>
              </w:rPr>
              <w:t>Unauthorized complainant</w:t>
            </w:r>
          </w:p>
        </w:tc>
        <w:tc>
          <w:tcPr>
            <w:tcW w:w="673" w:type="dxa"/>
            <w:vAlign w:val="center"/>
          </w:tcPr>
          <w:p w14:paraId="38EC2027"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2</w:t>
            </w:r>
          </w:p>
        </w:tc>
        <w:tc>
          <w:tcPr>
            <w:tcW w:w="1237" w:type="dxa"/>
            <w:noWrap/>
            <w:vAlign w:val="center"/>
          </w:tcPr>
          <w:p w14:paraId="559A4917"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1,06%</w:t>
            </w:r>
          </w:p>
        </w:tc>
      </w:tr>
      <w:tr w:rsidR="00B37F05" w:rsidRPr="00D06E2E" w14:paraId="09491EDD" w14:textId="77777777" w:rsidTr="00B37F05">
        <w:trPr>
          <w:trHeight w:hRule="exact" w:val="329"/>
          <w:jc w:val="center"/>
        </w:trPr>
        <w:tc>
          <w:tcPr>
            <w:tcW w:w="7057" w:type="dxa"/>
            <w:vAlign w:val="center"/>
          </w:tcPr>
          <w:p w14:paraId="714D3174" w14:textId="77777777" w:rsidR="00B37F05" w:rsidRPr="00D06E2E" w:rsidRDefault="00B37F05" w:rsidP="00B37F05">
            <w:pPr>
              <w:pStyle w:val="ListParagraph"/>
              <w:numPr>
                <w:ilvl w:val="1"/>
                <w:numId w:val="23"/>
              </w:numPr>
              <w:spacing w:after="0"/>
              <w:ind w:left="462" w:hanging="425"/>
              <w:contextualSpacing/>
              <w:rPr>
                <w:lang w:val="sr-Latn-RS"/>
              </w:rPr>
            </w:pPr>
            <w:r w:rsidRPr="00D06E2E">
              <w:rPr>
                <w:lang w:val="sr-Latn-RS"/>
              </w:rPr>
              <w:t>Anonymous complaint</w:t>
            </w:r>
          </w:p>
        </w:tc>
        <w:tc>
          <w:tcPr>
            <w:tcW w:w="673" w:type="dxa"/>
            <w:vAlign w:val="center"/>
          </w:tcPr>
          <w:p w14:paraId="396F1D83"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1</w:t>
            </w:r>
          </w:p>
        </w:tc>
        <w:tc>
          <w:tcPr>
            <w:tcW w:w="1237" w:type="dxa"/>
            <w:noWrap/>
            <w:vAlign w:val="center"/>
          </w:tcPr>
          <w:p w14:paraId="76CBF37E" w14:textId="77777777" w:rsidR="00B37F05" w:rsidRPr="00D06E2E" w:rsidRDefault="00B37F05" w:rsidP="00B37F05">
            <w:pPr>
              <w:spacing w:after="0"/>
              <w:jc w:val="center"/>
              <w:rPr>
                <w:rFonts w:cs="Calibri"/>
                <w:color w:val="000000"/>
                <w:lang w:val="sr-Latn-RS"/>
              </w:rPr>
            </w:pPr>
            <w:r w:rsidRPr="00D06E2E">
              <w:rPr>
                <w:rFonts w:cs="Calibri"/>
                <w:color w:val="000000"/>
                <w:lang w:val="sr-Latn-RS"/>
              </w:rPr>
              <w:t>0,53%</w:t>
            </w:r>
          </w:p>
        </w:tc>
      </w:tr>
      <w:tr w:rsidR="00B37F05" w:rsidRPr="00D06E2E" w14:paraId="31F9C610" w14:textId="77777777" w:rsidTr="00B37F05">
        <w:trPr>
          <w:trHeight w:hRule="exact" w:val="329"/>
          <w:jc w:val="center"/>
        </w:trPr>
        <w:tc>
          <w:tcPr>
            <w:tcW w:w="7057" w:type="dxa"/>
            <w:vAlign w:val="center"/>
          </w:tcPr>
          <w:p w14:paraId="5531C1F3" w14:textId="77777777" w:rsidR="00B37F05" w:rsidRPr="00D06E2E" w:rsidRDefault="00B37F05" w:rsidP="00B37F05">
            <w:pPr>
              <w:pStyle w:val="ListParagraph"/>
              <w:numPr>
                <w:ilvl w:val="0"/>
                <w:numId w:val="23"/>
              </w:numPr>
              <w:spacing w:after="0"/>
              <w:ind w:left="360"/>
              <w:contextualSpacing/>
              <w:rPr>
                <w:b/>
                <w:lang w:val="sr-Latn-RS"/>
              </w:rPr>
            </w:pPr>
            <w:r w:rsidRPr="00D06E2E">
              <w:rPr>
                <w:b/>
                <w:lang w:val="sr-Latn-RS"/>
              </w:rPr>
              <w:t>Unfounded complaints</w:t>
            </w:r>
          </w:p>
        </w:tc>
        <w:tc>
          <w:tcPr>
            <w:tcW w:w="673" w:type="dxa"/>
            <w:vAlign w:val="center"/>
          </w:tcPr>
          <w:p w14:paraId="70EA73EC"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31</w:t>
            </w:r>
          </w:p>
        </w:tc>
        <w:tc>
          <w:tcPr>
            <w:tcW w:w="1237" w:type="dxa"/>
            <w:noWrap/>
            <w:vAlign w:val="center"/>
          </w:tcPr>
          <w:p w14:paraId="6D6E0D1B"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13,03%</w:t>
            </w:r>
          </w:p>
        </w:tc>
      </w:tr>
      <w:tr w:rsidR="00B37F05" w:rsidRPr="00D06E2E" w14:paraId="357A7284" w14:textId="77777777" w:rsidTr="00B37F05">
        <w:trPr>
          <w:trHeight w:hRule="exact" w:val="624"/>
          <w:jc w:val="center"/>
        </w:trPr>
        <w:tc>
          <w:tcPr>
            <w:tcW w:w="7057" w:type="dxa"/>
            <w:vAlign w:val="center"/>
          </w:tcPr>
          <w:p w14:paraId="56301406" w14:textId="77777777" w:rsidR="00B37F05" w:rsidRPr="00D06E2E" w:rsidRDefault="00B37F05" w:rsidP="00B37F05">
            <w:pPr>
              <w:pStyle w:val="ListParagraph"/>
              <w:numPr>
                <w:ilvl w:val="0"/>
                <w:numId w:val="23"/>
              </w:numPr>
              <w:spacing w:after="0"/>
              <w:ind w:left="360"/>
              <w:contextualSpacing/>
              <w:rPr>
                <w:b/>
                <w:lang w:val="sr-Latn-RS"/>
              </w:rPr>
            </w:pPr>
            <w:r w:rsidRPr="00D06E2E">
              <w:rPr>
                <w:b/>
                <w:lang w:val="sr-Latn-RS"/>
              </w:rPr>
              <w:t>Cases covered by legislative initiative</w:t>
            </w:r>
          </w:p>
        </w:tc>
        <w:tc>
          <w:tcPr>
            <w:tcW w:w="673" w:type="dxa"/>
            <w:vAlign w:val="center"/>
          </w:tcPr>
          <w:p w14:paraId="0D7D1D93"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6</w:t>
            </w:r>
          </w:p>
        </w:tc>
        <w:tc>
          <w:tcPr>
            <w:tcW w:w="1237" w:type="dxa"/>
            <w:noWrap/>
            <w:vAlign w:val="center"/>
          </w:tcPr>
          <w:p w14:paraId="13E43964"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2,52%</w:t>
            </w:r>
          </w:p>
        </w:tc>
      </w:tr>
      <w:tr w:rsidR="00B37F05" w:rsidRPr="00D06E2E" w14:paraId="15897168" w14:textId="77777777" w:rsidTr="00B37F05">
        <w:trPr>
          <w:trHeight w:hRule="exact" w:val="679"/>
          <w:jc w:val="center"/>
        </w:trPr>
        <w:tc>
          <w:tcPr>
            <w:tcW w:w="7057" w:type="dxa"/>
            <w:vAlign w:val="center"/>
          </w:tcPr>
          <w:p w14:paraId="35880CD8" w14:textId="77777777" w:rsidR="00B37F05" w:rsidRPr="00D06E2E" w:rsidRDefault="00B37F05" w:rsidP="00B37F05">
            <w:pPr>
              <w:pStyle w:val="ListParagraph"/>
              <w:numPr>
                <w:ilvl w:val="0"/>
                <w:numId w:val="23"/>
              </w:numPr>
              <w:spacing w:after="0"/>
              <w:ind w:left="360"/>
              <w:contextualSpacing/>
              <w:rPr>
                <w:b/>
                <w:lang w:val="sr-Latn-RS"/>
              </w:rPr>
            </w:pPr>
            <w:r w:rsidRPr="00D06E2E">
              <w:rPr>
                <w:b/>
                <w:lang w:val="sr-Latn-RS"/>
              </w:rPr>
              <w:t>Cases covered by recommendations from the control procedure</w:t>
            </w:r>
          </w:p>
        </w:tc>
        <w:tc>
          <w:tcPr>
            <w:tcW w:w="673" w:type="dxa"/>
            <w:vAlign w:val="center"/>
          </w:tcPr>
          <w:p w14:paraId="3F617A9C"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4</w:t>
            </w:r>
          </w:p>
        </w:tc>
        <w:tc>
          <w:tcPr>
            <w:tcW w:w="1237" w:type="dxa"/>
            <w:noWrap/>
            <w:vAlign w:val="center"/>
          </w:tcPr>
          <w:p w14:paraId="19A978BC"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1,68%</w:t>
            </w:r>
          </w:p>
        </w:tc>
      </w:tr>
      <w:tr w:rsidR="00B37F05" w:rsidRPr="00D06E2E" w14:paraId="3D183EFB" w14:textId="77777777" w:rsidTr="00B37F05">
        <w:trPr>
          <w:trHeight w:hRule="exact" w:val="329"/>
          <w:jc w:val="center"/>
        </w:trPr>
        <w:tc>
          <w:tcPr>
            <w:tcW w:w="7057" w:type="dxa"/>
            <w:vAlign w:val="center"/>
          </w:tcPr>
          <w:p w14:paraId="54D06398" w14:textId="77777777" w:rsidR="00B37F05" w:rsidRPr="00D06E2E" w:rsidRDefault="00B37F05" w:rsidP="00B37F05">
            <w:pPr>
              <w:pStyle w:val="ListParagraph"/>
              <w:numPr>
                <w:ilvl w:val="0"/>
                <w:numId w:val="23"/>
              </w:numPr>
              <w:spacing w:after="0"/>
              <w:ind w:left="360"/>
              <w:contextualSpacing/>
              <w:rPr>
                <w:b/>
                <w:lang w:val="sr-Latn-RS"/>
              </w:rPr>
            </w:pPr>
            <w:r w:rsidRPr="00D06E2E">
              <w:rPr>
                <w:rFonts w:cs="Arial"/>
                <w:b/>
                <w:bCs/>
                <w:lang w:val="sr-Latn-RS"/>
              </w:rPr>
              <w:t>Informed and advised complainant</w:t>
            </w:r>
          </w:p>
        </w:tc>
        <w:tc>
          <w:tcPr>
            <w:tcW w:w="673" w:type="dxa"/>
            <w:vAlign w:val="center"/>
          </w:tcPr>
          <w:p w14:paraId="59899CA1"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5</w:t>
            </w:r>
          </w:p>
        </w:tc>
        <w:tc>
          <w:tcPr>
            <w:tcW w:w="1237" w:type="dxa"/>
            <w:noWrap/>
            <w:vAlign w:val="center"/>
          </w:tcPr>
          <w:p w14:paraId="0F4AA13C"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2,10%</w:t>
            </w:r>
          </w:p>
        </w:tc>
      </w:tr>
      <w:tr w:rsidR="00B37F05" w:rsidRPr="00D06E2E" w14:paraId="7D8BDB21" w14:textId="77777777" w:rsidTr="00B37F05">
        <w:trPr>
          <w:trHeight w:hRule="exact" w:val="565"/>
          <w:jc w:val="center"/>
        </w:trPr>
        <w:tc>
          <w:tcPr>
            <w:tcW w:w="7057" w:type="dxa"/>
            <w:vAlign w:val="center"/>
          </w:tcPr>
          <w:p w14:paraId="66350843" w14:textId="77777777" w:rsidR="00B37F05" w:rsidRPr="00D06E2E" w:rsidRDefault="00B37F05" w:rsidP="00B37F05">
            <w:pPr>
              <w:pStyle w:val="ListParagraph"/>
              <w:numPr>
                <w:ilvl w:val="0"/>
                <w:numId w:val="23"/>
              </w:numPr>
              <w:spacing w:after="0"/>
              <w:ind w:left="360"/>
              <w:contextualSpacing/>
              <w:rPr>
                <w:b/>
                <w:lang w:val="sr-Latn-RS"/>
              </w:rPr>
            </w:pPr>
            <w:r w:rsidRPr="00D06E2E">
              <w:rPr>
                <w:b/>
                <w:lang w:val="sr-Latn-RS"/>
              </w:rPr>
              <w:t>Cases covered by recommendations from an expedited oversight investigation</w:t>
            </w:r>
          </w:p>
        </w:tc>
        <w:tc>
          <w:tcPr>
            <w:tcW w:w="673" w:type="dxa"/>
            <w:vAlign w:val="center"/>
          </w:tcPr>
          <w:p w14:paraId="1B8ACD75"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2</w:t>
            </w:r>
          </w:p>
        </w:tc>
        <w:tc>
          <w:tcPr>
            <w:tcW w:w="1237" w:type="dxa"/>
            <w:noWrap/>
            <w:vAlign w:val="center"/>
          </w:tcPr>
          <w:p w14:paraId="36F8B02F"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0,84%</w:t>
            </w:r>
          </w:p>
        </w:tc>
      </w:tr>
      <w:tr w:rsidR="00B37F05" w:rsidRPr="00D06E2E" w14:paraId="78D6651F" w14:textId="77777777" w:rsidTr="00B37F05">
        <w:trPr>
          <w:trHeight w:hRule="exact" w:val="329"/>
          <w:jc w:val="center"/>
        </w:trPr>
        <w:tc>
          <w:tcPr>
            <w:tcW w:w="7057" w:type="dxa"/>
            <w:vAlign w:val="center"/>
          </w:tcPr>
          <w:p w14:paraId="79627BF1" w14:textId="77777777" w:rsidR="00B37F05" w:rsidRPr="00D06E2E" w:rsidRDefault="00B37F05" w:rsidP="00B37F05">
            <w:pPr>
              <w:pStyle w:val="ListParagraph"/>
              <w:numPr>
                <w:ilvl w:val="0"/>
                <w:numId w:val="23"/>
              </w:numPr>
              <w:spacing w:after="0"/>
              <w:ind w:left="360"/>
              <w:contextualSpacing/>
              <w:rPr>
                <w:b/>
                <w:lang w:val="sr-Latn-RS"/>
              </w:rPr>
            </w:pPr>
            <w:r w:rsidRPr="00D06E2E">
              <w:rPr>
                <w:b/>
                <w:lang w:val="sr-Latn-RS"/>
              </w:rPr>
              <w:t>Withdrawal of the complainant</w:t>
            </w:r>
          </w:p>
        </w:tc>
        <w:tc>
          <w:tcPr>
            <w:tcW w:w="673" w:type="dxa"/>
            <w:vAlign w:val="center"/>
          </w:tcPr>
          <w:p w14:paraId="5239CF99"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1</w:t>
            </w:r>
          </w:p>
        </w:tc>
        <w:tc>
          <w:tcPr>
            <w:tcW w:w="1237" w:type="dxa"/>
            <w:noWrap/>
            <w:vAlign w:val="center"/>
          </w:tcPr>
          <w:p w14:paraId="0EDE14F3" w14:textId="77777777" w:rsidR="00B37F05" w:rsidRPr="00D06E2E" w:rsidRDefault="00B37F05" w:rsidP="00B37F05">
            <w:pPr>
              <w:spacing w:after="0"/>
              <w:jc w:val="center"/>
              <w:rPr>
                <w:rFonts w:cs="Calibri"/>
                <w:b/>
                <w:color w:val="000000"/>
                <w:lang w:val="sr-Latn-RS"/>
              </w:rPr>
            </w:pPr>
            <w:r w:rsidRPr="00D06E2E">
              <w:rPr>
                <w:rFonts w:cs="Calibri"/>
                <w:b/>
                <w:color w:val="000000"/>
                <w:lang w:val="sr-Latn-RS"/>
              </w:rPr>
              <w:t>0,42%</w:t>
            </w:r>
          </w:p>
        </w:tc>
      </w:tr>
      <w:tr w:rsidR="00B37F05" w:rsidRPr="00D06E2E" w14:paraId="51DB09C2" w14:textId="77777777" w:rsidTr="00B37F05">
        <w:trPr>
          <w:trHeight w:hRule="exact" w:val="329"/>
          <w:jc w:val="center"/>
        </w:trPr>
        <w:tc>
          <w:tcPr>
            <w:tcW w:w="7057" w:type="dxa"/>
            <w:vAlign w:val="center"/>
          </w:tcPr>
          <w:p w14:paraId="53F254F7" w14:textId="77777777" w:rsidR="00B37F05" w:rsidRPr="00D06E2E" w:rsidRDefault="00B37F05" w:rsidP="00B37F05">
            <w:pPr>
              <w:spacing w:after="0"/>
              <w:rPr>
                <w:b/>
                <w:bCs/>
                <w:lang w:val="sr-Latn-RS"/>
              </w:rPr>
            </w:pPr>
            <w:r w:rsidRPr="00D06E2E">
              <w:rPr>
                <w:b/>
                <w:bCs/>
                <w:lang w:val="sr-Latn-RS"/>
              </w:rPr>
              <w:t>Total</w:t>
            </w:r>
          </w:p>
        </w:tc>
        <w:tc>
          <w:tcPr>
            <w:tcW w:w="673" w:type="dxa"/>
            <w:vAlign w:val="center"/>
          </w:tcPr>
          <w:p w14:paraId="12B26791" w14:textId="77777777" w:rsidR="00B37F05" w:rsidRPr="00D06E2E" w:rsidRDefault="00B37F05" w:rsidP="00B37F05">
            <w:pPr>
              <w:spacing w:after="0"/>
              <w:jc w:val="center"/>
              <w:rPr>
                <w:b/>
                <w:bCs/>
                <w:lang w:val="sr-Latn-RS"/>
              </w:rPr>
            </w:pPr>
            <w:r w:rsidRPr="00D06E2E">
              <w:rPr>
                <w:b/>
                <w:bCs/>
                <w:lang w:val="sr-Latn-RS"/>
              </w:rPr>
              <w:t>238</w:t>
            </w:r>
          </w:p>
        </w:tc>
        <w:tc>
          <w:tcPr>
            <w:tcW w:w="1237" w:type="dxa"/>
            <w:noWrap/>
            <w:vAlign w:val="center"/>
          </w:tcPr>
          <w:p w14:paraId="613BE55D" w14:textId="77777777" w:rsidR="00B37F05" w:rsidRPr="00D06E2E" w:rsidRDefault="00B37F05" w:rsidP="00B37F05">
            <w:pPr>
              <w:spacing w:after="0"/>
              <w:jc w:val="center"/>
              <w:rPr>
                <w:b/>
                <w:bCs/>
                <w:lang w:val="sr-Latn-RS"/>
              </w:rPr>
            </w:pPr>
            <w:r w:rsidRPr="00D06E2E">
              <w:rPr>
                <w:b/>
                <w:bCs/>
                <w:lang w:val="sr-Latn-RS"/>
              </w:rPr>
              <w:t>100%</w:t>
            </w:r>
          </w:p>
        </w:tc>
      </w:tr>
    </w:tbl>
    <w:p w14:paraId="5B1243AC" w14:textId="77777777" w:rsidR="00B37F05" w:rsidRPr="00D06E2E" w:rsidRDefault="00B37F05" w:rsidP="00B37F05">
      <w:pPr>
        <w:spacing w:after="0"/>
        <w:ind w:left="630"/>
        <w:jc w:val="center"/>
        <w:rPr>
          <w:b/>
          <w:bCs/>
          <w:lang w:val="sr-Latn-RS"/>
        </w:rPr>
      </w:pPr>
    </w:p>
    <w:p w14:paraId="66BB0269" w14:textId="77777777" w:rsidR="00B37F05" w:rsidRPr="00D06E2E" w:rsidRDefault="00B37F05" w:rsidP="00B37F05">
      <w:pPr>
        <w:rPr>
          <w:lang w:val="sr-Latn-RS"/>
        </w:rPr>
      </w:pPr>
      <w:r w:rsidRPr="00D06E2E">
        <w:rPr>
          <w:lang w:val="sr-Latn-RS"/>
        </w:rPr>
        <w:t xml:space="preserve">The greatest number of received complaints are </w:t>
      </w:r>
      <w:r w:rsidRPr="00D06E2E">
        <w:rPr>
          <w:rFonts w:cstheme="minorHAnsi"/>
          <w:lang w:val="sr-Latn-RS"/>
        </w:rPr>
        <w:t xml:space="preserve">inadmissible </w:t>
      </w:r>
      <w:r w:rsidRPr="00D06E2E">
        <w:rPr>
          <w:lang w:val="sr-Latn-RS"/>
        </w:rPr>
        <w:t xml:space="preserve">by the Protector of Citizens because the legally prescribed conditions for acting upon them are not met. Complaints are </w:t>
      </w:r>
      <w:r w:rsidRPr="00D06E2E">
        <w:rPr>
          <w:rFonts w:cstheme="minorHAnsi"/>
          <w:lang w:val="sr-Latn-RS"/>
        </w:rPr>
        <w:t xml:space="preserve">inadmissible </w:t>
      </w:r>
      <w:r w:rsidRPr="00D06E2E">
        <w:rPr>
          <w:lang w:val="sr-Latn-RS"/>
        </w:rPr>
        <w:t xml:space="preserve">because of incompetence, untimeliness, prematurity, anonymity and formal deficiency. </w:t>
      </w:r>
    </w:p>
    <w:p w14:paraId="2F5869AF" w14:textId="77777777" w:rsidR="00B37F05" w:rsidRPr="00D06E2E" w:rsidRDefault="00B37F05" w:rsidP="00B37F05">
      <w:pPr>
        <w:spacing w:after="0"/>
        <w:rPr>
          <w:lang w:val="sr-Latn-RS"/>
        </w:rPr>
      </w:pPr>
      <w:r w:rsidRPr="00D06E2E">
        <w:rPr>
          <w:lang w:val="sr-Latn-RS"/>
        </w:rPr>
        <w:t xml:space="preserve">A very important segment of acting of the Protector of Citizens upon complaints is the provision of legal-advisory assistance provided by the Protector of Citizens even when the complaint is </w:t>
      </w:r>
      <w:r w:rsidRPr="00D06E2E">
        <w:rPr>
          <w:rFonts w:cstheme="minorHAnsi"/>
          <w:lang w:val="sr-Latn-RS"/>
        </w:rPr>
        <w:t xml:space="preserve">inadmissible </w:t>
      </w:r>
      <w:r w:rsidRPr="00D06E2E">
        <w:rPr>
          <w:lang w:val="sr-Latn-RS"/>
        </w:rPr>
        <w:t xml:space="preserve">due to incompetence or prematurity. Such advisory assistance is provided to citizens in 80.95 percent of </w:t>
      </w:r>
      <w:r w:rsidRPr="00D06E2E">
        <w:rPr>
          <w:rFonts w:cstheme="minorHAnsi"/>
          <w:lang w:val="sr-Latn-RS"/>
        </w:rPr>
        <w:t xml:space="preserve">inadmissible </w:t>
      </w:r>
      <w:r w:rsidRPr="00D06E2E">
        <w:rPr>
          <w:lang w:val="sr-Latn-RS"/>
        </w:rPr>
        <w:t xml:space="preserve">cases (153) in this area. The Protector of Citizens in these cases refers the complainant to the competent authority or advises them about available legal remedies.  </w:t>
      </w:r>
    </w:p>
    <w:p w14:paraId="6DDB3BDC" w14:textId="77777777" w:rsidR="00B37F05" w:rsidRPr="00D06E2E" w:rsidRDefault="00B37F05" w:rsidP="00B37F05">
      <w:pPr>
        <w:spacing w:after="0"/>
        <w:rPr>
          <w:lang w:val="sr-Latn-RS"/>
        </w:rPr>
      </w:pPr>
    </w:p>
    <w:p w14:paraId="0E94463C" w14:textId="77777777" w:rsidR="00B37F05" w:rsidRPr="00D06E2E" w:rsidRDefault="00B37F05" w:rsidP="00B37F05">
      <w:pPr>
        <w:spacing w:after="0"/>
        <w:rPr>
          <w:lang w:val="sr-Latn-RS"/>
        </w:rPr>
      </w:pPr>
    </w:p>
    <w:p w14:paraId="69572112" w14:textId="77777777" w:rsidR="00B37F05" w:rsidRPr="00D06E2E" w:rsidRDefault="00B37F05" w:rsidP="00B37F05">
      <w:pPr>
        <w:spacing w:after="0"/>
        <w:rPr>
          <w:lang w:val="sr-Latn-RS"/>
        </w:rPr>
      </w:pPr>
    </w:p>
    <w:p w14:paraId="4E9C8EFF" w14:textId="77777777" w:rsidR="00B37F05" w:rsidRPr="00D06E2E" w:rsidRDefault="00B37F05" w:rsidP="00B37F05">
      <w:pPr>
        <w:spacing w:after="0"/>
        <w:jc w:val="center"/>
        <w:rPr>
          <w:bCs/>
          <w:color w:val="000000"/>
          <w:sz w:val="24"/>
          <w:szCs w:val="24"/>
          <w:lang w:val="sr-Latn-RS"/>
        </w:rPr>
      </w:pPr>
      <w:r w:rsidRPr="00D06E2E">
        <w:rPr>
          <w:bCs/>
          <w:color w:val="000000"/>
          <w:sz w:val="24"/>
          <w:szCs w:val="24"/>
          <w:lang w:val="sr-Latn-RS"/>
        </w:rPr>
        <w:lastRenderedPageBreak/>
        <w:t>ACTIVITIES OF THE PROTECTOR OF CITIZENS</w:t>
      </w:r>
    </w:p>
    <w:p w14:paraId="6726B635" w14:textId="77777777" w:rsidR="00B37F05" w:rsidRPr="00D06E2E" w:rsidRDefault="00B37F05" w:rsidP="00B37F05">
      <w:pPr>
        <w:pStyle w:val="CommentText"/>
        <w:spacing w:before="120" w:after="0" w:line="240" w:lineRule="auto"/>
        <w:jc w:val="both"/>
        <w:rPr>
          <w:rFonts w:ascii="Book Antiqua" w:eastAsia="Calibri" w:hAnsi="Book Antiqua" w:cs="Book Antiqua"/>
          <w:noProof/>
          <w:sz w:val="22"/>
          <w:szCs w:val="22"/>
          <w:lang w:val="sr-Latn-RS"/>
        </w:rPr>
      </w:pPr>
      <w:r w:rsidRPr="00D06E2E">
        <w:rPr>
          <w:rFonts w:ascii="Book Antiqua" w:eastAsia="Calibri" w:hAnsi="Book Antiqua" w:cs="Book Antiqua"/>
          <w:noProof/>
          <w:sz w:val="22"/>
          <w:szCs w:val="22"/>
          <w:lang w:val="sr-Latn-RS"/>
        </w:rPr>
        <w:t>During 2023, the Protector of Citizens recorded a slight increase in the number of complaints of persons deprived of liberty compared to the previous reporting period. Also in this reporting period, the largest number of received complaints from persons deprived of liberty related to the rights of persons who are in institutions for the execution of criminal sanctions. Complaints of convicted persons mainly related to dissatisfaction with health care and treatment work, and a small number of complaints also related to the violation of the right to inviolability of physical and psychological integrity. Complaints of detained persons mainly related to the length of detention and the violation of the right to a fair trial</w:t>
      </w:r>
      <w:r w:rsidRPr="00D06E2E">
        <w:rPr>
          <w:rFonts w:ascii="Book Antiqua" w:eastAsia="Calibri" w:hAnsi="Book Antiqua" w:cs="Book Antiqua"/>
          <w:noProof/>
          <w:sz w:val="22"/>
          <w:szCs w:val="22"/>
          <w:vertAlign w:val="superscript"/>
          <w:lang w:val="sr-Latn-RS"/>
        </w:rPr>
        <w:footnoteReference w:id="115"/>
      </w:r>
      <w:r w:rsidRPr="00D06E2E">
        <w:rPr>
          <w:rFonts w:ascii="Book Antiqua" w:eastAsia="Calibri" w:hAnsi="Book Antiqua" w:cs="Book Antiqua"/>
          <w:noProof/>
          <w:sz w:val="22"/>
          <w:szCs w:val="22"/>
          <w:lang w:val="sr-Latn-RS"/>
        </w:rPr>
        <w:t>.</w:t>
      </w:r>
    </w:p>
    <w:p w14:paraId="53290CD5" w14:textId="77777777" w:rsidR="00B37F05" w:rsidRPr="00D06E2E" w:rsidRDefault="00B37F05" w:rsidP="00B37F05">
      <w:pPr>
        <w:pStyle w:val="CommentText"/>
        <w:spacing w:before="120" w:after="0" w:line="240" w:lineRule="auto"/>
        <w:jc w:val="both"/>
        <w:rPr>
          <w:rFonts w:ascii="Book Antiqua" w:eastAsia="Calibri" w:hAnsi="Book Antiqua" w:cs="Arial"/>
          <w:sz w:val="22"/>
          <w:szCs w:val="22"/>
          <w:lang w:val="sr-Latn-RS"/>
        </w:rPr>
      </w:pPr>
      <w:r w:rsidRPr="00D06E2E">
        <w:rPr>
          <w:rFonts w:ascii="Book Antiqua" w:eastAsia="Calibri" w:hAnsi="Book Antiqua" w:cs="Arial"/>
          <w:sz w:val="22"/>
          <w:szCs w:val="22"/>
          <w:lang w:val="sr-Latn-RS"/>
        </w:rPr>
        <w:t>Institutions where persons deprived of their liberty are or may be found, and against which the Protector of Citizens conducted control procedures, achieved very good cooperation with the Protector of Citizens, which enabled the unhindered exercise of competence in the protection of the rights of persons deprived of their liberty through control of the work of administrative authorities.</w:t>
      </w:r>
    </w:p>
    <w:p w14:paraId="68DE31B3" w14:textId="77777777" w:rsidR="00B37F05" w:rsidRPr="00D06E2E" w:rsidRDefault="00B37F05" w:rsidP="00B37F05">
      <w:pPr>
        <w:pStyle w:val="CommentText"/>
        <w:spacing w:before="120" w:after="0" w:line="240" w:lineRule="auto"/>
        <w:jc w:val="both"/>
        <w:rPr>
          <w:rFonts w:ascii="Book Antiqua" w:eastAsia="Calibri" w:hAnsi="Book Antiqua" w:cs="Arial"/>
          <w:sz w:val="22"/>
          <w:szCs w:val="22"/>
          <w:lang w:val="sr-Latn-RS"/>
        </w:rPr>
      </w:pPr>
      <w:r w:rsidRPr="00D06E2E">
        <w:rPr>
          <w:rFonts w:ascii="Book Antiqua" w:eastAsia="Calibri" w:hAnsi="Book Antiqua" w:cs="Arial"/>
          <w:sz w:val="22"/>
          <w:szCs w:val="22"/>
          <w:lang w:val="sr-Latn-RS"/>
        </w:rPr>
        <w:t>Taking into account the action on the recommendations from the previous reporting period, as well as on the recommendations sent in this reporting period, the Protector of Citizens notes that the competent authorities acted on the sent recommendations to the greatest extent.</w:t>
      </w:r>
    </w:p>
    <w:p w14:paraId="2F259691" w14:textId="77777777" w:rsidR="00B37F05" w:rsidRPr="00D06E2E" w:rsidRDefault="00B37F05" w:rsidP="00B37F05">
      <w:pPr>
        <w:pStyle w:val="CommentText"/>
        <w:spacing w:before="120" w:after="0" w:line="240" w:lineRule="auto"/>
        <w:jc w:val="both"/>
        <w:rPr>
          <w:rFonts w:ascii="Book Antiqua" w:eastAsia="Calibri" w:hAnsi="Book Antiqua" w:cs="Book Antiqua"/>
          <w:noProof/>
          <w:sz w:val="22"/>
          <w:szCs w:val="22"/>
          <w:lang w:val="sr-Latn-RS"/>
        </w:rPr>
      </w:pPr>
      <w:r w:rsidRPr="00D06E2E">
        <w:rPr>
          <w:rFonts w:ascii="Book Antiqua" w:eastAsia="Calibri" w:hAnsi="Book Antiqua" w:cs="Book Antiqua"/>
          <w:noProof/>
          <w:sz w:val="22"/>
          <w:szCs w:val="22"/>
          <w:lang w:val="sr-Latn-RS"/>
        </w:rPr>
        <w:t>After the procedure of control of the legality and regularity of the work of the Penal – Correctional Institution in Sremska Mitrovica, the Protector of Citizens found omissions in the work of the institution because the medical examination of the convicted was not carried out in accordance with the applicable regulations and standards. The observed injuries were not photographed and drawn in a schematic view of the body, nor did the doctor inform the director of the institution about the convict's injuries, although the observed injuries could be a sign that violence was applied to the convict, which is all a prerequisite for determining whether the examined person was exposed to abuse. Also, the injuries found on the convicted person were not recorded in the Book of Injuries of Persons Deprived of Liberty. The Protector of Citizens took the position that the injuries described by the doctor in the medical examination report occurred while the complainant was in power and under the control of the institution, and that the complainant's right to inviolability of physical and mental integrity was thus violated. In this regard, the Protector of Citizens sent a Report on the case with recommendations to the Penal – Correctional Institution in Sremska Mitrovica in order to eliminate the identified irregularities in the work, as well as with the aim of improving the work of the administrative authority and preventing similar omissions in the future</w:t>
      </w:r>
      <w:r w:rsidRPr="00D06E2E">
        <w:rPr>
          <w:rStyle w:val="FootnoteReference"/>
          <w:rFonts w:cs="Arial"/>
          <w:spacing w:val="3"/>
          <w:sz w:val="22"/>
          <w:szCs w:val="22"/>
          <w:lang w:val="sr-Latn-RS"/>
        </w:rPr>
        <w:footnoteReference w:id="116"/>
      </w:r>
      <w:r w:rsidRPr="00D06E2E">
        <w:rPr>
          <w:rFonts w:ascii="Book Antiqua" w:eastAsia="Calibri" w:hAnsi="Book Antiqua" w:cs="Book Antiqua"/>
          <w:noProof/>
          <w:sz w:val="22"/>
          <w:szCs w:val="22"/>
          <w:lang w:val="sr-Latn-RS"/>
        </w:rPr>
        <w:t>. All recommendations sent have been acted upon.</w:t>
      </w:r>
    </w:p>
    <w:p w14:paraId="500DF9CA" w14:textId="77777777" w:rsidR="00B37F05" w:rsidRPr="00D06E2E" w:rsidRDefault="00B37F05" w:rsidP="00B37F05">
      <w:pPr>
        <w:shd w:val="clear" w:color="auto" w:fill="FFFFFF"/>
        <w:spacing w:before="120"/>
        <w:rPr>
          <w:rFonts w:eastAsia="Times New Roman" w:cs="Arial"/>
          <w:spacing w:val="3"/>
          <w:lang w:val="sr-Latn-RS"/>
        </w:rPr>
      </w:pPr>
      <w:r w:rsidRPr="00D06E2E">
        <w:rPr>
          <w:rFonts w:eastAsia="Times New Roman" w:cs="Arial"/>
          <w:spacing w:val="3"/>
          <w:lang w:val="sr-Latn-RS"/>
        </w:rPr>
        <w:t xml:space="preserve">After the investigation procedure against the District Prison in Belgrade, the Protector of Citizens determined that the complainant's right to inviolability of physical and mental integrity was violated because during his stay in custody, a medical examination revealed two injuries that, according to the opinion of a forensic medicine specialist, could have been caused by at least two independent hits with a blunt mechanical tool with a smooth and relatively narrow effective surface, which can also include hits with a rubber bat. Although immediately after learning about the violations and allegations of the detainee, the institution took actions aimed at investigating the incident, carried out disciplinary procedures in which individual responsibility could not be established in the specific case, and then forwarded all the documentation for further processing to the competent public </w:t>
      </w:r>
      <w:r w:rsidRPr="00D06E2E">
        <w:rPr>
          <w:rFonts w:eastAsia="Times New Roman" w:cs="Arial"/>
          <w:spacing w:val="3"/>
          <w:lang w:val="sr-Latn-RS"/>
        </w:rPr>
        <w:lastRenderedPageBreak/>
        <w:t>prosecutor's office, the Protector of Citizens stated position that it was necessary and without delay to isolate the available videos from the corridor, in front of the room where, according to the complainant, the event in question took place, as well as the videos from the corridor where he was taken to medical examinations and then to another remand department. Also, the Protector of Citizens stated that the medical examination during which the injuries were observed was not carried out in accordance with the rules established by the Istanbul Protocol because the injuries were not photographed, which would contribute to determining the time of inflicting the injuries and would be important for determining the factual situation in the disciplinary proceedings. The Protector of Citizens sent the Report on the case with recommendations to the administrative authorities in order to eliminate deficiencies and to improve work and prevent similar omissions in the future</w:t>
      </w:r>
      <w:r w:rsidRPr="00D06E2E">
        <w:rPr>
          <w:rStyle w:val="FootnoteReference"/>
          <w:rFonts w:eastAsia="Times New Roman" w:cs="Arial"/>
          <w:spacing w:val="3"/>
          <w:lang w:val="sr-Latn-RS"/>
        </w:rPr>
        <w:footnoteReference w:id="117"/>
      </w:r>
      <w:r w:rsidRPr="00D06E2E">
        <w:rPr>
          <w:rFonts w:eastAsia="Times New Roman" w:cs="Arial"/>
          <w:spacing w:val="3"/>
          <w:lang w:val="sr-Latn-RS"/>
        </w:rPr>
        <w:t>. The recommendations were acted upon.</w:t>
      </w:r>
    </w:p>
    <w:p w14:paraId="43348E4D" w14:textId="77777777" w:rsidR="00B37F05" w:rsidRPr="00D06E2E" w:rsidRDefault="00B37F05" w:rsidP="00B37F05">
      <w:pPr>
        <w:pStyle w:val="NormalWeb"/>
        <w:shd w:val="clear" w:color="auto" w:fill="FFFFFF"/>
        <w:spacing w:before="0" w:beforeAutospacing="0" w:after="0" w:afterAutospacing="0"/>
        <w:jc w:val="both"/>
        <w:rPr>
          <w:rFonts w:ascii="Book Antiqua" w:hAnsi="Book Antiqua" w:cs="Arial"/>
          <w:spacing w:val="3"/>
          <w:sz w:val="22"/>
          <w:szCs w:val="22"/>
          <w:lang w:val="sr-Latn-RS"/>
        </w:rPr>
      </w:pPr>
      <w:r w:rsidRPr="00D06E2E">
        <w:rPr>
          <w:rFonts w:ascii="Book Antiqua" w:hAnsi="Book Antiqua" w:cs="Arial"/>
          <w:spacing w:val="3"/>
          <w:sz w:val="22"/>
          <w:szCs w:val="22"/>
          <w:lang w:val="sr-Latn-RS"/>
        </w:rPr>
        <w:t>Prison in Novi Sad acted improperly because it did not allow the complainant to carry out the approved visit in a separate room, despite the fact that the acting judge - the president of the panel did not withdraw the approval given for the visit in question. The Protector of Citizens had in mind that, according to the current legal provisions, visits are approved and prohibited by the judge for the preliminary proceedings or the president of the panel, depending on the stage of the proceedings, and they are organized and provided by the administrative authority, i.e. the institution where the detention measure is carried out, and that, when the authorized acting judge assesses that the interests of the criminal proceedings are not threatened by the approved type of visit, it is up to the institution to take appropriate security and other measures, actions and activities for the purpose of realizing such a visit. The Protector of Citizens sent a Report on the case with recommendations to the administrative authority in order to eliminate deficiencies and to improve work and prevent similar omissions in the future</w:t>
      </w:r>
      <w:r w:rsidRPr="00D06E2E">
        <w:rPr>
          <w:rStyle w:val="FootnoteReference"/>
          <w:rFonts w:cs="Arial"/>
          <w:spacing w:val="3"/>
          <w:sz w:val="22"/>
          <w:szCs w:val="22"/>
          <w:lang w:val="sr-Latn-RS"/>
        </w:rPr>
        <w:footnoteReference w:id="118"/>
      </w:r>
      <w:r w:rsidRPr="00D06E2E">
        <w:rPr>
          <w:rFonts w:ascii="Book Antiqua" w:hAnsi="Book Antiqua" w:cs="Arial"/>
          <w:spacing w:val="3"/>
          <w:sz w:val="22"/>
          <w:szCs w:val="22"/>
          <w:lang w:val="sr-Latn-RS"/>
        </w:rPr>
        <w:t>. The recommendations were acted upon, and the complainant was granted the visit in question within a very short period of time.</w:t>
      </w:r>
    </w:p>
    <w:p w14:paraId="52440A98" w14:textId="77777777" w:rsidR="00B37F05" w:rsidRPr="00D06E2E" w:rsidRDefault="00B37F05" w:rsidP="00B37F05">
      <w:pPr>
        <w:pStyle w:val="CommentText"/>
        <w:spacing w:before="120" w:after="120" w:line="240" w:lineRule="auto"/>
        <w:jc w:val="both"/>
        <w:rPr>
          <w:rFonts w:ascii="Book Antiqua" w:hAnsi="Book Antiqua"/>
          <w:sz w:val="22"/>
          <w:szCs w:val="22"/>
          <w:lang w:val="sr-Latn-RS"/>
        </w:rPr>
      </w:pPr>
      <w:r w:rsidRPr="00D06E2E">
        <w:rPr>
          <w:rFonts w:ascii="Book Antiqua" w:hAnsi="Book Antiqua"/>
          <w:sz w:val="22"/>
          <w:szCs w:val="22"/>
          <w:lang w:val="sr-Latn-RS"/>
        </w:rPr>
        <w:t>In this reporting period, the Protector of Citizens recorded a lower number of received complaints about police behavior compared to the previous reporting period. After the procedure of monitoring the work of the Ministry of Interior, the Police Directorate, the Police Department for the City of Belgrade, the Zemun Police Station, which was initiated by the Protector of Citizens at the end of the previous reporting period, it was established in this reporting period that the illegal actions of the police officers of the Zemun Police Station violated the rights of citizens to the inviolability of physical and psychological integrity and the right to dignity during his deprivation of liberty and stay in the Zemun Police Station, during which injuries were inflicted on his head and body. Taking the above position, the Protector of Citizens particularly took into account the fact that the doctor who examined the complainant at the time of his admission to the prison noted the injuries that the complainant claimed to have been inflicted by police officers, and that in his opinion on the cause-and-effect relationship between the observed injuries and the allegations about the manner in which they occurred, stated that the mechanism of injury corresponds to an objective finding. Bearing in mind the above, the Protector of Citizens took the position that the injuries described in the medical examination report upon admission to the prison were sustained by the complainant during the period when he was in power and under the control of the police.</w:t>
      </w:r>
    </w:p>
    <w:p w14:paraId="17575545" w14:textId="77777777" w:rsidR="00B37F05" w:rsidRPr="00D06E2E" w:rsidRDefault="00B37F05" w:rsidP="00B37F05">
      <w:pPr>
        <w:pStyle w:val="CommentText"/>
        <w:spacing w:before="120" w:after="120" w:line="240" w:lineRule="auto"/>
        <w:jc w:val="both"/>
        <w:rPr>
          <w:rFonts w:ascii="Book Antiqua" w:hAnsi="Book Antiqua"/>
          <w:sz w:val="22"/>
          <w:szCs w:val="22"/>
          <w:lang w:val="sr-Latn-RS"/>
        </w:rPr>
      </w:pPr>
      <w:r w:rsidRPr="00D06E2E">
        <w:rPr>
          <w:rFonts w:ascii="Book Antiqua" w:hAnsi="Book Antiqua"/>
          <w:sz w:val="22"/>
          <w:szCs w:val="22"/>
          <w:lang w:val="sr-Latn-RS"/>
        </w:rPr>
        <w:lastRenderedPageBreak/>
        <w:t>The Protector of Citizens sent a Report on the case with five recommendations to the administrative body in order to improve work and prevent similar omissions in the future</w:t>
      </w:r>
      <w:r w:rsidRPr="00D06E2E">
        <w:rPr>
          <w:rStyle w:val="FootnoteReference"/>
          <w:sz w:val="22"/>
          <w:szCs w:val="22"/>
          <w:lang w:val="sr-Latn-RS"/>
        </w:rPr>
        <w:footnoteReference w:id="119"/>
      </w:r>
      <w:r w:rsidRPr="00D06E2E">
        <w:rPr>
          <w:rFonts w:ascii="Book Antiqua" w:hAnsi="Book Antiqua"/>
          <w:sz w:val="22"/>
          <w:szCs w:val="22"/>
          <w:lang w:val="sr-Latn-RS"/>
        </w:rPr>
        <w:t>. Four recommendations were acted upon, and one was not, and the Protector of Citizens drew attention to the provisions of Article 203 of the Law on Police, which stipulate that responsibility for a criminal offense as well as misdemeanor responsibility do not simultaneously exclude disciplinary responsibility for the same action that is the subject of disciplinary proceedings. if the action of a criminal offense and a misdemeanor procedure also constitutes a violation of official duty, as well as that exemption from criminal and misdemeanor responsibility does not constitute exemption from disciplinary responsibility that had the same action as the subject if the action is also qualified as a violation of official duty.</w:t>
      </w:r>
    </w:p>
    <w:p w14:paraId="0C6EE8B3" w14:textId="77777777" w:rsidR="00B37F05" w:rsidRPr="00D06E2E" w:rsidRDefault="00B37F05" w:rsidP="00B37F05">
      <w:pPr>
        <w:pStyle w:val="CommentText"/>
        <w:spacing w:after="120" w:line="240" w:lineRule="auto"/>
        <w:jc w:val="both"/>
        <w:rPr>
          <w:rFonts w:ascii="Book Antiqua" w:hAnsi="Book Antiqua"/>
          <w:sz w:val="22"/>
          <w:szCs w:val="22"/>
          <w:lang w:val="sr-Latn-RS"/>
        </w:rPr>
      </w:pPr>
      <w:r w:rsidRPr="00D06E2E">
        <w:rPr>
          <w:rFonts w:ascii="Book Antiqua" w:hAnsi="Book Antiqua"/>
          <w:sz w:val="22"/>
          <w:szCs w:val="22"/>
          <w:lang w:val="sr-Latn-RS"/>
        </w:rPr>
        <w:t>Also, in the process of controlling the legality and regularity of the work of the Ministry of Interior, the Police Directorate, the Police Administration for the City of Belgrade, the Police Station Železnik, the Protector of Citizens determined that the illegal actions of the police officers of the Police Station Železnik violated the citizen's right to inviolability of physical and mental integrity and the right to dignity. In this regard, the Protector of Citizens sent a Report on the case with six recommendations to the administrative body in order to improve work and prevent similar omissions in the future</w:t>
      </w:r>
      <w:r w:rsidRPr="00D06E2E">
        <w:rPr>
          <w:rStyle w:val="FootnoteReference"/>
          <w:sz w:val="22"/>
          <w:szCs w:val="22"/>
          <w:lang w:val="sr-Latn-RS"/>
        </w:rPr>
        <w:footnoteReference w:id="120"/>
      </w:r>
      <w:r w:rsidRPr="00D06E2E">
        <w:rPr>
          <w:rFonts w:ascii="Book Antiqua" w:hAnsi="Book Antiqua"/>
          <w:sz w:val="22"/>
          <w:szCs w:val="22"/>
          <w:lang w:val="sr-Latn-RS"/>
        </w:rPr>
        <w:t>. All recommendations have been acted upon.</w:t>
      </w:r>
    </w:p>
    <w:p w14:paraId="15E1CA16" w14:textId="77777777" w:rsidR="00B37F05" w:rsidRPr="00D06E2E" w:rsidRDefault="00B37F05" w:rsidP="00B37F05">
      <w:pPr>
        <w:pStyle w:val="NormalWeb"/>
        <w:spacing w:before="0" w:beforeAutospacing="0" w:after="0" w:afterAutospacing="0"/>
        <w:jc w:val="both"/>
        <w:rPr>
          <w:rFonts w:ascii="Book Antiqua" w:hAnsi="Book Antiqua"/>
          <w:sz w:val="22"/>
          <w:szCs w:val="22"/>
          <w:lang w:val="sr-Latn-RS"/>
        </w:rPr>
      </w:pPr>
      <w:r w:rsidRPr="00D06E2E">
        <w:rPr>
          <w:rFonts w:ascii="Book Antiqua" w:hAnsi="Book Antiqua"/>
          <w:sz w:val="22"/>
          <w:szCs w:val="22"/>
          <w:lang w:val="sr-Latn-RS"/>
        </w:rPr>
        <w:t>In the control procedure of the Ministry of the Interior, which the Protector of Citizens initiated on his own initiative, and after he learned from the media that police officers in the Reception Center for Migrants in Sombor beat two migrants with bats and used feet and hands, the Protector of Citizens by reviewing the video recording of the event in question, determined that the Ministry of Interior acted illegally towards two illegal immigrants, which was also determined by the Internal Control Department. However, according to the Internal Control Department, by reviewing the video recordings, as well as based on the conversation with the police officer who led the action and the police officers to whom the video recordings were presented, the identity of the police officers who acted illegally in the specific case could not be determined. On the other hand, it was not possible to determine the identity of the persons who were treated illegally by the police officers, bearing in mind that none of the migrants sought medical help at the Reception Center in Sombor after the event in question, and none of the migrants who were displaced to the reception center in Preševo neither complained about his injuries, nor were any injuries observed during the medical examination upon admission to the reception center. The Protector of Citizens sent a Report on the case with recommendations to the Police Directorate of the Ministry of Interior to send a clear message to the police officers of the Sombor Police Department that torture and other cruel, inhumane or degrading treatment or punishment is absolutely prohibited and a clear position that there will be zero tolerance in relation to such acts, as well as to conduct trainings for police officers of this institution on valid regulations and standards related to the treatment of persons deprived of liberty and the legal application of police powers. The deadline for commenting on the sent recommendations has not expired.</w:t>
      </w:r>
    </w:p>
    <w:p w14:paraId="1212642B" w14:textId="77777777" w:rsidR="00B37F05" w:rsidRPr="00D06E2E" w:rsidRDefault="00B37F05" w:rsidP="00B37F05">
      <w:pPr>
        <w:spacing w:before="120" w:after="0"/>
        <w:rPr>
          <w:lang w:val="sr-Latn-RS"/>
        </w:rPr>
      </w:pPr>
      <w:r w:rsidRPr="00D06E2E">
        <w:rPr>
          <w:lang w:val="sr-Latn-RS"/>
        </w:rPr>
        <w:t xml:space="preserve">As in previous years, the Protector of Citizens received a negligible number of complaints from persons deprived of their liberty regarding the work of psychiatric institutions and </w:t>
      </w:r>
      <w:r w:rsidRPr="00D06E2E">
        <w:rPr>
          <w:lang w:val="sr-Latn-RS"/>
        </w:rPr>
        <w:lastRenderedPageBreak/>
        <w:t>home-type social welfare institutions, but this cannot be considered a realistic indicator of the situation regarding respect for the rights of persons deprived of their liberty in these institutions. In the reporting period, the Protector of Citizens received a notification from the City Center for Social Work in Belgrade, Voždovac Department, that there are difficulties in securing accommodation in an appropriate social welfare institution for a beneficiary of the Center who was undergoing treatment at the "Dr. Laza Lazarević" Clinic for Psychiatric Diseases, and for whom discharge is planned because there are no medical reasons for continuing treatment. In this specific case, the Protector of Citizens asked the Ministry of Labour, Employment, Veterans and Social Policy to ensure that the beneficiary is taken care of in an appropriate social welfare institution as soon as possible, which was done.</w:t>
      </w:r>
    </w:p>
    <w:p w14:paraId="6699859C" w14:textId="77777777" w:rsidR="00B37F05" w:rsidRPr="00D06E2E" w:rsidRDefault="00B37F05" w:rsidP="00B37F05">
      <w:pPr>
        <w:tabs>
          <w:tab w:val="left" w:pos="900"/>
        </w:tabs>
        <w:spacing w:before="120"/>
        <w:rPr>
          <w:lang w:val="sr-Latn-RS"/>
        </w:rPr>
      </w:pPr>
      <w:r w:rsidRPr="00D06E2E">
        <w:rPr>
          <w:lang w:val="sr-Latn-RS"/>
        </w:rPr>
        <w:t xml:space="preserve">In the reporting period, the Protector of Citizens received one complaint concerning the position of migrants, i.e. asylum seekers in the Republic of Serbia, and after the completion of the investigative procedure, he found no grounds to conclude that there were illegalities and irregularities that violated the rights of the complainant in the manner described in the complaint. </w:t>
      </w:r>
    </w:p>
    <w:p w14:paraId="2AA79028" w14:textId="77777777" w:rsidR="00B37F05" w:rsidRPr="00D06E2E" w:rsidRDefault="00B37F05" w:rsidP="00B37F05">
      <w:pPr>
        <w:tabs>
          <w:tab w:val="left" w:pos="900"/>
        </w:tabs>
        <w:spacing w:before="120"/>
        <w:rPr>
          <w:lang w:val="sr-Latn-RS"/>
        </w:rPr>
      </w:pPr>
      <w:r w:rsidRPr="00D06E2E">
        <w:rPr>
          <w:lang w:val="sr-Latn-RS"/>
        </w:rPr>
        <w:t>In accordance with the submitted Opinion of the Protector of Citizens</w:t>
      </w:r>
      <w:r w:rsidRPr="00D06E2E">
        <w:rPr>
          <w:rStyle w:val="FootnoteReference"/>
          <w:lang w:val="sr-Latn-RS"/>
        </w:rPr>
        <w:footnoteReference w:id="121"/>
      </w:r>
      <w:r w:rsidRPr="00D06E2E">
        <w:rPr>
          <w:lang w:val="sr-Latn-RS"/>
        </w:rPr>
        <w:t>, the Ministry of Justice approached the closer normative regulation of the institute of importance for achieving the purpose of serving prison sentences in the Special Department</w:t>
      </w:r>
      <w:r w:rsidRPr="00D06E2E">
        <w:rPr>
          <w:rStyle w:val="FootnoteReference"/>
          <w:lang w:val="sr-Latn-RS"/>
        </w:rPr>
        <w:footnoteReference w:id="122"/>
      </w:r>
      <w:r w:rsidRPr="00D06E2E">
        <w:rPr>
          <w:lang w:val="sr-Latn-RS"/>
        </w:rPr>
        <w:t xml:space="preserve"> for Serving Prison Sentences for Criminal Offenses of Organized Crime and adopted the Rulebook on Amendments to the Rulebook on House Rules of the Special Department which entered into force on June 10, 2023. The provisions of that Rulebook, which supplemented the content of the program of action in the part of determining the individual goals of the convicted in a certain period, provided for the possibility of subsequent classification, i.e. of changing the program of action during the execution of the prison sentence in the Special Department in the part of determining the group, as well as the provisions that more closely regulate the granting of special rights and their scope within the groups, represent a systemic improvement of the normative framework in the area of execution of prison sentences for crimes of organized crime. In order to further improve the procedure in this part, in this reporting period, the Protector of Citizens referred to the Initiative for the amendment of Article 13a of the relevant Rulebook regarding the authorities competent and authorized to give opinions on the fulfillment of the conditions for advancement in treatment, i.e. for the possibility of granting special rights.</w:t>
      </w:r>
    </w:p>
    <w:p w14:paraId="79522A3E" w14:textId="77777777" w:rsidR="00B37F05" w:rsidRPr="00D06E2E" w:rsidRDefault="00B37F05" w:rsidP="00B37F05">
      <w:pPr>
        <w:rPr>
          <w:rFonts w:cs="Arial"/>
          <w:lang w:val="sr-Latn-RS"/>
        </w:rPr>
      </w:pPr>
      <w:r w:rsidRPr="00D06E2E">
        <w:rPr>
          <w:rFonts w:cs="Arial"/>
          <w:lang w:val="sr-Latn-RS"/>
        </w:rPr>
        <w:t>At the same time, bearing in mind that certain shortcomings in the provisions of the Law on the Execution of Prison Sentences for Criminal Offenses of Organized Crime contribute to the violation of the rights of convicted persons, the Protector of Citizens in this reporting period referred to the Initiative for amendments to the law in question</w:t>
      </w:r>
      <w:r w:rsidRPr="00D06E2E">
        <w:rPr>
          <w:rStyle w:val="FootnoteReference"/>
          <w:lang w:val="sr-Latn-RS"/>
        </w:rPr>
        <w:footnoteReference w:id="123"/>
      </w:r>
      <w:r w:rsidRPr="00D06E2E">
        <w:rPr>
          <w:rFonts w:cs="Arial"/>
          <w:lang w:val="sr-Latn-RS"/>
        </w:rPr>
        <w:t>, and bearing in mind the provisions of the Constitution, valid international standards in the treatment of persons deprived of liberty and the practice of international authorities that supervise their implementation.</w:t>
      </w:r>
    </w:p>
    <w:p w14:paraId="602B72F3" w14:textId="77777777" w:rsidR="00B37F05" w:rsidRPr="00D06E2E" w:rsidRDefault="00B37F05" w:rsidP="00B37F05">
      <w:pPr>
        <w:pStyle w:val="NormalWeb"/>
        <w:shd w:val="clear" w:color="auto" w:fill="FFFFFF"/>
        <w:spacing w:before="0" w:beforeAutospacing="0" w:after="0" w:afterAutospacing="0"/>
        <w:jc w:val="both"/>
        <w:rPr>
          <w:rFonts w:ascii="Book Antiqua" w:hAnsi="Book Antiqua" w:cs="Arial"/>
          <w:sz w:val="22"/>
          <w:szCs w:val="22"/>
          <w:lang w:val="sr-Latn-RS"/>
        </w:rPr>
      </w:pPr>
      <w:r w:rsidRPr="00D06E2E">
        <w:rPr>
          <w:rFonts w:ascii="Book Antiqua" w:hAnsi="Book Antiqua" w:cs="Arial"/>
          <w:sz w:val="22"/>
          <w:szCs w:val="22"/>
          <w:lang w:val="sr-Latn-RS"/>
        </w:rPr>
        <w:t xml:space="preserve">In this reporting period, the Deputy Protector of Citizens for the Protection of Human Rights and Freedoms and the Protection of the Rights of Persons Deprived of Liberty participated in the meetings of the Steering Committee of the project “Strengthening the Protection of Human Rights of Persons Deprived of Liberty and Convicted Persons in Serbia”, which is implemented within the framework of the European Union Program and of the Council of </w:t>
      </w:r>
      <w:r w:rsidRPr="00D06E2E">
        <w:rPr>
          <w:rFonts w:ascii="Book Antiqua" w:hAnsi="Book Antiqua" w:cs="Arial"/>
          <w:sz w:val="22"/>
          <w:szCs w:val="22"/>
          <w:lang w:val="sr-Latn-RS"/>
        </w:rPr>
        <w:lastRenderedPageBreak/>
        <w:t>Europe “Horizontal Facility for the Western Balkans and Turkey”. Also, as a member of the Management Board, she participated in the meetings of the Independent Police Complaints Authorities’ Network (IPCAN).</w:t>
      </w:r>
    </w:p>
    <w:p w14:paraId="7DE5B9CD" w14:textId="77777777" w:rsidR="00B37F05" w:rsidRPr="00D06E2E" w:rsidRDefault="00B37F05" w:rsidP="00B37F05">
      <w:pPr>
        <w:tabs>
          <w:tab w:val="left" w:pos="900"/>
        </w:tabs>
        <w:spacing w:before="120" w:after="0"/>
        <w:rPr>
          <w:lang w:val="sr-Latn-RS"/>
        </w:rPr>
      </w:pPr>
      <w:r w:rsidRPr="00D06E2E">
        <w:rPr>
          <w:lang w:val="sr-Latn-RS"/>
        </w:rPr>
        <w:t>The Deputy Protector of Citizens for the Protection of the Rights of Persons Deprived of Liberty participated in a number of social dialogues organized by the Ministry of Human and Minority Rights and Social Dialogue in the reporting period, which were dedicated to the resocialization and reintegration of former convicts, the problem of homelessness, the protection of mental of health. Also, at the invitation of the Institute for Criminological and Sociological Research and the Faculty of Special Education and Rehabilitation, she gave introductory presentations at a number of conferences and forums dedicated to the quality of prison life, the convict population, etc.</w:t>
      </w:r>
    </w:p>
    <w:p w14:paraId="7115F265" w14:textId="77777777" w:rsidR="00B37F05" w:rsidRPr="00D06E2E" w:rsidRDefault="00B37F05" w:rsidP="00B37F05">
      <w:pPr>
        <w:spacing w:after="0"/>
        <w:rPr>
          <w:rFonts w:cs="Times New Roman"/>
          <w:lang w:val="sr-Latn-RS"/>
        </w:rPr>
      </w:pPr>
      <w:r w:rsidRPr="00D06E2E">
        <w:rPr>
          <w:lang w:val="sr-Latn-RS"/>
        </w:rPr>
        <w:t>On the occasion of the International Human Rights Day, on December 10, 2023, the Deputy Protector of Citizens for the Protection of the Rights of Persons Deprived of Liberty received a certificate of appreciation from the Ministry of Human and Minority Rights and Social Dialogue for her special contribution and engagement in the protection of the human rights of the most vulnerable social groups and for her special support for social dialogue in the field of combating discrimination against persons who were deprived of their liberty.</w:t>
      </w:r>
    </w:p>
    <w:p w14:paraId="7200EF85" w14:textId="77777777" w:rsidR="00B37F05" w:rsidRPr="00D06E2E" w:rsidRDefault="00B37F05" w:rsidP="00B37F05">
      <w:pPr>
        <w:spacing w:after="0"/>
        <w:rPr>
          <w:rFonts w:cs="Times New Roman"/>
          <w:lang w:val="sr-Latn-RS"/>
        </w:rPr>
      </w:pPr>
    </w:p>
    <w:p w14:paraId="28F1B1A3" w14:textId="77777777" w:rsidR="00B37F05" w:rsidRPr="00D06E2E" w:rsidRDefault="00B37F05" w:rsidP="00B37F05">
      <w:pPr>
        <w:spacing w:after="0"/>
        <w:rPr>
          <w:rFonts w:cs="Times New Roman"/>
          <w:lang w:val="sr-Latn-RS"/>
        </w:rPr>
      </w:pPr>
    </w:p>
    <w:p w14:paraId="5B38787B" w14:textId="77777777" w:rsidR="00B37F05" w:rsidRPr="00D06E2E" w:rsidRDefault="00B37F05" w:rsidP="00B37F05">
      <w:pPr>
        <w:spacing w:after="0"/>
        <w:rPr>
          <w:rFonts w:cs="Times New Roman"/>
          <w:lang w:val="sr-Latn-RS"/>
        </w:rPr>
      </w:pPr>
    </w:p>
    <w:p w14:paraId="2072DE5A" w14:textId="77777777" w:rsidR="00B37F05" w:rsidRPr="00D06E2E" w:rsidRDefault="00B37F05" w:rsidP="00B37F05">
      <w:pPr>
        <w:spacing w:after="0"/>
        <w:jc w:val="left"/>
        <w:rPr>
          <w:rFonts w:cs="Times New Roman"/>
          <w:lang w:val="sr-Latn-RS"/>
        </w:rPr>
      </w:pPr>
      <w:r w:rsidRPr="00D06E2E">
        <w:rPr>
          <w:rFonts w:cs="Times New Roman"/>
          <w:lang w:val="sr-Latn-RS"/>
        </w:rPr>
        <w:br w:type="page"/>
      </w:r>
    </w:p>
    <w:p w14:paraId="71C8EA19" w14:textId="77777777" w:rsidR="00B37F05" w:rsidRPr="00D06E2E" w:rsidRDefault="00B37F05" w:rsidP="00B37F05">
      <w:pPr>
        <w:pStyle w:val="Heading3"/>
        <w:spacing w:before="120" w:after="0"/>
        <w:rPr>
          <w:lang w:val="sr-Latn-RS"/>
        </w:rPr>
      </w:pPr>
      <w:bookmarkStart w:id="54" w:name="_Toc66696317"/>
      <w:bookmarkEnd w:id="54"/>
      <w:r w:rsidRPr="00D06E2E">
        <w:rPr>
          <w:lang w:val="sr-Latn-RS"/>
        </w:rPr>
        <w:lastRenderedPageBreak/>
        <w:t>NATIONAL PREVENTIVE MECHANISM</w:t>
      </w:r>
    </w:p>
    <w:p w14:paraId="43C9C541" w14:textId="77777777" w:rsidR="00B37F05" w:rsidRPr="00D06E2E" w:rsidRDefault="00B37F05" w:rsidP="00B37F05">
      <w:pPr>
        <w:spacing w:after="0"/>
        <w:rPr>
          <w:rFonts w:cs="Arial"/>
          <w:lang w:val="sr-Latn-RS"/>
        </w:rPr>
      </w:pPr>
    </w:p>
    <w:p w14:paraId="2EA13857" w14:textId="77777777" w:rsidR="00B37F05" w:rsidRPr="00D06E2E" w:rsidRDefault="00B37F05" w:rsidP="00B37F05">
      <w:pPr>
        <w:jc w:val="center"/>
        <w:rPr>
          <w:bCs/>
          <w:sz w:val="24"/>
          <w:szCs w:val="24"/>
          <w:lang w:val="sr-Latn-RS"/>
        </w:rPr>
      </w:pPr>
      <w:r w:rsidRPr="00D06E2E">
        <w:rPr>
          <w:bCs/>
          <w:sz w:val="24"/>
          <w:szCs w:val="24"/>
          <w:lang w:val="sr-Latn-RS"/>
        </w:rPr>
        <w:t>ACTIVITIES OF THE NATIONAL PREVENTIVE MECHANISM</w:t>
      </w:r>
    </w:p>
    <w:p w14:paraId="79FB2064" w14:textId="77777777" w:rsidR="00B37F05" w:rsidRPr="00D06E2E" w:rsidRDefault="00B37F05" w:rsidP="00B37F05">
      <w:pPr>
        <w:rPr>
          <w:lang w:val="sr-Latn-RS"/>
        </w:rPr>
      </w:pPr>
      <w:r w:rsidRPr="00D06E2E">
        <w:rPr>
          <w:lang w:val="sr-Latn-RS"/>
        </w:rPr>
        <w:t xml:space="preserve">During the reporting period, the National Preventive Mechanism (hereinafter: NPM) paid 90 visits to the institutions which accommodate persons deprived of their liberty and 3 oversights of the investigations of coercive removals of foreign citizens. In total 59 visits were paid to police administrations, i.e. stations which are part of these, 15 to the institutes for the execution of criminal sanctions, six to the institutions of social welfare of home type and five to psychiatric institutions. Furthermore, five visits were paid with the aim of the oversight of the treatment of refugees and migrants. </w:t>
      </w:r>
    </w:p>
    <w:p w14:paraId="3216A4C6" w14:textId="77777777" w:rsidR="00B37F05" w:rsidRPr="00D06E2E" w:rsidRDefault="00B37F05" w:rsidP="00B37F05">
      <w:pPr>
        <w:rPr>
          <w:lang w:val="sr-Latn-RS"/>
        </w:rPr>
      </w:pPr>
      <w:r w:rsidRPr="00D06E2E">
        <w:rPr>
          <w:lang w:val="sr-Latn-RS"/>
        </w:rPr>
        <w:t xml:space="preserve">In the reporting period 32 reports on paid visits were executed. In individual cases unique reports for more visited institutions were executed, for the reasons of need for systemic comprehension of a certain problem. In compliance with this, 10 reports were executed on the basis of paid visits to police administrations and stations which are part of these, eight reports were executed on the basis of visits paid to institutes for the execution of criminal sanctions, eight reports were executed on the basis of visits paid to institutions of social welfare, two reports were executed on the basis of the visits to psychiatric clinics, whereas four reports refer to the treatment of migrants by competent authorities. </w:t>
      </w:r>
    </w:p>
    <w:p w14:paraId="29BC10EE" w14:textId="77777777" w:rsidR="00B37F05" w:rsidRPr="00D06E2E" w:rsidRDefault="00B37F05" w:rsidP="00B37F05">
      <w:pPr>
        <w:spacing w:after="0"/>
        <w:rPr>
          <w:lang w:val="sr-Latn-RS"/>
        </w:rPr>
      </w:pPr>
      <w:r w:rsidRPr="00D06E2E">
        <w:rPr>
          <w:lang w:val="sr-Latn-RS"/>
        </w:rPr>
        <w:t xml:space="preserve">In total, 234 recommendations were issued, on paid visits to locations where persons deprived of </w:t>
      </w:r>
      <w:r w:rsidRPr="00D06E2E">
        <w:rPr>
          <w:rFonts w:cs="Times New Roman"/>
          <w:lang w:val="sr-Latn-RS"/>
        </w:rPr>
        <w:t>their liberty</w:t>
      </w:r>
      <w:r w:rsidRPr="00D06E2E">
        <w:rPr>
          <w:lang w:val="sr-Latn-RS"/>
        </w:rPr>
        <w:t xml:space="preserve"> are or may be accommodated. </w:t>
      </w:r>
    </w:p>
    <w:p w14:paraId="2EE23B80" w14:textId="77777777" w:rsidR="00B37F05" w:rsidRPr="00D06E2E" w:rsidRDefault="00B37F05" w:rsidP="00B37F05">
      <w:pPr>
        <w:spacing w:after="0"/>
        <w:rPr>
          <w:sz w:val="16"/>
          <w:szCs w:val="16"/>
          <w:lang w:val="sr-Latn-RS"/>
        </w:rPr>
      </w:pPr>
    </w:p>
    <w:p w14:paraId="38116A74" w14:textId="77777777" w:rsidR="00B37F05" w:rsidRPr="00D06E2E" w:rsidRDefault="00B37F05" w:rsidP="00B37F05">
      <w:pPr>
        <w:spacing w:after="0"/>
        <w:rPr>
          <w:lang w:val="sr-Latn-RS"/>
        </w:rPr>
      </w:pPr>
      <w:r w:rsidRPr="00D06E2E">
        <w:rPr>
          <w:lang w:val="sr-Latn-RS"/>
        </w:rPr>
        <w:t>With the aim of the establishment of the continual dialogue with regards to potential measures of implementation of recommendations of the NPM and promotion of the cooperation in the area of torture prevention, individual meetings were held during the reporting period with the representatives of the Administration for the Enforcement of Penal Sanctions, Ministry of Interior and Ministry of Health.</w:t>
      </w:r>
    </w:p>
    <w:p w14:paraId="0F2DAC86" w14:textId="77777777" w:rsidR="00B37F05" w:rsidRPr="00D06E2E" w:rsidRDefault="00B37F05" w:rsidP="00B37F05">
      <w:pPr>
        <w:spacing w:after="0"/>
        <w:rPr>
          <w:sz w:val="14"/>
          <w:szCs w:val="14"/>
          <w:lang w:val="sr-Latn-RS"/>
        </w:rPr>
      </w:pPr>
    </w:p>
    <w:p w14:paraId="664055FD" w14:textId="77777777" w:rsidR="00B37F05" w:rsidRPr="00D06E2E" w:rsidRDefault="00B37F05" w:rsidP="00B37F05">
      <w:pPr>
        <w:rPr>
          <w:lang w:val="sr-Latn-RS"/>
        </w:rPr>
      </w:pPr>
      <w:r w:rsidRPr="00D06E2E">
        <w:rPr>
          <w:rFonts w:cstheme="minorHAnsi"/>
          <w:lang w:val="sr-Latn-RS"/>
        </w:rPr>
        <w:t>The NPM representatives participated in two meetings of the NPM Network of South-Eastern Europe chaired by the NPM of Greece. The first meeting was devoted to the monitoring of mental health departments in correctional institutions, and the second to the policies and practices of prison education, vocational trainings and skills development as a prisoner's right and a mean to support rehabilitation and reintegration into society.</w:t>
      </w:r>
    </w:p>
    <w:p w14:paraId="4D2FA56C" w14:textId="77777777" w:rsidR="00B37F05" w:rsidRPr="00D06E2E" w:rsidRDefault="00B37F05" w:rsidP="00B37F05">
      <w:pPr>
        <w:spacing w:after="0"/>
        <w:rPr>
          <w:rFonts w:cs="Arial"/>
          <w:lang w:val="sr-Latn-RS"/>
        </w:rPr>
      </w:pPr>
      <w:r w:rsidRPr="00D06E2E">
        <w:rPr>
          <w:rFonts w:cstheme="minorHAnsi"/>
          <w:lang w:val="sr-Latn-RS"/>
        </w:rPr>
        <w:t>Moreover, two meetings of the Working group for Asylum and Migrants of the European Network of National Human Rights Institutions (ENNHRI) were held and the NPM representative took part in them. In 2023, the work of the Working Group will focus on the impact of new technologies on human rights in migration.</w:t>
      </w:r>
    </w:p>
    <w:p w14:paraId="37EA0A42" w14:textId="77777777" w:rsidR="00B37F05" w:rsidRPr="00D06E2E" w:rsidRDefault="00B37F05" w:rsidP="00B37F05">
      <w:pPr>
        <w:spacing w:before="120" w:after="0"/>
        <w:rPr>
          <w:lang w:val="sr-Latn-RS" w:eastAsia="en-GB"/>
        </w:rPr>
      </w:pPr>
      <w:r w:rsidRPr="00D06E2E">
        <w:rPr>
          <w:lang w:val="sr-Latn-RS" w:eastAsia="en-GB"/>
        </w:rPr>
        <w:t>In terms of international cooperation, in the reporting period the NPM cooperated with the OSCE Mission, i.e. the Office for Democratic Institutions and Human Rights (ODIHR). Representatives of NPM participated in the regional workshop for Southeast Europe "Monitoring of detention and protection of human rights in preventing and combating violent extremism and radicalization leading to terrorism in prisons", which was held in Sarajevo, in Bosnia and Herzegovina, as well as at the Sixth regional meeting for National Prevention Mechanisms and Civil Society Organizations on "Mental Health in Custody", held in Copenhagen, Denmark. During 2023, the Dialogue on Migration, organized by Group 484 and the OSCE Mission in Serbia continued, and a representative of the NPM participated in two discussion forums.</w:t>
      </w:r>
    </w:p>
    <w:p w14:paraId="289860A4" w14:textId="77777777" w:rsidR="00B37F05" w:rsidRPr="00D06E2E" w:rsidRDefault="00B37F05" w:rsidP="00B37F05">
      <w:pPr>
        <w:pStyle w:val="CommentText"/>
        <w:spacing w:before="120" w:after="120" w:line="240" w:lineRule="auto"/>
        <w:jc w:val="both"/>
        <w:rPr>
          <w:rFonts w:ascii="Book Antiqua" w:hAnsi="Book Antiqua"/>
          <w:sz w:val="22"/>
          <w:szCs w:val="22"/>
          <w:lang w:val="sr-Latn-RS"/>
        </w:rPr>
      </w:pPr>
      <w:r w:rsidRPr="00D06E2E">
        <w:rPr>
          <w:rFonts w:ascii="Book Antiqua" w:hAnsi="Book Antiqua"/>
          <w:sz w:val="22"/>
          <w:szCs w:val="22"/>
          <w:lang w:val="sr-Latn-RS"/>
        </w:rPr>
        <w:lastRenderedPageBreak/>
        <w:t>Also, NPM representatives paid a study visit to the Frontex Office for Basic Rights in Warsaw, and participated in a meeting with Frontex representatives during their visit to the Republic of Serbia.</w:t>
      </w:r>
    </w:p>
    <w:p w14:paraId="78C0452C" w14:textId="77777777" w:rsidR="00B37F05" w:rsidRPr="00D06E2E" w:rsidRDefault="00B37F05" w:rsidP="00B37F05">
      <w:pPr>
        <w:pStyle w:val="CommentText"/>
        <w:spacing w:before="120" w:after="120" w:line="240" w:lineRule="auto"/>
        <w:jc w:val="both"/>
        <w:rPr>
          <w:rFonts w:ascii="Book Antiqua" w:hAnsi="Book Antiqua"/>
          <w:sz w:val="22"/>
          <w:szCs w:val="22"/>
          <w:lang w:val="sr-Latn-RS"/>
        </w:rPr>
      </w:pPr>
      <w:r w:rsidRPr="00D06E2E">
        <w:rPr>
          <w:rFonts w:ascii="Book Antiqua" w:hAnsi="Book Antiqua"/>
          <w:sz w:val="22"/>
          <w:szCs w:val="22"/>
          <w:lang w:val="sr-Latn-RS"/>
        </w:rPr>
        <w:t>The European Committee for the Prevention of Torture and Inhuman or Degrading Treatment or Punishment visited the Republic of Serbia in March 2023. The representatives of NPM held a meeting with the delegation of the committee before the visit to the institutions, and the Protector of Citizens, Zoran Pašalić, M.Sc., and the Deputy Protector attended the final meeting as well.</w:t>
      </w:r>
    </w:p>
    <w:p w14:paraId="032AA1C6" w14:textId="77777777" w:rsidR="00B37F05" w:rsidRPr="00D06E2E" w:rsidRDefault="00B37F05" w:rsidP="00B37F05">
      <w:pPr>
        <w:spacing w:after="0"/>
        <w:rPr>
          <w:lang w:val="sr-Latn-RS"/>
        </w:rPr>
      </w:pPr>
      <w:r w:rsidRPr="00D06E2E">
        <w:rPr>
          <w:lang w:val="sr-Latn-RS"/>
        </w:rPr>
        <w:t>In the reporting period, the Protector of Citizens continued cooperation with the Provincial Ombudsman and associations with which he concluded agreements on cooperation in the performance of NPM duties: Board for Human Rights Valjevo, Center for Youth Integration, Victimology Society of Serbia, Helsinki Committee for Human Rights in Serbia , Committee of Lawyers for Human Rights and Klikaktiv - Center for the Development of Social Policies.</w:t>
      </w:r>
    </w:p>
    <w:p w14:paraId="158CD4EA" w14:textId="77777777" w:rsidR="00B37F05" w:rsidRPr="00D06E2E" w:rsidRDefault="00B37F05" w:rsidP="00B37F05">
      <w:pPr>
        <w:spacing w:after="0"/>
        <w:rPr>
          <w:lang w:val="sr-Latn-RS"/>
        </w:rPr>
      </w:pPr>
    </w:p>
    <w:p w14:paraId="56D0E063" w14:textId="77777777" w:rsidR="00B37F05" w:rsidRPr="00D06E2E" w:rsidRDefault="00B37F05" w:rsidP="00B37F05">
      <w:pPr>
        <w:spacing w:after="0"/>
        <w:rPr>
          <w:rFonts w:cs="Arial"/>
          <w:lang w:val="sr-Latn-RS"/>
        </w:rPr>
      </w:pPr>
    </w:p>
    <w:p w14:paraId="263D1C78" w14:textId="77777777" w:rsidR="00B37F05" w:rsidRPr="00D06E2E" w:rsidRDefault="00B37F05" w:rsidP="00B37F05">
      <w:pPr>
        <w:jc w:val="center"/>
        <w:rPr>
          <w:bCs/>
          <w:sz w:val="24"/>
          <w:szCs w:val="24"/>
          <w:lang w:val="sr-Latn-RS"/>
        </w:rPr>
      </w:pPr>
      <w:r w:rsidRPr="00D06E2E">
        <w:rPr>
          <w:bCs/>
          <w:sz w:val="24"/>
          <w:szCs w:val="24"/>
          <w:lang w:val="sr-Latn-RS"/>
        </w:rPr>
        <w:t>FINDINGS OF THE NATIONAL PREVENTIVE MECHANISM</w:t>
      </w:r>
    </w:p>
    <w:p w14:paraId="1179EDA8" w14:textId="77777777" w:rsidR="00B37F05" w:rsidRPr="00D06E2E" w:rsidRDefault="00B37F05" w:rsidP="00B37F05">
      <w:pPr>
        <w:spacing w:after="0"/>
        <w:rPr>
          <w:lang w:val="sr-Latn-RS"/>
        </w:rPr>
      </w:pPr>
      <w:r w:rsidRPr="00D06E2E">
        <w:rPr>
          <w:rFonts w:eastAsia="Times New Roman" w:cs="Times New Roman"/>
          <w:lang w:val="sr-Latn-RS"/>
        </w:rPr>
        <w:t>During this reporting period, the NPM paid special attention to visits to police administrations and police stations which are part of these in order to monitor the treatment of brought and detained persons in connection with the respect of basic rights which are also a guarantee against abuse: the right to access to a lawyer and a doctor, the right to inform a close person about the deprivation of liberty and acquaint them with their rights. At the same time, the NPM visited the detention facilities in order to check whether they are in accordance with the prescribed conditions or valid standards. All visits were unannounced, and the cooperation of police officers with the NPM team in all visits was complete and professional. Also, during the visits to institutions for the execution of criminal sanctions, the NPM conducted interviews with detainees in order to collect information about the behavior of police officers towards them during detention, as well as during the application of other police powers.</w:t>
      </w:r>
    </w:p>
    <w:p w14:paraId="0D9EF324" w14:textId="77777777" w:rsidR="00B37F05" w:rsidRPr="00D06E2E" w:rsidRDefault="00B37F05" w:rsidP="00B37F05">
      <w:pPr>
        <w:spacing w:before="120" w:after="0"/>
        <w:rPr>
          <w:lang w:val="sr-Latn-RS"/>
        </w:rPr>
      </w:pPr>
      <w:r w:rsidRPr="00D06E2E">
        <w:rPr>
          <w:lang w:val="sr-Latn-RS"/>
        </w:rPr>
        <w:t>Also in this reporting period, the NPM notes progress regarding the realization of the rights of brought and detained persons, which is confirmed by written documentation, statements of police officers in charge of dealing with brought and detained persons, but also numerous statements of persons deprived of liberty with whom the NPM conducted interviews. Also, NPM did not come across cases where persons who requested medical assistance before or during their detention were not provided with it.</w:t>
      </w:r>
    </w:p>
    <w:p w14:paraId="25E26CE5" w14:textId="77777777" w:rsidR="00B37F05" w:rsidRPr="00D06E2E" w:rsidRDefault="00B37F05" w:rsidP="00B37F05">
      <w:pPr>
        <w:pStyle w:val="CommentText"/>
        <w:spacing w:before="120" w:after="0" w:line="240" w:lineRule="auto"/>
        <w:jc w:val="both"/>
        <w:rPr>
          <w:rFonts w:ascii="Book Antiqua" w:eastAsia="Calibri" w:hAnsi="Book Antiqua" w:cs="Book Antiqua"/>
          <w:sz w:val="22"/>
          <w:szCs w:val="22"/>
          <w:lang w:val="sr-Latn-RS"/>
        </w:rPr>
      </w:pPr>
      <w:r w:rsidRPr="00D06E2E">
        <w:rPr>
          <w:rFonts w:ascii="Book Antiqua" w:eastAsia="Calibri" w:hAnsi="Book Antiqua" w:cs="Book Antiqua"/>
          <w:sz w:val="22"/>
          <w:szCs w:val="22"/>
          <w:lang w:val="sr-Latn-RS"/>
        </w:rPr>
        <w:t>Acting on the recommendations of the NPM, in the largest number of visited police stations, the records kept in the police stations for detained persons were improved, where the recording of the exercise of the rights of brought and detained persons to access to a defense lawyer was especially improved, in such a way that the police stations record data about the defense lawyer, the time when he was contacted, the time when he approached the brought and detained person and the time when he had a confidential conversation with the person.</w:t>
      </w:r>
    </w:p>
    <w:p w14:paraId="7A78453C" w14:textId="77777777" w:rsidR="00B37F05" w:rsidRPr="00D06E2E" w:rsidRDefault="00B37F05" w:rsidP="00B37F05">
      <w:pPr>
        <w:pStyle w:val="CommentText"/>
        <w:spacing w:before="120" w:after="120" w:line="240" w:lineRule="auto"/>
        <w:jc w:val="both"/>
        <w:rPr>
          <w:rFonts w:ascii="Book Antiqua" w:hAnsi="Book Antiqua"/>
          <w:sz w:val="22"/>
          <w:szCs w:val="22"/>
          <w:lang w:val="sr-Latn-RS"/>
        </w:rPr>
      </w:pPr>
      <w:r w:rsidRPr="00D06E2E">
        <w:rPr>
          <w:rFonts w:ascii="Book Antiqua" w:hAnsi="Book Antiqua"/>
          <w:sz w:val="22"/>
          <w:szCs w:val="22"/>
          <w:lang w:val="sr-Latn-RS"/>
        </w:rPr>
        <w:t>Further efforts should be focused on the continuation of adaptation of existing and construction of new detention premises, in accordance with current standards.</w:t>
      </w:r>
    </w:p>
    <w:p w14:paraId="730509E7" w14:textId="77777777" w:rsidR="00B37F05" w:rsidRPr="00D06E2E" w:rsidRDefault="00B37F05" w:rsidP="00B37F05">
      <w:pPr>
        <w:pStyle w:val="CommentText"/>
        <w:spacing w:before="120" w:after="120" w:line="240" w:lineRule="auto"/>
        <w:jc w:val="both"/>
        <w:rPr>
          <w:rFonts w:ascii="Book Antiqua" w:hAnsi="Book Antiqua"/>
          <w:sz w:val="22"/>
          <w:szCs w:val="22"/>
          <w:lang w:val="sr-Latn-RS"/>
        </w:rPr>
      </w:pPr>
      <w:r w:rsidRPr="00D06E2E">
        <w:rPr>
          <w:rFonts w:ascii="Book Antiqua" w:hAnsi="Book Antiqua"/>
          <w:sz w:val="22"/>
          <w:szCs w:val="22"/>
          <w:lang w:val="sr-Latn-RS"/>
        </w:rPr>
        <w:t xml:space="preserve">During the visits, the NPM conducted interviews with nearly 200 persons deprived of their liberty, both imprisoned and detained persons, about the behavior of police officers towards them during deprivation of liberty, during detention, as well as during the application of other police powers. In this regard, the fact that during these visits the largest number of interviewed persons did not complain about the behavior of police officers and the possibility </w:t>
      </w:r>
      <w:r w:rsidRPr="00D06E2E">
        <w:rPr>
          <w:rFonts w:ascii="Book Antiqua" w:hAnsi="Book Antiqua"/>
          <w:sz w:val="22"/>
          <w:szCs w:val="22"/>
          <w:lang w:val="sr-Latn-RS"/>
        </w:rPr>
        <w:lastRenderedPageBreak/>
        <w:t>of exercising their rights is encouraging, and that an inspection of the documentation established that these rights are respected in the majority of cases.</w:t>
      </w:r>
    </w:p>
    <w:p w14:paraId="2359CD8B" w14:textId="77777777" w:rsidR="00B37F05" w:rsidRPr="00D06E2E" w:rsidRDefault="00B37F05" w:rsidP="00B37F05">
      <w:pPr>
        <w:pStyle w:val="CommentText"/>
        <w:spacing w:after="120" w:line="240" w:lineRule="auto"/>
        <w:jc w:val="both"/>
        <w:rPr>
          <w:rFonts w:ascii="Book Antiqua" w:hAnsi="Book Antiqua"/>
          <w:color w:val="00000A"/>
          <w:sz w:val="22"/>
          <w:szCs w:val="22"/>
          <w:lang w:val="sr-Latn-RS"/>
        </w:rPr>
      </w:pPr>
      <w:r w:rsidRPr="00D06E2E">
        <w:rPr>
          <w:rFonts w:ascii="Book Antiqua" w:hAnsi="Book Antiqua"/>
          <w:color w:val="00000A"/>
          <w:sz w:val="22"/>
          <w:szCs w:val="22"/>
          <w:lang w:val="sr-Latn-RS"/>
        </w:rPr>
        <w:t>During these visits, the NPM received some allegations of inadequate police behavior that occurred mainly during arrests, in the way that criminal inspectors punched them on the head and body, kicked them or slapped them several times. Although in most of these allegations it could not be determined that there was an illegal or excessive use of force or other illegal actions by police officers, because at the first medical examination after admission to the institution the person had no injuries or complained about them, the NPM in each in the report after the visit during which he received these allegations, he drew attention to the fact that police officers should be regularly instructed and reminded, including through appropriate training programs, that they must not use more force than necessary during arrests and that, when arrested persons are placed under control, there can be no justification for further use of force. Also, the NPM sent certain reports to the Commission for the Implementation of Standards of Police Conduct in the Field of Prevention of Torture of the Ministry of Internal Affairs in order to continue with the activities it undertakes in order to raise awareness of the prohibition of any form of inadequate treatment of persons deprived of their liberty.</w:t>
      </w:r>
    </w:p>
    <w:p w14:paraId="472F1341" w14:textId="77777777" w:rsidR="00B37F05" w:rsidRPr="00D06E2E" w:rsidRDefault="00B37F05" w:rsidP="00B37F05">
      <w:pPr>
        <w:pStyle w:val="NormalWeb"/>
        <w:shd w:val="clear" w:color="auto" w:fill="FFFFFF"/>
        <w:spacing w:before="0" w:beforeAutospacing="0" w:after="120" w:afterAutospacing="0"/>
        <w:jc w:val="both"/>
        <w:rPr>
          <w:rFonts w:ascii="Book Antiqua" w:hAnsi="Book Antiqua"/>
          <w:sz w:val="22"/>
          <w:szCs w:val="22"/>
          <w:lang w:val="sr-Latn-RS"/>
        </w:rPr>
      </w:pPr>
      <w:r w:rsidRPr="00D06E2E">
        <w:rPr>
          <w:rFonts w:ascii="Book Antiqua" w:hAnsi="Book Antiqua"/>
          <w:sz w:val="22"/>
          <w:szCs w:val="22"/>
          <w:lang w:val="sr-Latn-RS"/>
        </w:rPr>
        <w:t>During the reporting period, the NPM also monitored the police's treatment of persons who were arrested during the protests held in front of the Belgrade City Hall in December 2023. Police stations within the Police Administration for the City of Belgrade were visited, namely the Zemun Police Station, the New Belgrade Police Station, the Stari Grad Police Station and the headquarters of the Police Administration for the City of Belgrade. All visits were unannounced, and in addition to the representative of the Protector of Citizens, the NPM team also included a representative of the Committee of Lawyers for Human Rights.</w:t>
      </w:r>
    </w:p>
    <w:p w14:paraId="74028292" w14:textId="77777777" w:rsidR="00B37F05" w:rsidRPr="00D06E2E" w:rsidRDefault="00B37F05" w:rsidP="00B37F05">
      <w:pPr>
        <w:pStyle w:val="NormalWeb"/>
        <w:shd w:val="clear" w:color="auto" w:fill="FFFFFF"/>
        <w:spacing w:before="0" w:beforeAutospacing="0" w:after="0" w:afterAutospacing="0"/>
        <w:jc w:val="both"/>
        <w:rPr>
          <w:rFonts w:ascii="Book Antiqua" w:hAnsi="Book Antiqua"/>
          <w:sz w:val="22"/>
          <w:szCs w:val="22"/>
          <w:lang w:val="sr-Latn-RS"/>
        </w:rPr>
      </w:pPr>
      <w:r w:rsidRPr="00D06E2E">
        <w:rPr>
          <w:rFonts w:ascii="Book Antiqua" w:hAnsi="Book Antiqua"/>
          <w:sz w:val="22"/>
          <w:szCs w:val="22"/>
          <w:lang w:val="sr-Latn-RS"/>
        </w:rPr>
        <w:t>During the visits to the police stations, 14 detained persons were found with whom the NPM team conducted unsupervised interviews. Except for one person who stated that he was punched from behind and knocked to the floor, none of the other detained persons complained about the actions of the police officers during the deprivation of liberty, detention and application of police powers. Upon inspection of the documentation, and what was also confirmed in conversations with the detained persons, all persons were given notices of rights, decisions on detention and had the opportunity to contact a lawyer of their own choice, i.e. they were assigned a lawyer ex officio. For one person who stated that he was not able to inform a close person about the deprivation of liberty, the documentation stated that he did not want to inform anyone about it, while all other persons stated that they had the opportunity to inform a family member or a close person about the deprivation of liberty . For persons who needed a medical examination, it was possible. No person was admitted with visible injuries or complained of having sustained any injuries.</w:t>
      </w:r>
    </w:p>
    <w:p w14:paraId="1F5812B4" w14:textId="77777777" w:rsidR="00B37F05" w:rsidRPr="00D06E2E" w:rsidRDefault="00B37F05" w:rsidP="00B37F05">
      <w:pPr>
        <w:pStyle w:val="BodyText"/>
        <w:spacing w:before="120" w:after="120"/>
        <w:rPr>
          <w:color w:val="auto"/>
          <w:sz w:val="22"/>
          <w:szCs w:val="22"/>
          <w:lang w:val="sr-Latn-RS"/>
        </w:rPr>
      </w:pPr>
      <w:r w:rsidRPr="00D06E2E">
        <w:rPr>
          <w:color w:val="auto"/>
          <w:sz w:val="22"/>
          <w:szCs w:val="22"/>
          <w:lang w:val="sr-Latn-RS"/>
        </w:rPr>
        <w:t>During all visits to administrations for enforcement of penal sanctions that were unannounced, the cooperation of the management of the institutions and prison officials with the NPM team was also complete and professional.</w:t>
      </w:r>
    </w:p>
    <w:p w14:paraId="10D23A04" w14:textId="77777777" w:rsidR="00B37F05" w:rsidRPr="00D06E2E" w:rsidRDefault="00B37F05" w:rsidP="00B37F05">
      <w:pPr>
        <w:pStyle w:val="NormalWeb"/>
        <w:shd w:val="clear" w:color="auto" w:fill="FFFFFF"/>
        <w:spacing w:before="0" w:beforeAutospacing="0" w:after="120" w:afterAutospacing="0"/>
        <w:jc w:val="both"/>
        <w:rPr>
          <w:rFonts w:ascii="Book Antiqua" w:hAnsi="Book Antiqua" w:cs="Arial"/>
          <w:sz w:val="22"/>
          <w:szCs w:val="22"/>
          <w:lang w:val="sr-Latn-RS"/>
        </w:rPr>
      </w:pPr>
      <w:r w:rsidRPr="00D06E2E">
        <w:rPr>
          <w:rFonts w:ascii="Book Antiqua" w:hAnsi="Book Antiqua" w:cs="Arial"/>
          <w:sz w:val="22"/>
          <w:szCs w:val="22"/>
          <w:lang w:val="sr-Latn-RS"/>
        </w:rPr>
        <w:t xml:space="preserve">In this reporting period, the NPM conducted a control visit to the Penitentiary in Požarevac - Special Department for Serving Prison Sentences for Criminal Offenses of Organized Crime and stated that all the recommendations were acted upon, i.e. that the institution undertook numerous activities in order to improve the treatment of convicts. A Special Department got the areas for convicts to stay in the fresh air equipped with greenery and other forms of visual stimulation that humanized those areas. An informative document was created with practical information and activities in the Special Department, and the information about it was prominently displayed in the common rooms used by all convicted persons. Treatment programs for all convicts were additionally individualized in such a way that they were </w:t>
      </w:r>
      <w:r w:rsidRPr="00D06E2E">
        <w:rPr>
          <w:rFonts w:ascii="Book Antiqua" w:hAnsi="Book Antiqua" w:cs="Arial"/>
          <w:sz w:val="22"/>
          <w:szCs w:val="22"/>
          <w:lang w:val="sr-Latn-RS"/>
        </w:rPr>
        <w:lastRenderedPageBreak/>
        <w:t>harmonized with the risks and needs of each specific convict, and the treatment program was also reviewed. Finally, taking into account governance, efforts in the implementation of the program of action, i.e. the degree of implementation of the program of action, individual convicted persons who meet the conditions were subsequently classified into a more favorable educational group and granted special rights.</w:t>
      </w:r>
    </w:p>
    <w:p w14:paraId="6C086EE3" w14:textId="77777777" w:rsidR="00B37F05" w:rsidRPr="00D06E2E" w:rsidRDefault="00B37F05" w:rsidP="00B37F05">
      <w:pPr>
        <w:pStyle w:val="NormalWeb"/>
        <w:shd w:val="clear" w:color="auto" w:fill="FFFFFF"/>
        <w:spacing w:before="0" w:beforeAutospacing="0" w:after="120" w:afterAutospacing="0"/>
        <w:jc w:val="both"/>
        <w:rPr>
          <w:rFonts w:ascii="Book Antiqua" w:hAnsi="Book Antiqua" w:cs="Arial"/>
          <w:sz w:val="22"/>
          <w:szCs w:val="22"/>
          <w:lang w:val="sr-Latn-RS"/>
        </w:rPr>
      </w:pPr>
      <w:r w:rsidRPr="00D06E2E">
        <w:rPr>
          <w:rFonts w:ascii="Book Antiqua" w:hAnsi="Book Antiqua" w:cs="Arial"/>
          <w:sz w:val="22"/>
          <w:szCs w:val="22"/>
          <w:lang w:val="sr-Latn-RS"/>
        </w:rPr>
        <w:t>The visit to the District Prison in Smederevo was also a control visit and was carried out in order to monitor the implementation of 10 recommendations for eliminating perceived shortcomings and improving the treatment of persons deprived of their liberty referred to in the report on the visit to that institution from 2021. Acting on the recommendations of the NPM, the District Prison in Smederevo, among other things, started implementing appropriate procedures when excluding individual convicts from the regular regime of serving their sentence, i.e. separating them from the common regime of serving their sentence, and undertook activities to improve individual treatment work and the implementation of a specialized program for group work with psychoactive substance addicts. Also, when he determines an injury during the examination of a person deprived of his liberty, in the report on the performed examination, the doctor gives an opinion on the connection between the statements made by the person about the way the injuries occurred and the resulting injuries, draws the injuries in the body diagram and photographs the person. The recommendation of the Protector of Citizens, which was not acted upon, implies that convicted persons classified in a closed ward and detained persons should be allowed to spend at least two hours a day in the fresh air outside the closed premises, and the NPM will continue to monitor the way of proceeding according to this recommendation.</w:t>
      </w:r>
    </w:p>
    <w:p w14:paraId="1A92E697" w14:textId="77777777" w:rsidR="00B37F05" w:rsidRPr="00D06E2E" w:rsidRDefault="00B37F05" w:rsidP="00B37F05">
      <w:pPr>
        <w:pStyle w:val="BodyText"/>
        <w:spacing w:after="120"/>
        <w:rPr>
          <w:color w:val="auto"/>
          <w:sz w:val="22"/>
          <w:szCs w:val="22"/>
          <w:lang w:val="sr-Latn-RS"/>
        </w:rPr>
      </w:pPr>
      <w:r w:rsidRPr="00D06E2E">
        <w:rPr>
          <w:color w:val="auto"/>
          <w:sz w:val="22"/>
          <w:szCs w:val="22"/>
          <w:lang w:val="sr-Latn-RS"/>
        </w:rPr>
        <w:t>In the reporting period, the Thematic Report was sent from visits to institutions for the execution of criminal sanctions that were carried out in 2022 in order to monitor the treatment of persons deprived of their liberty who are in solitary confinement, i.e. in any form of isolation from other persons deprived of their liberty. From the response of the Administration for the Execution of Criminal Sanctions, it follows that the director of the Administration ordered all administrators of the institution to act in accordance with the recommendations sent, and the Inspection Department of the Administration to control the implementation of the NPM's recommendations from the thematic report when supervising the work of the institution.</w:t>
      </w:r>
    </w:p>
    <w:p w14:paraId="10A4E688" w14:textId="77777777" w:rsidR="00B37F05" w:rsidRPr="00D06E2E" w:rsidRDefault="00B37F05" w:rsidP="00B37F05">
      <w:pPr>
        <w:pStyle w:val="BodyText"/>
        <w:rPr>
          <w:color w:val="auto"/>
          <w:sz w:val="22"/>
          <w:szCs w:val="22"/>
          <w:lang w:val="sr-Latn-RS"/>
        </w:rPr>
      </w:pPr>
      <w:r w:rsidRPr="00D06E2E">
        <w:rPr>
          <w:color w:val="auto"/>
          <w:sz w:val="22"/>
          <w:szCs w:val="22"/>
          <w:lang w:val="sr-Latn-RS"/>
        </w:rPr>
        <w:t>In the reporting period, four thematic visits to institutions were carried out with the aim of checking the existence of torture and other cruel, inhuman or degrading punishments and procedures. During these visits, the persons deprived of their liberty with whom the NPM conducted interviews, in the largest number had no objections to the behavior of the institution's officials towards them. In the sent reports, the NPM pointed out that it is necessary to provide conditions for the employment of as many convicts as possible in the closed departments of the institution, as well as enough available purposeful activities. Also, the NPM pointed out that the measure of increased supervision should also include increased treatment activities of educators, both group and individual, and made a recommendation that prisons organize a program of treatment and purposeful activities and convicts to whom this special measure is applied include in the activities provided for in the action program. In the following period, NPM will monitor the manner in which this recommendation is acted upon.</w:t>
      </w:r>
    </w:p>
    <w:p w14:paraId="212CA150" w14:textId="77777777" w:rsidR="00B37F05" w:rsidRPr="00D06E2E" w:rsidRDefault="00B37F05" w:rsidP="00B37F05">
      <w:pPr>
        <w:pStyle w:val="CommentText"/>
        <w:spacing w:before="120" w:after="0" w:line="240" w:lineRule="auto"/>
        <w:jc w:val="both"/>
        <w:rPr>
          <w:rFonts w:ascii="Book Antiqua" w:hAnsi="Book Antiqua"/>
          <w:sz w:val="22"/>
          <w:szCs w:val="22"/>
          <w:lang w:val="sr-Latn-RS"/>
        </w:rPr>
      </w:pPr>
      <w:r w:rsidRPr="00D06E2E">
        <w:rPr>
          <w:rFonts w:ascii="Book Antiqua" w:hAnsi="Book Antiqua"/>
          <w:sz w:val="22"/>
          <w:szCs w:val="22"/>
          <w:lang w:val="sr-Latn-RS"/>
        </w:rPr>
        <w:t>There is still a need to provide sufficient available activities to all detained and convicted persons assigned to the closed departments of the institution, as well as to stay during the day in common rooms with other convicts, i.e. detainees with whom the court has not restricted their contact due to the conduct of criminal proceedings.</w:t>
      </w:r>
    </w:p>
    <w:p w14:paraId="48352C7D" w14:textId="77777777" w:rsidR="00B37F05" w:rsidRPr="00D06E2E" w:rsidRDefault="00B37F05" w:rsidP="00B37F05">
      <w:pPr>
        <w:tabs>
          <w:tab w:val="left" w:pos="720"/>
        </w:tabs>
        <w:spacing w:before="120" w:after="0"/>
        <w:rPr>
          <w:lang w:val="sr-Latn-RS"/>
        </w:rPr>
      </w:pPr>
      <w:r w:rsidRPr="00D06E2E">
        <w:rPr>
          <w:lang w:val="sr-Latn-RS"/>
        </w:rPr>
        <w:lastRenderedPageBreak/>
        <w:t>During the reporting period, the NPM made a systematic visit to the Special Prison Hospital in Belgrade and, among other things, found that the number of people in that institution significantly exceeds the accommodation capacity of this institution, that there is an insufficient number of employees, and that there are a large number of people from social reasons, i.e. due to the lack of adequate social acceptance and support in the community. In the visit report</w:t>
      </w:r>
      <w:r w:rsidRPr="00D06E2E">
        <w:rPr>
          <w:rStyle w:val="FootnoteReference"/>
          <w:lang w:val="sr-Latn-RS"/>
        </w:rPr>
        <w:footnoteReference w:id="124"/>
      </w:r>
      <w:r w:rsidRPr="00D06E2E">
        <w:rPr>
          <w:lang w:val="sr-Latn-RS"/>
        </w:rPr>
        <w:t>, the NPM drew the attention of the Administration for the Execution of Criminal Sanctions to the alarming situation in the Hospital in terms of overcrowding and lack of employees and pointed out that it is necessary to solve all the problems that this institution faces in its work without delay. Bearing in mind that the stated difficulties that exist in terms of the conditions and capacities required for the execution of safety measures of a medical nature are partly the result of deficiencies in the regulations, as well as for the better protection of citizens' rights and the implementation of the recommendations of the European Committee for the Prevention of Torture and Inhuman or Degrading Treatment or Punishment from the report on the visit to the Republic of Serbia in 2021, the Protector of Citizens in the performance of duties of the NPM will, in accordance with his powers, initiate the improvement of the normative framework with the aim of reforming security measures of a medical nature, so that the execution of these measures fulfills its purpose in each specific case through the improvement of health - mental state or elimination of addiction of a person, without violating one of the fundamental rights guaranteed by the Constitution.</w:t>
      </w:r>
    </w:p>
    <w:p w14:paraId="3AF89A9E" w14:textId="77777777" w:rsidR="00B37F05" w:rsidRPr="00D06E2E" w:rsidRDefault="00B37F05" w:rsidP="00B37F05">
      <w:pPr>
        <w:pStyle w:val="CommentText"/>
        <w:spacing w:before="120" w:after="0" w:line="240" w:lineRule="auto"/>
        <w:jc w:val="both"/>
        <w:rPr>
          <w:rFonts w:ascii="Book Antiqua" w:eastAsia="Calibri" w:hAnsi="Book Antiqua" w:cs="Book Antiqua"/>
          <w:sz w:val="22"/>
          <w:szCs w:val="22"/>
          <w:lang w:val="sr-Latn-RS"/>
        </w:rPr>
      </w:pPr>
      <w:r w:rsidRPr="00D06E2E">
        <w:rPr>
          <w:rFonts w:ascii="Book Antiqua" w:eastAsia="Calibri" w:hAnsi="Book Antiqua" w:cs="Book Antiqua"/>
          <w:sz w:val="22"/>
          <w:szCs w:val="22"/>
          <w:lang w:val="sr-Latn-RS"/>
        </w:rPr>
        <w:t>When it comes to visits to psychiatric institutions, five visits were made in the reporting period, two of which were the first systematic visits during which the NPM controlled the entire situation in the institution regarding the rights of persons deprived of their liberty. It was observed that it is necessary to undertake activities to improve the material conditions of accommodation in the visited institutions in order to fully comply with the current standards. Also, it was observed that often the individual treatment plans of patients are not individualized, they do not contain therapeutic and rehabilitation activities that will be carried out according to a specific patient, and not enough different modalities of psychosocial activities are organized for patients. Records on the application of measures of physical restraint of persons with mental disorders are in some cases incomplete and do not provide reliable data on the frequency of its application, duration and other significant data. In several cases, the NPM found that there were deficiencies in the reception and obtaining of the patient's consent to accommodation and hospital treatment, as well as the patient's informed consent to the medical measure. There is still a lack of continuous specialist education of secondary medical staff in the field of mental health and work with people with mental disorders, which can affect the quality of health care and psychosocial rehabilitation of patients. Also, there is a lack of special training for healthcare workers for the application of measures to physically restrain the patient.</w:t>
      </w:r>
    </w:p>
    <w:p w14:paraId="6E5065C1" w14:textId="77777777" w:rsidR="00B37F05" w:rsidRPr="00D06E2E" w:rsidRDefault="00B37F05" w:rsidP="00B37F05">
      <w:pPr>
        <w:pStyle w:val="CommentText"/>
        <w:spacing w:before="120" w:after="0" w:line="240" w:lineRule="auto"/>
        <w:jc w:val="both"/>
        <w:rPr>
          <w:rFonts w:ascii="Book Antiqua" w:hAnsi="Book Antiqua" w:cs="Arial"/>
          <w:spacing w:val="5"/>
          <w:sz w:val="22"/>
          <w:szCs w:val="22"/>
          <w:shd w:val="clear" w:color="auto" w:fill="FFFFFF"/>
          <w:lang w:val="sr-Latn-RS"/>
        </w:rPr>
      </w:pPr>
      <w:r w:rsidRPr="00D06E2E">
        <w:rPr>
          <w:rFonts w:ascii="Book Antiqua" w:hAnsi="Book Antiqua" w:cs="Arial"/>
          <w:spacing w:val="5"/>
          <w:sz w:val="22"/>
          <w:szCs w:val="22"/>
          <w:shd w:val="clear" w:color="auto" w:fill="FFFFFF"/>
          <w:lang w:val="sr-Latn-RS"/>
        </w:rPr>
        <w:t>On World Mental Health Day, the NPM visited the newly opened Center for Mental Health in Pančevo, a branch of the Special Hospital for Psychiatric Diseases "Kovin", which was formed on the recommendation of the NPM. The modern concept of the work of that center is aimed at prevention, preservation, post-hospital treatment of patients in the community and improvement of mental health in order to reach the highest standard of mental health, which includes, in addition to the right to protection from risk factors and the right to available, accessible and quality care and the right to freedom , independence and inclusion in the community.</w:t>
      </w:r>
    </w:p>
    <w:p w14:paraId="1D5C8C76" w14:textId="77777777" w:rsidR="00B37F05" w:rsidRPr="00D06E2E" w:rsidRDefault="00B37F05" w:rsidP="00B37F05">
      <w:pPr>
        <w:spacing w:before="120"/>
        <w:rPr>
          <w:lang w:val="sr-Latn-RS"/>
        </w:rPr>
      </w:pPr>
      <w:r w:rsidRPr="00D06E2E">
        <w:rPr>
          <w:lang w:val="sr-Latn-RS"/>
        </w:rPr>
        <w:t xml:space="preserve">Out of six visits to social welfare institutions of the home type, three visits were regular, two were control visits in order to monitor the actions according to the recommendations of the </w:t>
      </w:r>
      <w:r w:rsidRPr="00D06E2E">
        <w:rPr>
          <w:lang w:val="sr-Latn-RS"/>
        </w:rPr>
        <w:lastRenderedPageBreak/>
        <w:t>NPM, and one in order to monitor the actions according to the recommendations of the European Committee for the Prevention of Torture and Inhuman or Degrading Treatment or Punishment directed to the Republic of Serbia after the visit in 2021. During the visits, the NPM observed that there is still an evident lack of staff to work with beneficiaries, that bedridden and poorly mobile users often spend their time unstructured and without any daily activities and content, that in some of the visited institutions there are deficiencies in terms of user injury records and the manner in which they are occurrence as well as shortcomings in the handling of user complaints, bearing in mind that this procedure is not in accordance with the Law on the Rights of Beneficiaries of Temporary Housing Services in Social Welfare. In some institutions, it was noticed that there is no interest of the guardians in the centers for social work to be more actively involved in the life of the beneficiaries and take care of their interests, especially in situations where the residence of the beneficiary is far from the institution where he is placed and the competent center for social work is far away. from that institution. Finally, during the visits, the NPM noticed that employees in the visited institutions were not sufficiently familiar with the provisions of the new Law on the Rights of Beneficiaries of Temporary Housing Services in Social Welfare, and that even in this reporting period, no draft of the by-law regulating the behavior of institutions in incident situations.</w:t>
      </w:r>
    </w:p>
    <w:p w14:paraId="02853B5A" w14:textId="77777777" w:rsidR="00B37F05" w:rsidRPr="00D06E2E" w:rsidRDefault="00B37F05" w:rsidP="00B37F05">
      <w:pPr>
        <w:pStyle w:val="NormalWeb"/>
        <w:shd w:val="clear" w:color="auto" w:fill="FFFFFF"/>
        <w:spacing w:before="0" w:beforeAutospacing="0" w:after="120" w:afterAutospacing="0"/>
        <w:jc w:val="both"/>
        <w:rPr>
          <w:rFonts w:ascii="Book Antiqua" w:hAnsi="Book Antiqua" w:cs="Arial"/>
          <w:sz w:val="22"/>
          <w:szCs w:val="22"/>
          <w:lang w:val="sr-Latn-RS"/>
        </w:rPr>
      </w:pPr>
      <w:r w:rsidRPr="00D06E2E">
        <w:rPr>
          <w:rFonts w:ascii="Book Antiqua" w:hAnsi="Book Antiqua" w:cs="Arial"/>
          <w:sz w:val="22"/>
          <w:szCs w:val="22"/>
          <w:lang w:val="sr-Latn-RS"/>
        </w:rPr>
        <w:t>In this reporting period, the NPM paid special attention to the position of children in conflict with the law and in this connection made the first systematic visit to the Institute for the Education of Children and Youth in Niš and the Institute for the Education of Youth in Belgrade. In the response to the recommendations, the Institute for the Education of Children and Youth in Niš, among other things, informed the NPM that the priority will be to improve the conditions and quality of life of the beneficiaries in the institution, that a written information sheet will be prepared that will include all important information about the stay in the institution that will be handed over to beneficiaries upon admission, as well as that the institution will insist on continuous professional training and improvement of professional workers and associates.</w:t>
      </w:r>
    </w:p>
    <w:p w14:paraId="4C428CD0" w14:textId="77777777" w:rsidR="00B37F05" w:rsidRPr="00D06E2E" w:rsidRDefault="00B37F05" w:rsidP="00B37F05">
      <w:pPr>
        <w:pStyle w:val="Default"/>
        <w:spacing w:after="120"/>
        <w:jc w:val="both"/>
        <w:rPr>
          <w:rFonts w:ascii="Book Antiqua" w:hAnsi="Book Antiqua"/>
          <w:color w:val="auto"/>
          <w:sz w:val="22"/>
          <w:szCs w:val="22"/>
          <w:lang w:val="sr-Latn-RS"/>
        </w:rPr>
      </w:pPr>
      <w:r w:rsidRPr="00D06E2E">
        <w:rPr>
          <w:rFonts w:ascii="Book Antiqua" w:hAnsi="Book Antiqua"/>
          <w:color w:val="auto"/>
          <w:sz w:val="22"/>
          <w:szCs w:val="22"/>
          <w:lang w:val="sr-Latn-RS"/>
        </w:rPr>
        <w:t>In the reporting period, the NPM conducted a systematic visit to the newly opened Shelter for Foreigners in Plandište, as well as a regular visit to the Shelter for Foreigners in Padinska Skela. Also, two control visits were made to "Nikola Tesla" Airport in Belgrade, "Konstantin Veliki" Airport in Niš, while the visit to "Morava" Airport in Kraljevo was a regular visit.</w:t>
      </w:r>
    </w:p>
    <w:p w14:paraId="3020EC58" w14:textId="77777777" w:rsidR="00B37F05" w:rsidRPr="00D06E2E" w:rsidRDefault="00B37F05" w:rsidP="00B37F05">
      <w:pPr>
        <w:pStyle w:val="NormalWeb"/>
        <w:shd w:val="clear" w:color="auto" w:fill="FFFFFF"/>
        <w:spacing w:before="120" w:beforeAutospacing="0" w:after="120" w:afterAutospacing="0"/>
        <w:jc w:val="both"/>
        <w:rPr>
          <w:rFonts w:ascii="Book Antiqua" w:hAnsi="Book Antiqua" w:cs="Arial"/>
          <w:sz w:val="22"/>
          <w:szCs w:val="22"/>
          <w:lang w:val="sr-Latn-RS"/>
        </w:rPr>
      </w:pPr>
      <w:r w:rsidRPr="00D06E2E">
        <w:rPr>
          <w:rFonts w:ascii="Book Antiqua" w:hAnsi="Book Antiqua" w:cs="Arial"/>
          <w:sz w:val="22"/>
          <w:szCs w:val="22"/>
          <w:lang w:val="sr-Latn-RS"/>
        </w:rPr>
        <w:t>Acting on the recommendations of the NPM, measures were taken to ensure the conditions for the registration of foreigners who expressed their intention to apply for asylum, and information about legal aid providers was displayed in visible places in the premises for the accommodation of foreigners who were refused entry to the country.</w:t>
      </w:r>
    </w:p>
    <w:p w14:paraId="7A17C235" w14:textId="77777777" w:rsidR="00B37F05" w:rsidRPr="00D06E2E" w:rsidRDefault="00B37F05" w:rsidP="00B37F05">
      <w:pPr>
        <w:pStyle w:val="NormalWeb"/>
        <w:shd w:val="clear" w:color="auto" w:fill="FFFFFF"/>
        <w:spacing w:before="120" w:beforeAutospacing="0" w:after="120" w:afterAutospacing="0"/>
        <w:jc w:val="both"/>
        <w:rPr>
          <w:rFonts w:ascii="Book Antiqua" w:hAnsi="Book Antiqua" w:cs="Arial"/>
          <w:sz w:val="22"/>
          <w:szCs w:val="22"/>
          <w:lang w:val="sr-Latn-RS"/>
        </w:rPr>
      </w:pPr>
      <w:r w:rsidRPr="00D06E2E">
        <w:rPr>
          <w:rFonts w:ascii="Book Antiqua" w:hAnsi="Book Antiqua" w:cs="Arial"/>
          <w:sz w:val="22"/>
          <w:szCs w:val="22"/>
          <w:lang w:val="sr-Latn-RS"/>
        </w:rPr>
        <w:t>Acting on the recommendations of the NPM from the Report on the Visit to the Shelter for Foreigners in Padinska Skela, activities were undertaken with the aim of improving material conditions, and foreigners who, after establishing their identity, were found to be unable to be forcibly removed were released from the shelter and sent to centers in competence of the Commissariat for Refugees and Migration. The method of providing health care to foreigners will be subject to further monitoring by the NPM.</w:t>
      </w:r>
    </w:p>
    <w:p w14:paraId="7C826E13" w14:textId="77777777" w:rsidR="00B37F05" w:rsidRPr="00D06E2E" w:rsidRDefault="00B37F05" w:rsidP="00B37F05">
      <w:pPr>
        <w:pStyle w:val="NoSpacing"/>
        <w:jc w:val="center"/>
        <w:rPr>
          <w:rFonts w:ascii="Book Antiqua" w:hAnsi="Book Antiqua"/>
          <w:bCs/>
          <w:caps/>
          <w:sz w:val="24"/>
          <w:szCs w:val="24"/>
          <w:lang w:val="sr-Latn-RS"/>
        </w:rPr>
      </w:pPr>
    </w:p>
    <w:p w14:paraId="32C5D4CD" w14:textId="77777777" w:rsidR="00B37F05" w:rsidRPr="00D06E2E" w:rsidRDefault="00B37F05" w:rsidP="00B37F05">
      <w:pPr>
        <w:pStyle w:val="NoSpacing"/>
        <w:jc w:val="center"/>
        <w:rPr>
          <w:rFonts w:ascii="Book Antiqua" w:hAnsi="Book Antiqua"/>
          <w:bCs/>
          <w:caps/>
          <w:sz w:val="24"/>
          <w:szCs w:val="24"/>
          <w:lang w:val="sr-Latn-RS"/>
        </w:rPr>
      </w:pPr>
      <w:r w:rsidRPr="00D06E2E">
        <w:rPr>
          <w:rFonts w:ascii="Book Antiqua" w:hAnsi="Book Antiqua"/>
          <w:bCs/>
          <w:caps/>
          <w:sz w:val="24"/>
          <w:szCs w:val="24"/>
          <w:lang w:val="sr-Latn-RS"/>
        </w:rPr>
        <w:t>PROPOSALS FOR IMPROVING THE POSITION OF PERSONS DEPRIVED OF LIBERTY IN RELATION TO ADMINISTRATIVE AUTHORITIES</w:t>
      </w:r>
    </w:p>
    <w:p w14:paraId="6A8186B9" w14:textId="77777777" w:rsidR="00B37F05" w:rsidRPr="00D06E2E" w:rsidRDefault="00B37F05" w:rsidP="00B37F05">
      <w:pPr>
        <w:pStyle w:val="NoSpacing"/>
        <w:jc w:val="center"/>
        <w:rPr>
          <w:rFonts w:ascii="Book Antiqua" w:hAnsi="Book Antiqua"/>
          <w:bCs/>
          <w:caps/>
          <w:sz w:val="24"/>
          <w:szCs w:val="24"/>
          <w:lang w:val="sr-Latn-RS"/>
        </w:rPr>
      </w:pPr>
    </w:p>
    <w:p w14:paraId="061A67A3" w14:textId="77777777" w:rsidR="00B37F05" w:rsidRPr="00D06E2E" w:rsidRDefault="00B37F05" w:rsidP="00B37F05">
      <w:pPr>
        <w:numPr>
          <w:ilvl w:val="0"/>
          <w:numId w:val="12"/>
        </w:numPr>
        <w:ind w:left="709" w:hanging="349"/>
        <w:rPr>
          <w:rFonts w:cs="Times New Roman"/>
          <w:lang w:val="sr-Latn-RS"/>
        </w:rPr>
      </w:pPr>
      <w:r w:rsidRPr="00D06E2E">
        <w:rPr>
          <w:rFonts w:cs="Times New Roman"/>
          <w:b/>
          <w:lang w:val="sr-Latn-RS"/>
        </w:rPr>
        <w:t xml:space="preserve">The Ministry of Interior </w:t>
      </w:r>
      <w:r w:rsidRPr="00D06E2E">
        <w:rPr>
          <w:rFonts w:cs="Times New Roman"/>
          <w:lang w:val="sr-Latn-RS"/>
        </w:rPr>
        <w:t xml:space="preserve">should continue to implement activities within its competence for the adaptation of existing and construction of new detention facilities, in accordance with valid standards; </w:t>
      </w:r>
    </w:p>
    <w:p w14:paraId="3E06986E" w14:textId="77777777" w:rsidR="00B37F05" w:rsidRPr="00D06E2E" w:rsidRDefault="00B37F05" w:rsidP="00B37F05">
      <w:pPr>
        <w:numPr>
          <w:ilvl w:val="0"/>
          <w:numId w:val="12"/>
        </w:numPr>
        <w:ind w:left="426" w:hanging="426"/>
        <w:rPr>
          <w:rFonts w:cs="Times New Roman"/>
          <w:lang w:val="sr-Latn-RS"/>
        </w:rPr>
      </w:pPr>
      <w:r w:rsidRPr="00D06E2E">
        <w:rPr>
          <w:b/>
          <w:lang w:val="sr-Latn-RS"/>
        </w:rPr>
        <w:lastRenderedPageBreak/>
        <w:t>The Ministry of Interior</w:t>
      </w:r>
      <w:r w:rsidRPr="00D06E2E">
        <w:rPr>
          <w:lang w:val="sr-Latn-RS"/>
        </w:rPr>
        <w:t xml:space="preserve"> should ensure through continuous training that all police officers, when applying police powers, act in accordance with the law and other regulations and respect the standards set by the European Convention for the Protection of Human Rights and Fundamental Freedoms, the Basic Principles of the United Nations on the Use of Force and Firearms from by law enforcement officials, the European Code of Police Ethics and other international acts related to the police; </w:t>
      </w:r>
    </w:p>
    <w:p w14:paraId="1E1280FD" w14:textId="77777777" w:rsidR="00B37F05" w:rsidRPr="00D06E2E" w:rsidRDefault="00B37F05" w:rsidP="00B37F05">
      <w:pPr>
        <w:numPr>
          <w:ilvl w:val="0"/>
          <w:numId w:val="12"/>
        </w:numPr>
        <w:ind w:left="426" w:hanging="426"/>
        <w:rPr>
          <w:rFonts w:cs="Times New Roman"/>
          <w:lang w:val="sr-Latn-RS"/>
        </w:rPr>
      </w:pPr>
      <w:r w:rsidRPr="00D06E2E">
        <w:rPr>
          <w:rFonts w:cs="Arial"/>
          <w:b/>
          <w:lang w:val="sr-Latn-RS"/>
        </w:rPr>
        <w:t xml:space="preserve">The Ministry of Justice </w:t>
      </w:r>
      <w:r w:rsidRPr="00D06E2E">
        <w:rPr>
          <w:rFonts w:cs="Arial"/>
          <w:lang w:val="sr-Latn-RS"/>
        </w:rPr>
        <w:t>should, without further delay, carry out activities within its jurisdiction with the aim of harmonizing the provisions of the Criminal Code with the definition of torture from Article 1 of the United Nations Convention against Torture;</w:t>
      </w:r>
      <w:r w:rsidRPr="00D06E2E">
        <w:rPr>
          <w:rFonts w:cs="Arial"/>
          <w:b/>
          <w:lang w:val="sr-Latn-RS"/>
        </w:rPr>
        <w:t xml:space="preserve"> </w:t>
      </w:r>
    </w:p>
    <w:p w14:paraId="46EB3942" w14:textId="77777777" w:rsidR="00B37F05" w:rsidRPr="00D06E2E" w:rsidRDefault="00B37F05" w:rsidP="00B37F05">
      <w:pPr>
        <w:pStyle w:val="ListParagraph"/>
        <w:numPr>
          <w:ilvl w:val="0"/>
          <w:numId w:val="12"/>
        </w:numPr>
        <w:tabs>
          <w:tab w:val="left" w:pos="1260"/>
          <w:tab w:val="left" w:pos="7875"/>
        </w:tabs>
        <w:ind w:left="426" w:hanging="426"/>
        <w:rPr>
          <w:rFonts w:cs="Times New Roman"/>
          <w:lang w:val="sr-Latn-RS"/>
        </w:rPr>
      </w:pPr>
      <w:r w:rsidRPr="00D06E2E">
        <w:rPr>
          <w:rFonts w:cs="Times New Roman"/>
          <w:b/>
          <w:lang w:val="sr-Latn-RS"/>
        </w:rPr>
        <w:t xml:space="preserve">The Administration for the Enforcement of Penal Sanctions </w:t>
      </w:r>
      <w:r w:rsidRPr="00D06E2E">
        <w:rPr>
          <w:rFonts w:cs="Times New Roman"/>
          <w:lang w:val="sr-Latn-RS"/>
        </w:rPr>
        <w:t xml:space="preserve">should enable convicted persons assigned to closed prison departments and detainees to have enough available activities, as well as stay during the day in common rooms with other convicts, ie detainees with whom the court has not restricted their contact; </w:t>
      </w:r>
    </w:p>
    <w:p w14:paraId="49008087" w14:textId="77777777" w:rsidR="00B37F05" w:rsidRPr="00D06E2E" w:rsidRDefault="00B37F05" w:rsidP="00B37F05">
      <w:pPr>
        <w:pStyle w:val="ListParagraph"/>
        <w:numPr>
          <w:ilvl w:val="0"/>
          <w:numId w:val="12"/>
        </w:numPr>
        <w:tabs>
          <w:tab w:val="left" w:pos="1260"/>
          <w:tab w:val="left" w:pos="7875"/>
        </w:tabs>
        <w:ind w:left="426" w:hanging="426"/>
        <w:rPr>
          <w:rFonts w:cs="Times New Roman"/>
          <w:lang w:val="sr-Latn-RS"/>
        </w:rPr>
      </w:pPr>
      <w:r w:rsidRPr="00D06E2E">
        <w:rPr>
          <w:rFonts w:cs="Times New Roman"/>
          <w:b/>
          <w:lang w:val="sr-Latn-RS"/>
        </w:rPr>
        <w:t>The Administration for the Enforcement of Penal Sanctions</w:t>
      </w:r>
      <w:r w:rsidRPr="00D06E2E">
        <w:rPr>
          <w:b/>
          <w:lang w:val="sr-Latn-RS"/>
        </w:rPr>
        <w:t xml:space="preserve"> </w:t>
      </w:r>
      <w:r w:rsidRPr="00D06E2E">
        <w:rPr>
          <w:lang w:val="sr-Latn-RS"/>
        </w:rPr>
        <w:t xml:space="preserve">should continue with activities on the improvement of treatment work, in order to, among other things, create opportunities for convicts to transfer to a more favorable educational group; </w:t>
      </w:r>
    </w:p>
    <w:p w14:paraId="334F95EF" w14:textId="77777777" w:rsidR="00B37F05" w:rsidRPr="00D06E2E" w:rsidRDefault="00B37F05" w:rsidP="00B37F05">
      <w:pPr>
        <w:pStyle w:val="ListParagraph"/>
        <w:numPr>
          <w:ilvl w:val="0"/>
          <w:numId w:val="12"/>
        </w:numPr>
        <w:tabs>
          <w:tab w:val="left" w:pos="1260"/>
          <w:tab w:val="left" w:pos="7875"/>
        </w:tabs>
        <w:ind w:left="426" w:hanging="426"/>
        <w:rPr>
          <w:rFonts w:cs="Times New Roman"/>
          <w:lang w:val="sr-Latn-RS"/>
        </w:rPr>
      </w:pPr>
      <w:r w:rsidRPr="00D06E2E">
        <w:rPr>
          <w:rFonts w:cs="Times New Roman"/>
          <w:b/>
          <w:lang w:val="sr-Latn-RS"/>
        </w:rPr>
        <w:t>The Ministry of Health</w:t>
      </w:r>
      <w:r w:rsidRPr="00D06E2E">
        <w:rPr>
          <w:rFonts w:cs="Times New Roman"/>
          <w:lang w:val="sr-Latn-RS"/>
        </w:rPr>
        <w:t xml:space="preserve"> should continue to improve the material conditions for the accommodation of patients in those psychiatric institutions in which such conditions are not fully in line with current standards;</w:t>
      </w:r>
    </w:p>
    <w:p w14:paraId="0F37B1F7" w14:textId="77777777" w:rsidR="00B37F05" w:rsidRPr="00D06E2E" w:rsidRDefault="00B37F05" w:rsidP="00B37F05">
      <w:pPr>
        <w:pStyle w:val="ListParagraph"/>
        <w:numPr>
          <w:ilvl w:val="0"/>
          <w:numId w:val="12"/>
        </w:numPr>
        <w:tabs>
          <w:tab w:val="left" w:pos="1260"/>
          <w:tab w:val="left" w:pos="7875"/>
        </w:tabs>
        <w:ind w:left="426" w:hanging="426"/>
        <w:rPr>
          <w:rFonts w:cs="Times New Roman"/>
          <w:lang w:val="sr-Latn-RS"/>
        </w:rPr>
      </w:pPr>
      <w:r w:rsidRPr="00D06E2E">
        <w:rPr>
          <w:rFonts w:cs="Arial"/>
          <w:b/>
          <w:lang w:val="sr-Latn-RS"/>
        </w:rPr>
        <w:t xml:space="preserve">The Ministry of Health and the Ministry of Labour, Employment, Veterans and Social Policy </w:t>
      </w:r>
      <w:r w:rsidRPr="00D06E2E">
        <w:rPr>
          <w:rFonts w:cs="Arial"/>
          <w:lang w:val="sr-Latn-RS"/>
        </w:rPr>
        <w:t xml:space="preserve">should intensify their activities in order to implement effective deinstitutionalization; </w:t>
      </w:r>
    </w:p>
    <w:p w14:paraId="66B316C9" w14:textId="77777777" w:rsidR="00B37F05" w:rsidRPr="00D06E2E" w:rsidRDefault="00B37F05" w:rsidP="00B37F05">
      <w:pPr>
        <w:pStyle w:val="ListParagraph"/>
        <w:numPr>
          <w:ilvl w:val="0"/>
          <w:numId w:val="12"/>
        </w:numPr>
        <w:tabs>
          <w:tab w:val="left" w:pos="1260"/>
          <w:tab w:val="left" w:pos="7875"/>
        </w:tabs>
        <w:ind w:left="426" w:hanging="426"/>
        <w:rPr>
          <w:rFonts w:cs="Times New Roman"/>
          <w:lang w:val="sr-Latn-RS"/>
        </w:rPr>
      </w:pPr>
      <w:r w:rsidRPr="00D06E2E">
        <w:rPr>
          <w:b/>
          <w:lang w:val="sr-Latn-RS"/>
        </w:rPr>
        <w:t xml:space="preserve">The Ministry of Health </w:t>
      </w:r>
      <w:r w:rsidRPr="00D06E2E">
        <w:rPr>
          <w:lang w:val="sr-Latn-RS"/>
        </w:rPr>
        <w:t xml:space="preserve">should continue activities aimed at developing centers for the protection of mental health in the community, which will provide comprehensive mental health care, with the least possible restrictions and as close as possible to the place of residence, i.e. the patient's family; </w:t>
      </w:r>
    </w:p>
    <w:p w14:paraId="7F7E16D9" w14:textId="77777777" w:rsidR="00B37F05" w:rsidRPr="00D06E2E" w:rsidRDefault="00B37F05" w:rsidP="00B37F05">
      <w:pPr>
        <w:pStyle w:val="ListParagraph"/>
        <w:numPr>
          <w:ilvl w:val="0"/>
          <w:numId w:val="12"/>
        </w:numPr>
        <w:tabs>
          <w:tab w:val="left" w:pos="1260"/>
          <w:tab w:val="left" w:pos="7875"/>
        </w:tabs>
        <w:ind w:left="426" w:hanging="426"/>
        <w:rPr>
          <w:rFonts w:cs="Times New Roman"/>
          <w:lang w:val="sr-Latn-RS"/>
        </w:rPr>
      </w:pPr>
      <w:r w:rsidRPr="00D06E2E">
        <w:rPr>
          <w:b/>
          <w:bCs/>
          <w:color w:val="000000"/>
          <w:lang w:val="sr-Latn-RS"/>
        </w:rPr>
        <w:t xml:space="preserve">The Ministry of Health </w:t>
      </w:r>
      <w:r w:rsidRPr="00D06E2E">
        <w:rPr>
          <w:bCs/>
          <w:color w:val="000000"/>
          <w:lang w:val="sr-Latn-RS"/>
        </w:rPr>
        <w:t xml:space="preserve">should take measures within its competence in order to improve the application of the measure of physical restraint by tying patients in all health institutions where this measure is applied; </w:t>
      </w:r>
    </w:p>
    <w:p w14:paraId="233F9060" w14:textId="77777777" w:rsidR="00B37F05" w:rsidRPr="00D06E2E" w:rsidRDefault="00B37F05" w:rsidP="00B37F05">
      <w:pPr>
        <w:pStyle w:val="ListParagraph"/>
        <w:numPr>
          <w:ilvl w:val="0"/>
          <w:numId w:val="12"/>
        </w:numPr>
        <w:tabs>
          <w:tab w:val="left" w:pos="1260"/>
          <w:tab w:val="left" w:pos="7875"/>
        </w:tabs>
        <w:ind w:left="426" w:hanging="426"/>
        <w:rPr>
          <w:rFonts w:cs="Times New Roman"/>
          <w:lang w:val="sr-Latn-RS"/>
        </w:rPr>
      </w:pPr>
      <w:r w:rsidRPr="00D06E2E">
        <w:rPr>
          <w:rFonts w:cs="Times New Roman"/>
          <w:b/>
          <w:lang w:val="sr-Latn-RS"/>
        </w:rPr>
        <w:t>The Ministry of Labour, Employment, Veterans and Social Policy</w:t>
      </w:r>
      <w:r w:rsidRPr="00D06E2E">
        <w:rPr>
          <w:rFonts w:cs="Times New Roman"/>
          <w:lang w:val="sr-Latn-RS"/>
        </w:rPr>
        <w:t xml:space="preserve"> should improve the actions of centers for social work in terms of providing effective guardianship protection to beneficiaries in institutions;</w:t>
      </w:r>
    </w:p>
    <w:p w14:paraId="58926AFF" w14:textId="77777777" w:rsidR="00B37F05" w:rsidRPr="00D06E2E" w:rsidRDefault="00B37F05" w:rsidP="00B37F05">
      <w:pPr>
        <w:pStyle w:val="ListParagraph"/>
        <w:numPr>
          <w:ilvl w:val="0"/>
          <w:numId w:val="12"/>
        </w:numPr>
        <w:tabs>
          <w:tab w:val="left" w:pos="1260"/>
          <w:tab w:val="left" w:pos="7875"/>
        </w:tabs>
        <w:ind w:left="426" w:hanging="426"/>
        <w:rPr>
          <w:rFonts w:cs="Times New Roman"/>
          <w:lang w:val="sr-Latn-RS"/>
        </w:rPr>
      </w:pPr>
      <w:r w:rsidRPr="00D06E2E">
        <w:rPr>
          <w:rFonts w:cs="Times New Roman"/>
          <w:b/>
          <w:lang w:val="sr-Latn-RS"/>
        </w:rPr>
        <w:t>The Ministry of Labour, Employment, Veterans and Social Policy</w:t>
      </w:r>
      <w:r w:rsidRPr="00D06E2E">
        <w:rPr>
          <w:rFonts w:cs="Times New Roman"/>
          <w:lang w:val="sr-Latn-RS"/>
        </w:rPr>
        <w:t xml:space="preserve"> should prepare a Proposal for an Action Plan for the implementation of the Strategy of deinstitutionalization and development of social protection services in the community for the period 2022-2026;</w:t>
      </w:r>
    </w:p>
    <w:p w14:paraId="041F945A" w14:textId="77777777" w:rsidR="00B37F05" w:rsidRPr="00D06E2E" w:rsidRDefault="00B37F05" w:rsidP="00B37F05">
      <w:pPr>
        <w:numPr>
          <w:ilvl w:val="0"/>
          <w:numId w:val="12"/>
        </w:numPr>
        <w:tabs>
          <w:tab w:val="left" w:pos="1200"/>
        </w:tabs>
        <w:ind w:left="432" w:hanging="432"/>
        <w:rPr>
          <w:rFonts w:cs="Times New Roman"/>
          <w:lang w:val="sr-Latn-RS"/>
        </w:rPr>
      </w:pPr>
      <w:r w:rsidRPr="00D06E2E">
        <w:rPr>
          <w:rFonts w:cs="Times New Roman"/>
          <w:b/>
          <w:lang w:val="sr-Latn-RS"/>
        </w:rPr>
        <w:t xml:space="preserve">The Ministry of Labour, Employment, Veterans and Social Policy </w:t>
      </w:r>
      <w:r w:rsidRPr="00D06E2E">
        <w:rPr>
          <w:rFonts w:cs="Times New Roman"/>
          <w:lang w:val="sr-Latn-RS"/>
        </w:rPr>
        <w:t>should, in accordance with the Law on the Protection of the Rights of Beneficiaires of Temporary Accommodation Services in Social Welfare, pass a by-law regulating the manner and conditions of the institution's actions in incident situations;</w:t>
      </w:r>
    </w:p>
    <w:p w14:paraId="4A8B00C2" w14:textId="77777777" w:rsidR="00B37F05" w:rsidRPr="00D06E2E" w:rsidRDefault="00B37F05" w:rsidP="00B37F05">
      <w:pPr>
        <w:numPr>
          <w:ilvl w:val="0"/>
          <w:numId w:val="12"/>
        </w:numPr>
        <w:tabs>
          <w:tab w:val="left" w:pos="1200"/>
        </w:tabs>
        <w:ind w:left="432" w:hanging="432"/>
        <w:rPr>
          <w:rFonts w:cs="Times New Roman"/>
          <w:lang w:val="sr-Latn-RS"/>
        </w:rPr>
      </w:pPr>
      <w:r w:rsidRPr="00D06E2E">
        <w:rPr>
          <w:rFonts w:cs="Times New Roman"/>
          <w:b/>
          <w:lang w:val="sr-Latn-RS"/>
        </w:rPr>
        <w:t>The Ministry of Labour, Employment, Veterans and Social Policy</w:t>
      </w:r>
      <w:r w:rsidRPr="00D06E2E">
        <w:rPr>
          <w:rFonts w:cs="Times New Roman"/>
          <w:lang w:val="sr-Latn-RS"/>
        </w:rPr>
        <w:t xml:space="preserve">, </w:t>
      </w:r>
      <w:r w:rsidRPr="00D06E2E">
        <w:rPr>
          <w:rFonts w:cs="Times New Roman"/>
          <w:b/>
          <w:lang w:val="sr-Latn-RS"/>
        </w:rPr>
        <w:t>the Ministry of Health and the Administration for the Enforcement of Penal Sanctions</w:t>
      </w:r>
      <w:r w:rsidRPr="00D06E2E">
        <w:rPr>
          <w:rFonts w:cs="Times New Roman"/>
          <w:lang w:val="sr-Latn-RS"/>
        </w:rPr>
        <w:t xml:space="preserve"> should increase the number of employees in the bodies/institutions so that persons deprived of their liberty can be treated fully in accordance with regulations and standards.</w:t>
      </w:r>
    </w:p>
    <w:p w14:paraId="51A8F7EE" w14:textId="77777777" w:rsidR="00B37F05" w:rsidRPr="00D06E2E" w:rsidRDefault="00B37F05" w:rsidP="00B37F05">
      <w:pPr>
        <w:ind w:left="432"/>
        <w:rPr>
          <w:rFonts w:cs="Times New Roman"/>
          <w:lang w:val="sr-Latn-RS"/>
        </w:rPr>
      </w:pPr>
    </w:p>
    <w:p w14:paraId="5A3C3D0D" w14:textId="77777777" w:rsidR="00B37F05" w:rsidRPr="00D06E2E" w:rsidRDefault="00B37F05" w:rsidP="00B37F05">
      <w:pPr>
        <w:pStyle w:val="Heading2"/>
        <w:spacing w:before="0"/>
        <w:rPr>
          <w:lang w:val="sr-Latn-RS"/>
        </w:rPr>
      </w:pPr>
      <w:bookmarkStart w:id="55" w:name="_Toc161659205"/>
      <w:r w:rsidRPr="00D06E2E">
        <w:rPr>
          <w:lang w:val="sr-Latn-RS"/>
        </w:rPr>
        <w:lastRenderedPageBreak/>
        <w:t xml:space="preserve">NATIONAL RAPPORTEUR IN THE FIELD </w:t>
      </w:r>
      <w:bookmarkEnd w:id="55"/>
      <w:r w:rsidRPr="00D06E2E">
        <w:rPr>
          <w:lang w:val="sr-Latn-RS"/>
        </w:rPr>
        <w:t>of human trafficking</w:t>
      </w:r>
    </w:p>
    <w:p w14:paraId="53FF0286" w14:textId="77777777" w:rsidR="00B37F05" w:rsidRPr="00D06E2E" w:rsidRDefault="00B37F05" w:rsidP="00B37F05">
      <w:pPr>
        <w:rPr>
          <w:lang w:val="sr-Latn-RS"/>
        </w:rPr>
      </w:pPr>
    </w:p>
    <w:p w14:paraId="7910B09C" w14:textId="77777777" w:rsidR="00B37F05" w:rsidRPr="00D06E2E" w:rsidRDefault="00B37F05" w:rsidP="00B37F05">
      <w:pPr>
        <w:pStyle w:val="CharCharChar2Char0"/>
        <w:spacing w:after="120" w:line="240" w:lineRule="auto"/>
        <w:jc w:val="both"/>
        <w:rPr>
          <w:rFonts w:ascii="Book Antiqua" w:hAnsi="Book Antiqua"/>
          <w:sz w:val="22"/>
          <w:szCs w:val="22"/>
          <w:lang w:val="sr-Latn-RS"/>
        </w:rPr>
      </w:pPr>
      <w:r w:rsidRPr="00D06E2E">
        <w:rPr>
          <w:rFonts w:ascii="Book Antiqua" w:hAnsi="Book Antiqua"/>
          <w:sz w:val="22"/>
          <w:szCs w:val="22"/>
          <w:lang w:val="sr-Latn-RS"/>
        </w:rPr>
        <w:t>The Law on the Protector of Citizens</w:t>
      </w:r>
      <w:r w:rsidRPr="00D06E2E">
        <w:rPr>
          <w:rStyle w:val="FootnoteReference"/>
          <w:rFonts w:ascii="Book Antiqua" w:hAnsi="Book Antiqua"/>
          <w:sz w:val="22"/>
          <w:szCs w:val="22"/>
          <w:lang w:val="sr-Latn-RS"/>
        </w:rPr>
        <w:footnoteReference w:id="125"/>
      </w:r>
      <w:r w:rsidRPr="00D06E2E">
        <w:rPr>
          <w:rFonts w:ascii="Book Antiqua" w:hAnsi="Book Antiqua"/>
          <w:sz w:val="22"/>
          <w:szCs w:val="22"/>
          <w:lang w:val="sr-Latn-RS"/>
        </w:rPr>
        <w:t xml:space="preserve"> stipulates that the Protector of Citizens performs the duties of a national rapporteur in the field of human trafficking, in accordance with the Law on the Ratification of the Council of Europe Convention on Combating Human Trafficking</w:t>
      </w:r>
      <w:r w:rsidRPr="00D06E2E">
        <w:rPr>
          <w:rStyle w:val="FootnoteReference"/>
          <w:rFonts w:ascii="Book Antiqua" w:hAnsi="Book Antiqua"/>
          <w:sz w:val="22"/>
          <w:szCs w:val="22"/>
          <w:lang w:val="sr-Latn-RS"/>
        </w:rPr>
        <w:footnoteReference w:id="126"/>
      </w:r>
      <w:r w:rsidRPr="00D06E2E">
        <w:rPr>
          <w:rFonts w:ascii="Book Antiqua" w:hAnsi="Book Antiqua"/>
          <w:sz w:val="22"/>
          <w:szCs w:val="22"/>
          <w:lang w:val="sr-Latn-RS"/>
        </w:rPr>
        <w:t xml:space="preserve">. The law on Ratification of the Council of Europe Convention on Combating Human Trafficking stipulates that each contracting party should consider the possibility of appointing national rapporteurs or other mechanisms for monitoring the activities of state institutions in combating human trafficking and the application of requirements set by national legislation. The role of the Protector of Citizens as a national rapporteur in the field of human trafficking is to monitor and collect relevant information on human trafficking, and then to draw conclusions and report on the situation and make recommendations to the competent authorities for the improvement of actions in the field of human trafficking. </w:t>
      </w:r>
    </w:p>
    <w:p w14:paraId="10543A06" w14:textId="77777777" w:rsidR="00B37F05" w:rsidRPr="00D06E2E" w:rsidRDefault="00B37F05" w:rsidP="00B37F05">
      <w:pPr>
        <w:pStyle w:val="CharCharChar2Char0"/>
        <w:spacing w:after="120" w:line="240" w:lineRule="auto"/>
        <w:jc w:val="both"/>
        <w:rPr>
          <w:rFonts w:ascii="Book Antiqua" w:eastAsia="Calibri" w:hAnsi="Book Antiqua" w:cs="Book Antiqua"/>
          <w:sz w:val="22"/>
          <w:szCs w:val="22"/>
          <w:lang w:val="sr-Latn-RS"/>
        </w:rPr>
      </w:pPr>
      <w:r w:rsidRPr="00D06E2E">
        <w:rPr>
          <w:rFonts w:ascii="Book Antiqua" w:eastAsia="Calibri" w:hAnsi="Book Antiqua" w:cs="Book Antiqua"/>
          <w:sz w:val="22"/>
          <w:szCs w:val="22"/>
          <w:lang w:val="sr-Latn-RS"/>
        </w:rPr>
        <w:t>In the period from June 1, 2023 to December 31, 2023, the Protector of Citizens undertook a series of activities with the aim of familiarizing the relevant state authorities and organizations with the role of the Protector of Citizens as a national rapporteur in the field of human trafficking and establishing even better cooperation between the relevant actors in this area. In addition, he used the meetings to familiarize the relevant authorities in the field of human trafficking with the statements and recommendations of the Evaluation Report for the Republic of Serbia in the third round of evaluation published by the Group of Experts on Action against Trafficking in Human Beings (GRETA) in June 2023, as well as the Report on Human Trafficking (TIP) for 2023 published by the State Department.</w:t>
      </w:r>
    </w:p>
    <w:p w14:paraId="0A42BAA5" w14:textId="77777777" w:rsidR="00B37F05" w:rsidRPr="00D06E2E" w:rsidRDefault="00B37F05" w:rsidP="00B37F05">
      <w:pPr>
        <w:pStyle w:val="CharCharChar2Char0"/>
        <w:spacing w:after="120" w:line="240" w:lineRule="auto"/>
        <w:jc w:val="both"/>
        <w:rPr>
          <w:rFonts w:ascii="Book Antiqua" w:eastAsia="Calibri" w:hAnsi="Book Antiqua"/>
          <w:sz w:val="22"/>
          <w:szCs w:val="22"/>
          <w:lang w:val="sr-Latn-RS"/>
        </w:rPr>
      </w:pPr>
      <w:r w:rsidRPr="00D06E2E">
        <w:rPr>
          <w:rFonts w:ascii="Book Antiqua" w:eastAsia="Calibri" w:hAnsi="Book Antiqua"/>
          <w:sz w:val="22"/>
          <w:szCs w:val="22"/>
          <w:lang w:val="sr-Latn-RS"/>
        </w:rPr>
        <w:t>In the period from June to December, a series of meetings were held with the Office for the Coordination of Activities in the Combat Human Trafficking, under the Police Directorate of the Ministry of the Interior, which performs professional work for the needs of the Council for Combating Human Trafficking and directly participates, implements and monitors activities in combating human trafficking. At the same time, in cooperation with the Office, the collection of statistical data and information on activities in the field of human trafficking from state bodies and organizations for the period January - June 2023 was agreed and implemented.</w:t>
      </w:r>
    </w:p>
    <w:p w14:paraId="3CFF03D7" w14:textId="77777777" w:rsidR="00B37F05" w:rsidRPr="00D06E2E" w:rsidRDefault="00B37F05" w:rsidP="00B37F05">
      <w:pPr>
        <w:shd w:val="clear" w:color="auto" w:fill="FFFFFF"/>
        <w:rPr>
          <w:lang w:val="sr-Latn-RS"/>
        </w:rPr>
      </w:pPr>
      <w:r w:rsidRPr="00D06E2E">
        <w:rPr>
          <w:lang w:val="sr-Latn-RS"/>
        </w:rPr>
        <w:t>At a meeting held in July 2023 with representatives of the foreign policy team of the Prime Minister of the Republic of Serbia, which was also attended by representatives of the Office for the Coordination of Activities in Combating Human Trafficking, planning and organizational deficiencies in the field of human trafficking were pointed out. More specifically, the Protector of Citizens indicated the necessity of appointing the Council for the combating human trafficking, then the need to adopt a new planning document in the area of combating human trafficking and the accompanying action plan, and the appointment of a working group. Also, the necessity of appointing a national coordinator for the combating human trafficking was pointed out.</w:t>
      </w:r>
    </w:p>
    <w:p w14:paraId="1E4315EA" w14:textId="77777777" w:rsidR="00B37F05" w:rsidRPr="00D06E2E" w:rsidRDefault="00B37F05" w:rsidP="00B37F05">
      <w:pPr>
        <w:shd w:val="clear" w:color="auto" w:fill="FFFFFF"/>
        <w:rPr>
          <w:lang w:val="sr-Latn-RS"/>
        </w:rPr>
      </w:pPr>
      <w:r w:rsidRPr="00D06E2E">
        <w:rPr>
          <w:lang w:val="sr-Latn-RS"/>
        </w:rPr>
        <w:t>After the meeting, the Government of the Republic of Serbia established the Council for Combating Human Trafficking in order to coordinate national and international activities to combat human trafficking, and in September 2023, a national coordinator for combating human trafficking was appointed.</w:t>
      </w:r>
    </w:p>
    <w:p w14:paraId="0EAC7E70" w14:textId="77777777" w:rsidR="00B37F05" w:rsidRPr="00D06E2E" w:rsidRDefault="00B37F05" w:rsidP="00B37F05">
      <w:pPr>
        <w:shd w:val="clear" w:color="auto" w:fill="FFFFFF"/>
        <w:rPr>
          <w:lang w:val="sr-Latn-RS"/>
        </w:rPr>
      </w:pPr>
      <w:r w:rsidRPr="00D06E2E">
        <w:rPr>
          <w:lang w:val="sr-Latn-RS"/>
        </w:rPr>
        <w:lastRenderedPageBreak/>
        <w:t>The Protector of Citizens, as the national rapporteur in the field of human trafficking, will monitor the activities of the national coordinator for combating human trafficking with special attention and act proactively.</w:t>
      </w:r>
    </w:p>
    <w:p w14:paraId="0A7B4CA8" w14:textId="77777777" w:rsidR="00B37F05" w:rsidRPr="00D06E2E" w:rsidRDefault="00B37F05" w:rsidP="00B37F05">
      <w:pPr>
        <w:shd w:val="clear" w:color="auto" w:fill="FFFFFF"/>
        <w:rPr>
          <w:lang w:val="sr-Latn-RS"/>
        </w:rPr>
      </w:pPr>
      <w:r w:rsidRPr="00D06E2E">
        <w:rPr>
          <w:lang w:val="sr-Latn-RS"/>
        </w:rPr>
        <w:t>Also, after the aforementioned meeting, in August 2023, a Working Group was established for the preparation of a planning document in the area of combating human trafficking, whose task is to prepare the text of the proposal for a planning document in the area of combating human trafficking. A representative of the Protector of Citizens was appointed as a member of this working group, and a deputy member of the working group from the Protector of Citizens was appointed.</w:t>
      </w:r>
    </w:p>
    <w:p w14:paraId="373884D3" w14:textId="77777777" w:rsidR="00B37F05" w:rsidRPr="00D06E2E" w:rsidRDefault="00B37F05" w:rsidP="00B37F05">
      <w:pPr>
        <w:shd w:val="clear" w:color="auto" w:fill="FFFFFF"/>
        <w:rPr>
          <w:lang w:val="sr-Latn-RS"/>
        </w:rPr>
      </w:pPr>
      <w:r w:rsidRPr="00D06E2E">
        <w:rPr>
          <w:lang w:val="sr-Latn-RS"/>
        </w:rPr>
        <w:t>At the first meeting of the Working Group, which was held in August 2023, representatives of the Protector of Citizens pointed out that the perceived shortcomings and problems that arose during the implementation of the Strategy for the Prevention and Suppression of Trafficking in Human Beings, especially women and children, and the protection of victims for the period from 2017-2022 must be the starting point for the development of a new planning document in this area. Also, it was pointed out that the new planning document should ensure the continuation of strengthening the functional connection and institutional capacity building of all partners, as well as all significant processes that were initiated during the implementation of the previous Strategy, which is in accordance with the recommendations and findings of the External Evaluation of the Implementation of the Prevention Strategy and suppression of human trafficking, especially women and children, and protection of its victims 2017-2022.</w:t>
      </w:r>
    </w:p>
    <w:p w14:paraId="0E4C6A8C" w14:textId="77777777" w:rsidR="00B37F05" w:rsidRPr="00D06E2E" w:rsidRDefault="00B37F05" w:rsidP="00B37F05">
      <w:pPr>
        <w:shd w:val="clear" w:color="auto" w:fill="FFFFFF"/>
        <w:rPr>
          <w:lang w:val="sr-Latn-RS"/>
        </w:rPr>
      </w:pPr>
      <w:r w:rsidRPr="00D06E2E">
        <w:rPr>
          <w:lang w:val="sr-Latn-RS"/>
        </w:rPr>
        <w:t>It was also pointed out that it is necessary for the planning document to be in content and formal compliance with the international obligations of the Republic of Serbia in the field of combating human trafficking, and above all with the UN Convention against Transnational Organized Crime, the Protocol for the Prevention, Suppression and Punishment of Trafficking in Human Beings, especially women and children, and the Council of Europe's Convention against Trafficking in Human Beings. Also, it was indicated that when preparing the planning document, as well as accompanying action plans, in addition to using it as a starting point, it is necessary to take into account the recommendations from the Report of the Council of Europe Group of Experts on Combating Trafficking in Human Beings (GRETA) within the third round of evaluation of the implementation of the Council's Convention of Europe in combating human trafficking, with a thematic focus on access to justice and effective legal remedies for victims of human trafficking. At the same time, it is necessary to take into account the recommendations of the State Department's TIP Report 2023 (TIP Report 2023), according to which the Republic of Serbia was ranked on the Level 2 "Watch List" for the second year in a row.</w:t>
      </w:r>
    </w:p>
    <w:p w14:paraId="24A032CF" w14:textId="77777777" w:rsidR="00B37F05" w:rsidRPr="00D06E2E" w:rsidRDefault="00B37F05" w:rsidP="00B37F05">
      <w:pPr>
        <w:shd w:val="clear" w:color="auto" w:fill="FFFFFF"/>
        <w:rPr>
          <w:lang w:val="sr-Latn-RS"/>
        </w:rPr>
      </w:pPr>
      <w:r w:rsidRPr="00D06E2E">
        <w:rPr>
          <w:lang w:val="sr-Latn-RS"/>
        </w:rPr>
        <w:t>In particular, it was pointed out that as the national rapporteur in the field of human trafficking, the Protector of Citizens will continue to work on strengthening the cooperation of all actors in the field of human trafficking, on the exchange of information and best practices, as well as to report on the situation in the field of human trafficking. Therefore, the establishment of a mechanism for the timely and comprehensive submission of all relevant information to the Protector of Citizens for the purpose of drawing up a report in the field of human trafficking in the Republic of Serbia, which is envisaged by the concept of the new planning document, represents a major step for further strengthening the institutional framework and the national role in the field of human trafficking.</w:t>
      </w:r>
    </w:p>
    <w:p w14:paraId="30CA00A6" w14:textId="77777777" w:rsidR="00B37F05" w:rsidRPr="00D06E2E" w:rsidRDefault="00B37F05" w:rsidP="00B37F05">
      <w:pPr>
        <w:shd w:val="clear" w:color="auto" w:fill="FFFFFF"/>
        <w:rPr>
          <w:lang w:val="sr-Latn-RS"/>
        </w:rPr>
      </w:pPr>
      <w:r w:rsidRPr="00D06E2E">
        <w:rPr>
          <w:lang w:val="sr-Latn-RS"/>
        </w:rPr>
        <w:t xml:space="preserve">During September and October 2023, four thematic workshops were held with the aim of creating a planning document with an accompanying action plan, which were monitored and actively participated in by representatives of the Protector of Citizens. The topics of the held </w:t>
      </w:r>
      <w:r w:rsidRPr="00D06E2E">
        <w:rPr>
          <w:lang w:val="sr-Latn-RS"/>
        </w:rPr>
        <w:lastRenderedPageBreak/>
        <w:t>workshops were "Investigations and criminal prosecution", "Protection and assistance to victims". The third workshop had two topics, "Prevention" and "Labor exploitation and labor migration", while the topic of the fourth workshop was "Partnership and coordination".</w:t>
      </w:r>
    </w:p>
    <w:p w14:paraId="5087A4CA" w14:textId="77777777" w:rsidR="00B37F05" w:rsidRPr="00D06E2E" w:rsidRDefault="00B37F05" w:rsidP="00B37F05">
      <w:pPr>
        <w:shd w:val="clear" w:color="auto" w:fill="FFFFFF"/>
        <w:rPr>
          <w:lang w:val="sr-Latn-RS"/>
        </w:rPr>
      </w:pPr>
      <w:r w:rsidRPr="00D06E2E">
        <w:rPr>
          <w:lang w:val="sr-Latn-RS"/>
        </w:rPr>
        <w:t>At the second meeting of the Working Group, bearing in mind the need to establish a comprehensive, coordinated and sustainable approach to combating human trafficking through strengthening the system of prevention and criminal prosecution, while ensuring the protection of victims, especially women and children, the representatives of the Protector of Citizens pointed out that the option the adoption of a planning document in the field of combating human trafficking, with the adoption of a special law in the field of human trafficking, the most relevant for achieving this goal, considering the current situation, challenges and problems arising in the field of human trafficking in the Republic of Serbia.</w:t>
      </w:r>
    </w:p>
    <w:p w14:paraId="7EC9B3F8" w14:textId="77777777" w:rsidR="00B37F05" w:rsidRPr="00D06E2E" w:rsidRDefault="00B37F05" w:rsidP="00B37F05">
      <w:pPr>
        <w:shd w:val="clear" w:color="auto" w:fill="FFFFFF"/>
        <w:rPr>
          <w:lang w:val="sr-Latn-RS"/>
        </w:rPr>
      </w:pPr>
      <w:r w:rsidRPr="00D06E2E">
        <w:rPr>
          <w:lang w:val="sr-Latn-RS"/>
        </w:rPr>
        <w:t>The law should systematically regulate all aspects of the field of human trafficking in the Republic of Serbia, which is why the Protector of Citizens, as the national rapporteur in the field of human trafficking, initiated the competent actors in this area to initiate the process of drafting a draft law, which was accepted by the Council for Combating Human Trafficking at the first session held on December 25, 2023. In December 2023, at the session of the Working Group, the Draft Program for Combating Human Trafficking in the Republic of Serbia for the period 2024-2029 was adopted, as well as the Draft Action Plan.</w:t>
      </w:r>
    </w:p>
    <w:p w14:paraId="1B0A2217" w14:textId="77777777" w:rsidR="00B37F05" w:rsidRPr="00D06E2E" w:rsidRDefault="00B37F05" w:rsidP="00B37F05">
      <w:pPr>
        <w:rPr>
          <w:lang w:val="sr-Latn-RS"/>
        </w:rPr>
      </w:pPr>
      <w:r w:rsidRPr="00D06E2E">
        <w:rPr>
          <w:lang w:val="sr-Latn-RS"/>
        </w:rPr>
        <w:t>In order to monitor the implementation of the recommendations from the GRETA Report from the Third Evaluation Cycle, meetings were held with representatives of the Ministry of Justice and the National Coordinator for combating human trafficking. As special topics, the reports and recommendations of GRETA were discussed in the parts related to the right to information, legal advice and free legal aid, compensation for damages and international cooperation, as well as the activities that the Ministry of Justice will undertake in order to implement these recommendations.</w:t>
      </w:r>
    </w:p>
    <w:p w14:paraId="6ECA7C88" w14:textId="77777777" w:rsidR="00B37F05" w:rsidRPr="00D06E2E" w:rsidRDefault="00B37F05" w:rsidP="00B37F05">
      <w:pPr>
        <w:rPr>
          <w:lang w:val="sr-Latn-RS"/>
        </w:rPr>
      </w:pPr>
      <w:r w:rsidRPr="00D06E2E">
        <w:rPr>
          <w:lang w:val="sr-Latn-RS"/>
        </w:rPr>
        <w:t>It was agreed that the Ministry of Justice will undertake activities with the aim of engaging bar associations in organizing training and specialization of lawyers to provide legal assistance to victims of human trafficking, as well as with the aim of organizing training for legal assistance services at local self-government units. The Ministry of Justice will consider how it can undertake activities aimed at organizing a greater number of rooms and equipment for the examination of particularly sensitive witnesses.</w:t>
      </w:r>
    </w:p>
    <w:p w14:paraId="691865BD" w14:textId="77777777" w:rsidR="00B37F05" w:rsidRPr="00D06E2E" w:rsidRDefault="00B37F05" w:rsidP="00B37F05">
      <w:pPr>
        <w:rPr>
          <w:lang w:val="sr-Latn-RS"/>
        </w:rPr>
      </w:pPr>
      <w:r w:rsidRPr="00D06E2E">
        <w:rPr>
          <w:lang w:val="sr-Latn-RS"/>
        </w:rPr>
        <w:t>In connection with the systematic provision of oral and written information to presumed and formally identified victims of trafficking in human beings, regarding their rights, available services and ways to access them, the Ministry of Justice has expressed its readiness to create informational brochures and materials that would increase the availability of specific information.</w:t>
      </w:r>
    </w:p>
    <w:p w14:paraId="6803F912" w14:textId="77777777" w:rsidR="00B37F05" w:rsidRPr="00D06E2E" w:rsidRDefault="00B37F05" w:rsidP="00B37F05">
      <w:pPr>
        <w:pStyle w:val="CharCharChar2Char0"/>
        <w:shd w:val="clear" w:color="auto" w:fill="FFFFFF"/>
        <w:spacing w:line="240" w:lineRule="auto"/>
        <w:rPr>
          <w:rFonts w:ascii="Book Antiqua" w:eastAsia="Calibri" w:hAnsi="Book Antiqua"/>
          <w:sz w:val="22"/>
          <w:szCs w:val="22"/>
          <w:lang w:val="sr-Latn-RS"/>
        </w:rPr>
      </w:pPr>
      <w:r w:rsidRPr="00D06E2E">
        <w:rPr>
          <w:rFonts w:ascii="Book Antiqua" w:eastAsia="Calibri" w:hAnsi="Book Antiqua"/>
          <w:sz w:val="22"/>
          <w:szCs w:val="22"/>
          <w:lang w:val="sr-Latn-RS"/>
        </w:rPr>
        <w:t>In order to improve the protection and identification procedure for victims of human trafficking, representatives of the Protector of Citizens held a meeting with representatives of the Center for the Protection of Victims of Human Trafficking and visited the Shelter for Victims of Human Trafficking. The Center is the only institution in the Republic of Serbia that deals with the protection and identification of victims of human trafficking, as well as emergency accommodation and care for victims and potential victims of human trafficking.</w:t>
      </w:r>
    </w:p>
    <w:p w14:paraId="7B771994" w14:textId="77777777" w:rsidR="00B37F05" w:rsidRPr="00D06E2E" w:rsidRDefault="00B37F05" w:rsidP="00B37F05">
      <w:pPr>
        <w:pStyle w:val="CharCharChar2Char0"/>
        <w:shd w:val="clear" w:color="auto" w:fill="FFFFFF"/>
        <w:spacing w:after="120" w:line="240" w:lineRule="auto"/>
        <w:jc w:val="both"/>
        <w:rPr>
          <w:rFonts w:ascii="Book Antiqua" w:eastAsia="Calibri" w:hAnsi="Book Antiqua"/>
          <w:sz w:val="22"/>
          <w:szCs w:val="22"/>
          <w:lang w:val="sr-Latn-RS"/>
        </w:rPr>
      </w:pPr>
      <w:r w:rsidRPr="00D06E2E">
        <w:rPr>
          <w:rFonts w:ascii="Book Antiqua" w:eastAsia="Calibri" w:hAnsi="Book Antiqua"/>
          <w:sz w:val="22"/>
          <w:szCs w:val="22"/>
          <w:lang w:val="sr-Latn-RS"/>
        </w:rPr>
        <w:t xml:space="preserve">The Center for the Protection of Victims of Human Trafficking maintains detailed statistics on victims of human trafficking. The statistics refer to the number of applications, data source (from which systems and areas of operation they come), type of exploitation, age, gender, country of origin and place of exploitation. The Center acted according to all the recommendations of the Protector of Citizens that were addressed to it in the procedures for </w:t>
      </w:r>
      <w:r w:rsidRPr="00D06E2E">
        <w:rPr>
          <w:rFonts w:ascii="Book Antiqua" w:eastAsia="Calibri" w:hAnsi="Book Antiqua"/>
          <w:sz w:val="22"/>
          <w:szCs w:val="22"/>
          <w:lang w:val="sr-Latn-RS"/>
        </w:rPr>
        <w:lastRenderedPageBreak/>
        <w:t>controlling the regularity and legality of work. Based on the recommendations of the Protector of Citizens, the Center introduced the practice of always organizing a case conference in case of suspicion that a child is a victim of human trafficking, to which all relevant institutions are invited.</w:t>
      </w:r>
    </w:p>
    <w:p w14:paraId="231D2E24" w14:textId="77777777" w:rsidR="00B37F05" w:rsidRPr="00D06E2E" w:rsidRDefault="00B37F05" w:rsidP="00B37F05">
      <w:pPr>
        <w:pStyle w:val="CharCharChar2Char0"/>
        <w:shd w:val="clear" w:color="auto" w:fill="FFFFFF"/>
        <w:spacing w:after="120" w:line="240" w:lineRule="auto"/>
        <w:jc w:val="both"/>
        <w:rPr>
          <w:rFonts w:ascii="Book Antiqua" w:eastAsia="Calibri" w:hAnsi="Book Antiqua"/>
          <w:sz w:val="22"/>
          <w:szCs w:val="22"/>
          <w:lang w:val="sr-Latn-RS"/>
        </w:rPr>
      </w:pPr>
      <w:r w:rsidRPr="00D06E2E">
        <w:rPr>
          <w:rFonts w:ascii="Book Antiqua" w:eastAsia="Calibri" w:hAnsi="Book Antiqua"/>
          <w:sz w:val="22"/>
          <w:szCs w:val="22"/>
          <w:lang w:val="sr-Latn-RS"/>
        </w:rPr>
        <w:t>The Shelter for Victims of Human Trafficking, as an organizational unit of the Center for the Protection of Victims of Human Trafficking, provides accommodation and immediate care for the needs of all accommodation beneficiaries over the age of 16, including mothers with children and migrant women who are either identified as victims of human trafficking or are in identification procedure. Beneficiaries are provided with accommodation in a shelter for a maximum of six months, with the possibility of extending it for another six months in accordance with the assessed needs, the degree of traumatization and the need for security. At the time of the visit, a 16-year-old female with her 1.5 -year-old minor child and was housed in the shelter. At that moment, the beneficiary was in the process of identification.</w:t>
      </w:r>
    </w:p>
    <w:p w14:paraId="317FD9CB" w14:textId="77777777" w:rsidR="00B37F05" w:rsidRPr="00D06E2E" w:rsidRDefault="00B37F05" w:rsidP="00B37F05">
      <w:pPr>
        <w:spacing w:after="0"/>
        <w:rPr>
          <w:lang w:val="sr-Latn-RS"/>
        </w:rPr>
      </w:pPr>
      <w:r w:rsidRPr="00D06E2E">
        <w:rPr>
          <w:lang w:val="sr-Latn-RS"/>
        </w:rPr>
        <w:t>At the meeting with the mayor of Niš, it was agreed that the city of Niš will intensify activities in order to strengthen the capacity of the local anti-trafficking team. In this connection, meetings are also planned with other local self-government units, in order to intensify the activities of local teams for combating human trafficking.</w:t>
      </w:r>
    </w:p>
    <w:p w14:paraId="10D31BDD" w14:textId="77777777" w:rsidR="00B37F05" w:rsidRPr="00D06E2E" w:rsidRDefault="00B37F05" w:rsidP="00B37F05">
      <w:pPr>
        <w:spacing w:after="0"/>
        <w:rPr>
          <w:lang w:val="sr-Latn-RS"/>
        </w:rPr>
      </w:pPr>
    </w:p>
    <w:p w14:paraId="0DE09BF8" w14:textId="77777777" w:rsidR="00B37F05" w:rsidRPr="00D06E2E" w:rsidRDefault="00B37F05" w:rsidP="00B37F05">
      <w:pPr>
        <w:shd w:val="clear" w:color="auto" w:fill="FFFFFF"/>
        <w:rPr>
          <w:b/>
          <w:lang w:val="sr-Latn-RS"/>
        </w:rPr>
      </w:pPr>
      <w:r w:rsidRPr="00D06E2E">
        <w:rPr>
          <w:b/>
          <w:lang w:val="sr-Latn-RS"/>
        </w:rPr>
        <w:t>Partnerships and cooperation in the field of combating human trafficking</w:t>
      </w:r>
    </w:p>
    <w:p w14:paraId="7CCC32C9" w14:textId="77777777" w:rsidR="00B37F05" w:rsidRPr="00D06E2E" w:rsidRDefault="00B37F05" w:rsidP="00B37F05">
      <w:pPr>
        <w:pStyle w:val="CharCharChar2Char0"/>
        <w:shd w:val="clear" w:color="auto" w:fill="FFFFFF"/>
        <w:spacing w:after="120" w:line="240" w:lineRule="auto"/>
        <w:jc w:val="both"/>
        <w:rPr>
          <w:rFonts w:ascii="Book Antiqua" w:eastAsia="Calibri" w:hAnsi="Book Antiqua" w:cs="Book Antiqua"/>
          <w:bCs/>
          <w:sz w:val="22"/>
          <w:szCs w:val="22"/>
          <w:lang w:val="sr-Latn-RS"/>
        </w:rPr>
      </w:pPr>
      <w:r w:rsidRPr="00D06E2E">
        <w:rPr>
          <w:rFonts w:ascii="Book Antiqua" w:eastAsia="Calibri" w:hAnsi="Book Antiqua" w:cs="Book Antiqua"/>
          <w:bCs/>
          <w:sz w:val="22"/>
          <w:szCs w:val="22"/>
          <w:lang w:val="sr-Latn-RS"/>
        </w:rPr>
        <w:t>During this reporting period, representatives of the Protector of Citizens participated in numerous domestic and international gatherings related to human trafficking. Meetings were held with representatives of relevant associations, the International Organization for Migration (IOM) in the Republic of Serbia, the Office of the Council of Europe in the Republic of Serbia, the US Embassy and a representative of the Office for Combating Human Trafficking of the United States Department of State (TIP Office).</w:t>
      </w:r>
    </w:p>
    <w:p w14:paraId="40C543FA" w14:textId="77777777" w:rsidR="00B37F05" w:rsidRPr="00D06E2E" w:rsidRDefault="00B37F05" w:rsidP="00B37F05">
      <w:pPr>
        <w:pStyle w:val="CharCharChar2Char0"/>
        <w:shd w:val="clear" w:color="auto" w:fill="FFFFFF"/>
        <w:spacing w:after="120" w:line="240" w:lineRule="auto"/>
        <w:jc w:val="both"/>
        <w:rPr>
          <w:rFonts w:ascii="Book Antiqua" w:hAnsi="Book Antiqua"/>
          <w:sz w:val="22"/>
          <w:szCs w:val="22"/>
          <w:lang w:val="sr-Latn-RS"/>
        </w:rPr>
      </w:pPr>
      <w:r w:rsidRPr="00D06E2E">
        <w:rPr>
          <w:rFonts w:ascii="Book Antiqua" w:hAnsi="Book Antiqua"/>
          <w:sz w:val="22"/>
          <w:szCs w:val="22"/>
          <w:lang w:val="sr-Latn-RS"/>
        </w:rPr>
        <w:t>On the occasion of the regular bilateral meeting on the implementation of the Agreement on cooperation in combating human trafficking and the Agreement on cooperation in combating migrant smuggling between the Republic of Serbia and the Republic of North Macedonia, a representative of the Protector of Citizens attended the meeting for the first time as a member of the delegation of the Republic of Serbia. The meeting discussed the appointment of contact points of competent authorities in accordance with internal legal procedures, the process of identifying victims, providing protection and assistance to victims of human trafficking and voluntary return to the country of origin, criminal proceedings, joint activities and projects aimed at preventing human trafficking, persons , criminal acts and locations in the context of preventing human trafficking, especially vulnerable migrants and unaccompanied children and the formation of joint investigative teams and strengthening the capacities of the main actors in the fight against migrant smuggling.</w:t>
      </w:r>
    </w:p>
    <w:p w14:paraId="6ACDAA81" w14:textId="77777777" w:rsidR="00B37F05" w:rsidRPr="00D06E2E" w:rsidRDefault="00B37F05" w:rsidP="00B37F05">
      <w:pPr>
        <w:pStyle w:val="CharCharChar2Char0"/>
        <w:spacing w:after="0" w:line="240" w:lineRule="auto"/>
        <w:rPr>
          <w:rFonts w:ascii="Book Antiqua" w:hAnsi="Book Antiqua"/>
          <w:sz w:val="22"/>
          <w:szCs w:val="22"/>
          <w:lang w:val="sr-Latn-RS"/>
        </w:rPr>
      </w:pPr>
      <w:r w:rsidRPr="00D06E2E">
        <w:rPr>
          <w:rFonts w:ascii="Book Antiqua" w:hAnsi="Book Antiqua"/>
          <w:sz w:val="22"/>
          <w:szCs w:val="22"/>
          <w:lang w:val="sr-Latn-RS"/>
        </w:rPr>
        <w:t>Regarding the planning of further project activities, the Protector of Citizens participated in a meeting with representatives of the German Organization for International Cooperation, in which representatives of the Ministry of Interior, the Supreme Public Prosecutor's Office and the Center for the Protection of Victims of Human Trafficking also participated.</w:t>
      </w:r>
    </w:p>
    <w:p w14:paraId="6F130B26" w14:textId="77777777" w:rsidR="00B37F05" w:rsidRPr="00D06E2E" w:rsidRDefault="00B37F05" w:rsidP="00B37F05">
      <w:pPr>
        <w:pStyle w:val="CharCharChar2Char0"/>
        <w:spacing w:after="0" w:line="240" w:lineRule="auto"/>
        <w:rPr>
          <w:rFonts w:ascii="Book Antiqua" w:hAnsi="Book Antiqua"/>
          <w:sz w:val="12"/>
          <w:szCs w:val="12"/>
          <w:lang w:val="sr-Latn-RS"/>
        </w:rPr>
      </w:pPr>
    </w:p>
    <w:p w14:paraId="489FAD69" w14:textId="77777777" w:rsidR="00B37F05" w:rsidRPr="00D06E2E" w:rsidRDefault="00B37F05" w:rsidP="00B37F05">
      <w:pPr>
        <w:pStyle w:val="CharCharChar2Char0"/>
        <w:spacing w:after="0" w:line="240" w:lineRule="auto"/>
        <w:jc w:val="both"/>
        <w:rPr>
          <w:rFonts w:ascii="Book Antiqua" w:hAnsi="Book Antiqua"/>
          <w:sz w:val="22"/>
          <w:szCs w:val="22"/>
          <w:lang w:val="sr-Latn-RS"/>
        </w:rPr>
      </w:pPr>
      <w:r w:rsidRPr="00D06E2E">
        <w:rPr>
          <w:rFonts w:ascii="Book Antiqua" w:hAnsi="Book Antiqua"/>
          <w:sz w:val="22"/>
          <w:szCs w:val="22"/>
          <w:lang w:val="sr-Latn-RS"/>
        </w:rPr>
        <w:t>At the invitation of the Council of Europe, the representative of the Protector of Citizens participated in a round table on the topic "Improving the participation of former victims and survivors of human trafficking in the fight against human trafficking", which was held in Sarajevo, Bosnia and Herzegovina. The representative of the Protector of Citizens presented the responsibilities and role of the Protector of Citizens as a national rapporteur in the field of human trafficking in the Republic of Serbia and indicated further planned activities.</w:t>
      </w:r>
    </w:p>
    <w:p w14:paraId="30CC71AF" w14:textId="77777777" w:rsidR="00B37F05" w:rsidRPr="00D06E2E" w:rsidRDefault="00B37F05" w:rsidP="00B37F05">
      <w:pPr>
        <w:pStyle w:val="CharCharChar2Char0"/>
        <w:spacing w:after="120" w:line="240" w:lineRule="auto"/>
        <w:jc w:val="both"/>
        <w:rPr>
          <w:rFonts w:ascii="Book Antiqua" w:hAnsi="Book Antiqua"/>
          <w:sz w:val="22"/>
          <w:szCs w:val="22"/>
          <w:lang w:val="sr-Latn-RS"/>
        </w:rPr>
      </w:pPr>
      <w:r w:rsidRPr="00D06E2E">
        <w:rPr>
          <w:rFonts w:ascii="Book Antiqua" w:hAnsi="Book Antiqua"/>
          <w:sz w:val="22"/>
          <w:szCs w:val="22"/>
          <w:lang w:val="sr-Latn-RS"/>
        </w:rPr>
        <w:lastRenderedPageBreak/>
        <w:t>The representative of the Protector of Citizens also participated in a debate organized by the Center for Democracy Foundation and the Friedrich Ebert Foundation, on the topic "What does the German Law on Due Diligence in the Supply Chain mean for our companies?".</w:t>
      </w:r>
    </w:p>
    <w:p w14:paraId="2E320690" w14:textId="77777777" w:rsidR="00B37F05" w:rsidRPr="00D06E2E" w:rsidRDefault="00B37F05" w:rsidP="00B37F05">
      <w:pPr>
        <w:pStyle w:val="CharCharChar2Char0"/>
        <w:spacing w:after="120" w:line="240" w:lineRule="auto"/>
        <w:jc w:val="both"/>
        <w:rPr>
          <w:rFonts w:ascii="Book Antiqua" w:hAnsi="Book Antiqua"/>
          <w:sz w:val="22"/>
          <w:szCs w:val="22"/>
          <w:lang w:val="sr-Latn-RS"/>
        </w:rPr>
      </w:pPr>
      <w:r w:rsidRPr="00D06E2E">
        <w:rPr>
          <w:rFonts w:ascii="Book Antiqua" w:hAnsi="Book Antiqua"/>
          <w:sz w:val="22"/>
          <w:szCs w:val="22"/>
          <w:lang w:val="sr-Latn-RS"/>
        </w:rPr>
        <w:t>On the occasion of World Anti-Trafficking Day, the Serbian Red Cross and the Center for the Protection of Victims of Trafficking in Human Beings organized an expert meeting attended by representatives of the Protector of Citizens, who presented the responsibilities and role of the Protector of Citizens as a national rapporteur in the field of human trafficking.</w:t>
      </w:r>
    </w:p>
    <w:p w14:paraId="5032A0CC" w14:textId="77777777" w:rsidR="00B37F05" w:rsidRPr="00D06E2E" w:rsidRDefault="00B37F05" w:rsidP="00B37F05">
      <w:pPr>
        <w:pStyle w:val="CharCharChar2Char0"/>
        <w:spacing w:after="120" w:line="240" w:lineRule="auto"/>
        <w:jc w:val="both"/>
        <w:rPr>
          <w:rFonts w:ascii="Book Antiqua" w:hAnsi="Book Antiqua"/>
          <w:sz w:val="22"/>
          <w:szCs w:val="22"/>
          <w:lang w:val="sr-Latn-RS"/>
        </w:rPr>
      </w:pPr>
      <w:r w:rsidRPr="00D06E2E">
        <w:rPr>
          <w:rFonts w:ascii="Book Antiqua" w:hAnsi="Book Antiqua"/>
          <w:sz w:val="22"/>
          <w:szCs w:val="22"/>
          <w:lang w:val="sr-Latn-RS"/>
        </w:rPr>
        <w:t>Representatives of the Protector of Citizens attended the Annual Meeting of Local Teams for Combating Human Trafficking, which was held on October 17, 2023 in Niš, and which marked 10 years since the establishment of the first local teams to fight human trafficking in the Republic of Serbia. The meeting was organized in light of the celebration of October 18, the European Day against Human Trafficking, and was attended by representatives of the Ministry of Interior, local anti-trafficking teams, state institutions, multidisciplinary local anti-trafficking teams from the Northern Republic of Macedonia, the Embassy of the United States of America, the Office of the Council of Europe in Belgrade, as well as representatives of the association. At the meeting, important information, experiences and examples of good practice were exchanged about current events and challenges in the prevention and fight against human trafficking. The goal of annual meetings of local teams is to present the results of work at the national level in the field of prevention, prosecution of perpetrators, protection of victims of human trafficking and intersectoral cooperation and partnership, as well as presentation of the results of work of local teams.</w:t>
      </w:r>
    </w:p>
    <w:p w14:paraId="414F8DD2" w14:textId="77777777" w:rsidR="00B37F05" w:rsidRPr="00D06E2E" w:rsidRDefault="00B37F05" w:rsidP="00B37F05">
      <w:pPr>
        <w:rPr>
          <w:lang w:val="sr-Latn-RS"/>
        </w:rPr>
      </w:pPr>
      <w:r w:rsidRPr="00D06E2E">
        <w:rPr>
          <w:lang w:val="sr-Latn-RS"/>
        </w:rPr>
        <w:t>The Protector of Citizens, as the national rapporteur in the field of human trafficking, is one of the beneficiaries of the joint project of the European Union and the Council of Europe "Strengthening the Fight in Combating Human Trafficking in Serbia" (2023-2026), which aims to help the Republic of Serbia in fulfilling its obligations arising from the Council of Europe Convention on combating human trafficking, based on the recommendations of the Group of Experts for Combating Human Trafficking (GRETA). One of the goals of the project is to strengthen the institutional framework and operational capacities for monitoring and reporting on human trafficking and the protection of victims of human trafficking. To this end, the project will organize a series of activities with representatives of institutions and non-governmental organizations for the fight against human trafficking in order to present the role and responsibilities of the national rapporteur (including research, advice, insights), strengthen cooperation with various stakeholders and present the methodology (data collection , both on the nature and extent of human trafficking) and the exchange of examples of good practice and experiences with member countries of the Council of Europe</w:t>
      </w:r>
    </w:p>
    <w:p w14:paraId="240097B8" w14:textId="77777777" w:rsidR="00B37F05" w:rsidRPr="00D06E2E" w:rsidRDefault="00B37F05" w:rsidP="00B37F05">
      <w:pPr>
        <w:rPr>
          <w:lang w:val="sr-Latn-RS"/>
        </w:rPr>
      </w:pPr>
      <w:r w:rsidRPr="00D06E2E">
        <w:rPr>
          <w:lang w:val="sr-Latn-RS"/>
        </w:rPr>
        <w:t>As a part of the above-mentioned project, at the beginning of December 2023, the workshop "Strengthening the Response to Combating Human Trafficking: Mandate, Role and Functioning of the National Rapporteur for Combating Human Trafficking" was held, in which representatives of the Protector of Citizens participated as the national rapporteur in the field of trafficking to people, the representative of the National Rapporteur for human trafficking and sexual violence against children of the Netherlands, the National Coordinator for combating human trafficking of the Republic of Serbia and the head of the Office for coordinating activities in combating human trafficking of the Ministry of Interior, as well as representatives of the said Office.</w:t>
      </w:r>
    </w:p>
    <w:p w14:paraId="45C92CEF" w14:textId="77777777" w:rsidR="00B37F05" w:rsidRPr="00D06E2E" w:rsidRDefault="00B37F05" w:rsidP="00B37F05">
      <w:pPr>
        <w:rPr>
          <w:lang w:val="sr-Latn-RS"/>
        </w:rPr>
      </w:pPr>
      <w:r w:rsidRPr="00D06E2E">
        <w:rPr>
          <w:lang w:val="sr-Latn-RS"/>
        </w:rPr>
        <w:t xml:space="preserve">The workshop was held with the aim of presenting examples of good practice from the Netherlands regarding the role, mandate, functioning and cooperation of the National Rapporteur for human trafficking and sexual violence against children with other institutions and organizations, strengthening the operational capacities of the Protector of Citizens as the </w:t>
      </w:r>
      <w:r w:rsidRPr="00D06E2E">
        <w:rPr>
          <w:lang w:val="sr-Latn-RS"/>
        </w:rPr>
        <w:lastRenderedPageBreak/>
        <w:t>national rapporteur in the field of human trafficking in the Republic of Serbia and the Office for Coordination of Activities in the Field of Combating Human Trafficking of the Ministry of Interior of the Republic of Serbia, as well as providing a forum for the mutual exchange of information on methods and techniques for data collection, on the nature and scope of human trafficking, the impact of policy measures, trends and patterns.</w:t>
      </w:r>
    </w:p>
    <w:p w14:paraId="51CDA46A" w14:textId="77777777" w:rsidR="00B37F05" w:rsidRPr="00D06E2E" w:rsidRDefault="00B37F05" w:rsidP="00B37F05">
      <w:pPr>
        <w:rPr>
          <w:lang w:val="sr-Latn-RS"/>
        </w:rPr>
      </w:pPr>
      <w:r w:rsidRPr="00D06E2E">
        <w:rPr>
          <w:lang w:val="sr-Latn-RS"/>
        </w:rPr>
        <w:t>In the reporting period, representatives of the Protector of Citizens held meetings with representatives of the International Organization for Migration (IOM) in order to agree on possible cooperation both in order to strengthen the capacity of the Protector of Citizens as a national rapporteur in the field of human trafficking, and in order to improve the application of regulations in this area.</w:t>
      </w:r>
    </w:p>
    <w:p w14:paraId="59295D4F" w14:textId="77777777" w:rsidR="00B37F05" w:rsidRPr="00D06E2E" w:rsidRDefault="00B37F05" w:rsidP="00B37F05">
      <w:pPr>
        <w:rPr>
          <w:lang w:val="sr-Latn-RS"/>
        </w:rPr>
      </w:pPr>
      <w:r w:rsidRPr="00D06E2E">
        <w:rPr>
          <w:lang w:val="sr-Latn-RS"/>
        </w:rPr>
        <w:t>In the period from November 16 to 17, 2023, representatives of the Protector of Citizens as the national rapporteur in the field of human trafficking participated in a round table on the topic of strengthening the judiciary's response to human trafficking and migrant smuggling in the context of mixed migration movements, that was held in Sarajevo, Bosnia and Herzegovina in the organization of the International Organization for Migration (IOM). The representative of the Protector of Citizens participated in the panel "Implementation of a victim-oriented approach in the entire criminal procedure - migrant population - risks and vulnerability", the topic of which was existing practices and frameworks in the region that ensure that the rights of victims are promoted throughout the process.</w:t>
      </w:r>
    </w:p>
    <w:p w14:paraId="22ED81A2" w14:textId="77777777" w:rsidR="00B37F05" w:rsidRPr="00D06E2E" w:rsidRDefault="00B37F05" w:rsidP="00B37F05">
      <w:pPr>
        <w:rPr>
          <w:lang w:val="sr-Latn-RS"/>
        </w:rPr>
      </w:pPr>
      <w:r w:rsidRPr="00D06E2E">
        <w:rPr>
          <w:lang w:val="sr-Latn-RS"/>
        </w:rPr>
        <w:t>Representatives of the Protector of Citizens participated in a consultative meeting that was dedicated to key current issues in the field of human trafficking and the process of drafting a new planning document of the Republic of Serbia to combat human trafficking, which was organized by the Group 484 and Astra associations. The meeting was also attended by representatives of the Center for the Protection of Victims of Human Trafficking, UNODC, the Association of Athens, Astra and Group 484. The meeting was held with the aim of reviewing mutual cooperation in the field of human trafficking, existing human resources and financial frameworks, and identifying key problems in these areas. . Representatives of the Protector of Citizens presented the previous activities and results of the work of the national rapporteur in the field of human trafficking, and it was pointed out that the Protector of Citizens noticed the need to enact a law on human trafficking that would systematically regulate this area. The importance of coordination of all actors in the field of human trafficking, the need for constant improvement of knowledge, and the establishment of a clear system of keeping data and records in this very important area was also pointed out. Also, it is necessary to constantly work on improving and updating indicators for monitoring the situation in the field of human trafficking, bearing in mind that it is a "living organism".</w:t>
      </w:r>
    </w:p>
    <w:p w14:paraId="0C92E6D7" w14:textId="77777777" w:rsidR="00B37F05" w:rsidRPr="00D06E2E" w:rsidRDefault="00B37F05" w:rsidP="00B37F05">
      <w:pPr>
        <w:shd w:val="clear" w:color="auto" w:fill="FFFFFF"/>
        <w:rPr>
          <w:lang w:val="sr-Latn-RS"/>
        </w:rPr>
      </w:pPr>
      <w:r w:rsidRPr="00D06E2E">
        <w:rPr>
          <w:lang w:val="sr-Latn-RS"/>
        </w:rPr>
        <w:t>The Protector of Citizens also held a meeting with representatives of the Embassy of the United States of America in the Republic of Serbia, who pointed out the importance of good cooperation between all actors and partners in combating human trafficking, and especially with the Protector of Citizens, given his role as a national rapporteur in this area.</w:t>
      </w:r>
    </w:p>
    <w:p w14:paraId="7AAE886A" w14:textId="77777777" w:rsidR="00B37F05" w:rsidRPr="00D06E2E" w:rsidRDefault="00B37F05" w:rsidP="00B37F05">
      <w:pPr>
        <w:shd w:val="clear" w:color="auto" w:fill="FFFFFF"/>
        <w:rPr>
          <w:rFonts w:eastAsia="Book Antiqua"/>
          <w:lang w:val="sr-Latn-RS"/>
        </w:rPr>
      </w:pPr>
      <w:r w:rsidRPr="00D06E2E">
        <w:rPr>
          <w:rFonts w:eastAsia="Book Antiqua"/>
          <w:lang w:val="sr-Latn-RS"/>
        </w:rPr>
        <w:t xml:space="preserve">In November 2023, a meeting was held between the representative of the Protector of Citizens and the representative of the Office for Combating Human Trafficking of the United States Department of State (TIP Office), as well as with representatives of the Embassy of the United States of America in Serbia on the activities of the Protector of Citizens as a national rapporteur in the field of human trafficking . The meeting discussed the findings of the Report on Human Trafficking for 2023 (TIP) of the State Department, the role and responsibilities of the Protector of Citizens as a national rapporteur in the field of human trafficking, as well as the Case Report with the recommendations of the Protector of Citizens in the proceedings conducted on the </w:t>
      </w:r>
      <w:r w:rsidRPr="00D06E2E">
        <w:rPr>
          <w:rFonts w:eastAsia="Book Antiqua"/>
          <w:lang w:val="sr-Latn-RS"/>
        </w:rPr>
        <w:lastRenderedPageBreak/>
        <w:t>occasion position of Vietnamese workers engaged in the construction of the "Linglong" tire factory in Zrenjanin</w:t>
      </w:r>
      <w:r w:rsidRPr="00D06E2E">
        <w:rPr>
          <w:rStyle w:val="FootnoteReference"/>
          <w:rFonts w:eastAsia="Book Antiqua"/>
          <w:lang w:val="sr-Latn-RS"/>
        </w:rPr>
        <w:footnoteReference w:id="127"/>
      </w:r>
      <w:r w:rsidRPr="00D06E2E">
        <w:rPr>
          <w:rFonts w:eastAsia="Book Antiqua"/>
          <w:lang w:val="sr-Latn-RS"/>
        </w:rPr>
        <w:t>.</w:t>
      </w:r>
    </w:p>
    <w:p w14:paraId="14B44132" w14:textId="77777777" w:rsidR="00B37F05" w:rsidRPr="00D06E2E" w:rsidRDefault="00B37F05" w:rsidP="00B37F05">
      <w:pPr>
        <w:spacing w:after="0"/>
        <w:rPr>
          <w:bCs/>
          <w:caps/>
          <w:sz w:val="24"/>
          <w:szCs w:val="24"/>
          <w:lang w:val="sr-Latn-RS"/>
        </w:rPr>
      </w:pPr>
      <w:r w:rsidRPr="00D06E2E">
        <w:rPr>
          <w:rFonts w:eastAsia="Book Antiqua"/>
          <w:lang w:val="sr-Latn-RS"/>
        </w:rPr>
        <w:t>In order to prepare and publish the annual report in the field of human trafficking in the Republic of Serbia for the year 2023, in order to comprehensively review all relevant facts and circumstances related to the field of human trafficking in the Republic of Serbia, the Protector of Citizens, as the national rapporteur in the field of human trafficking, sent acts to the addresses of all relevant actors in the field of human trafficking. The relevant actors were requested information on all activities they undertook in the period from January 1, 2023 to December 31, 2023 in the field of human trafficking and statistical data in the field of human trafficking for the specific reporting period. At the same time, answers were requested to the questions listed in the act (49 questions), which are grouped into four areas: prevention; identification and protection of victims; investigation, prosecution and processing; partnership, coordination and cooperation.</w:t>
      </w:r>
    </w:p>
    <w:p w14:paraId="6235EA36" w14:textId="77777777" w:rsidR="00B37F05" w:rsidRPr="00D06E2E" w:rsidRDefault="00B37F05" w:rsidP="00B37F05">
      <w:pPr>
        <w:spacing w:after="0"/>
        <w:jc w:val="left"/>
        <w:rPr>
          <w:bCs/>
          <w:caps/>
          <w:sz w:val="24"/>
          <w:szCs w:val="24"/>
          <w:lang w:val="sr-Latn-RS"/>
        </w:rPr>
      </w:pPr>
    </w:p>
    <w:p w14:paraId="49670BA8" w14:textId="77777777" w:rsidR="00B37F05" w:rsidRPr="00D06E2E" w:rsidRDefault="00B37F05" w:rsidP="00B37F05">
      <w:pPr>
        <w:spacing w:after="0"/>
        <w:jc w:val="left"/>
        <w:rPr>
          <w:bCs/>
          <w:caps/>
          <w:sz w:val="24"/>
          <w:szCs w:val="24"/>
          <w:lang w:val="sr-Latn-RS"/>
        </w:rPr>
      </w:pPr>
    </w:p>
    <w:p w14:paraId="11371768" w14:textId="77777777" w:rsidR="00B37F05" w:rsidRPr="00D06E2E" w:rsidRDefault="00B37F05" w:rsidP="00B37F05">
      <w:pPr>
        <w:spacing w:after="0"/>
        <w:jc w:val="left"/>
        <w:rPr>
          <w:bCs/>
          <w:caps/>
          <w:sz w:val="24"/>
          <w:szCs w:val="24"/>
          <w:lang w:val="sr-Latn-RS"/>
        </w:rPr>
      </w:pPr>
    </w:p>
    <w:p w14:paraId="0989AF6D" w14:textId="77777777" w:rsidR="00B37F05" w:rsidRPr="00D06E2E" w:rsidRDefault="00B37F05" w:rsidP="00B37F05">
      <w:pPr>
        <w:spacing w:after="0"/>
        <w:jc w:val="left"/>
        <w:rPr>
          <w:bCs/>
          <w:caps/>
          <w:sz w:val="24"/>
          <w:szCs w:val="24"/>
          <w:lang w:val="sr-Latn-RS"/>
        </w:rPr>
      </w:pPr>
    </w:p>
    <w:p w14:paraId="021B9662" w14:textId="77777777" w:rsidR="00B37F05" w:rsidRPr="00D06E2E" w:rsidRDefault="00B37F05" w:rsidP="00B37F05">
      <w:pPr>
        <w:spacing w:after="0"/>
        <w:jc w:val="left"/>
        <w:rPr>
          <w:bCs/>
          <w:caps/>
          <w:sz w:val="24"/>
          <w:szCs w:val="24"/>
          <w:lang w:val="sr-Latn-RS"/>
        </w:rPr>
      </w:pPr>
    </w:p>
    <w:p w14:paraId="7764E066" w14:textId="77777777" w:rsidR="00B37F05" w:rsidRPr="00D06E2E" w:rsidRDefault="00B37F05" w:rsidP="00B37F05">
      <w:pPr>
        <w:spacing w:after="0"/>
        <w:jc w:val="left"/>
        <w:rPr>
          <w:bCs/>
          <w:caps/>
          <w:sz w:val="24"/>
          <w:szCs w:val="24"/>
          <w:lang w:val="sr-Latn-RS"/>
        </w:rPr>
      </w:pPr>
    </w:p>
    <w:p w14:paraId="7401AF1A" w14:textId="77777777" w:rsidR="00B37F05" w:rsidRPr="00D06E2E" w:rsidRDefault="00B37F05" w:rsidP="00B37F05">
      <w:pPr>
        <w:spacing w:after="0"/>
        <w:jc w:val="left"/>
        <w:rPr>
          <w:bCs/>
          <w:caps/>
          <w:sz w:val="24"/>
          <w:szCs w:val="24"/>
          <w:lang w:val="sr-Latn-RS"/>
        </w:rPr>
      </w:pPr>
    </w:p>
    <w:p w14:paraId="7FA7678F" w14:textId="77777777" w:rsidR="00B37F05" w:rsidRPr="00D06E2E" w:rsidRDefault="00B37F05" w:rsidP="00B37F05">
      <w:pPr>
        <w:spacing w:after="0"/>
        <w:jc w:val="left"/>
        <w:rPr>
          <w:bCs/>
          <w:caps/>
          <w:sz w:val="24"/>
          <w:szCs w:val="24"/>
          <w:lang w:val="sr-Latn-RS"/>
        </w:rPr>
      </w:pPr>
    </w:p>
    <w:p w14:paraId="543CE789" w14:textId="77777777" w:rsidR="00B37F05" w:rsidRPr="00D06E2E" w:rsidRDefault="00B37F05" w:rsidP="00B37F05">
      <w:pPr>
        <w:spacing w:after="0"/>
        <w:jc w:val="left"/>
        <w:rPr>
          <w:bCs/>
          <w:caps/>
          <w:sz w:val="24"/>
          <w:szCs w:val="24"/>
          <w:lang w:val="sr-Latn-RS"/>
        </w:rPr>
      </w:pPr>
    </w:p>
    <w:p w14:paraId="3F8B6616" w14:textId="77777777" w:rsidR="00B37F05" w:rsidRPr="00D06E2E" w:rsidRDefault="00B37F05" w:rsidP="00B37F05">
      <w:pPr>
        <w:spacing w:after="0"/>
        <w:jc w:val="left"/>
        <w:rPr>
          <w:bCs/>
          <w:caps/>
          <w:sz w:val="24"/>
          <w:szCs w:val="24"/>
          <w:lang w:val="sr-Latn-RS"/>
        </w:rPr>
      </w:pPr>
    </w:p>
    <w:p w14:paraId="61D8225F" w14:textId="77777777" w:rsidR="00B37F05" w:rsidRPr="00D06E2E" w:rsidRDefault="00B37F05" w:rsidP="00B37F05">
      <w:pPr>
        <w:spacing w:after="0"/>
        <w:jc w:val="left"/>
        <w:rPr>
          <w:bCs/>
          <w:caps/>
          <w:sz w:val="24"/>
          <w:szCs w:val="24"/>
          <w:lang w:val="sr-Latn-RS"/>
        </w:rPr>
      </w:pPr>
    </w:p>
    <w:p w14:paraId="3BAB822F" w14:textId="77777777" w:rsidR="00B37F05" w:rsidRPr="00D06E2E" w:rsidRDefault="00B37F05" w:rsidP="00B37F05">
      <w:pPr>
        <w:spacing w:after="0"/>
        <w:jc w:val="left"/>
        <w:rPr>
          <w:bCs/>
          <w:caps/>
          <w:sz w:val="24"/>
          <w:szCs w:val="24"/>
          <w:lang w:val="sr-Latn-RS"/>
        </w:rPr>
      </w:pPr>
    </w:p>
    <w:p w14:paraId="3DAE1F97" w14:textId="77777777" w:rsidR="00B37F05" w:rsidRPr="00D06E2E" w:rsidRDefault="00B37F05" w:rsidP="00B37F05">
      <w:pPr>
        <w:spacing w:after="0"/>
        <w:jc w:val="left"/>
        <w:rPr>
          <w:bCs/>
          <w:caps/>
          <w:sz w:val="24"/>
          <w:szCs w:val="24"/>
          <w:lang w:val="sr-Latn-RS"/>
        </w:rPr>
      </w:pPr>
    </w:p>
    <w:p w14:paraId="5BFEA784" w14:textId="77777777" w:rsidR="00B37F05" w:rsidRPr="00D06E2E" w:rsidRDefault="00B37F05" w:rsidP="00B37F05">
      <w:pPr>
        <w:spacing w:after="0"/>
        <w:jc w:val="left"/>
        <w:rPr>
          <w:bCs/>
          <w:caps/>
          <w:sz w:val="24"/>
          <w:szCs w:val="24"/>
          <w:lang w:val="sr-Latn-RS"/>
        </w:rPr>
      </w:pPr>
    </w:p>
    <w:p w14:paraId="536D4D9E" w14:textId="77777777" w:rsidR="00B37F05" w:rsidRPr="00D06E2E" w:rsidRDefault="00B37F05" w:rsidP="00B37F05">
      <w:pPr>
        <w:spacing w:after="0"/>
        <w:jc w:val="left"/>
        <w:rPr>
          <w:bCs/>
          <w:caps/>
          <w:sz w:val="24"/>
          <w:szCs w:val="24"/>
          <w:lang w:val="sr-Latn-RS"/>
        </w:rPr>
      </w:pPr>
    </w:p>
    <w:p w14:paraId="234777FF" w14:textId="77777777" w:rsidR="00B37F05" w:rsidRPr="00D06E2E" w:rsidRDefault="00B37F05" w:rsidP="00B37F05">
      <w:pPr>
        <w:spacing w:after="0"/>
        <w:jc w:val="left"/>
        <w:rPr>
          <w:bCs/>
          <w:caps/>
          <w:sz w:val="24"/>
          <w:szCs w:val="24"/>
          <w:lang w:val="sr-Latn-RS"/>
        </w:rPr>
      </w:pPr>
    </w:p>
    <w:p w14:paraId="07D34410" w14:textId="77777777" w:rsidR="00B37F05" w:rsidRPr="00D06E2E" w:rsidRDefault="00B37F05" w:rsidP="00B37F05">
      <w:pPr>
        <w:spacing w:after="0"/>
        <w:jc w:val="left"/>
        <w:rPr>
          <w:bCs/>
          <w:caps/>
          <w:sz w:val="24"/>
          <w:szCs w:val="24"/>
          <w:lang w:val="sr-Latn-RS"/>
        </w:rPr>
      </w:pPr>
    </w:p>
    <w:p w14:paraId="4EE6C5CB" w14:textId="77777777" w:rsidR="00B37F05" w:rsidRPr="00D06E2E" w:rsidRDefault="00B37F05" w:rsidP="00B37F05">
      <w:pPr>
        <w:spacing w:after="0"/>
        <w:jc w:val="left"/>
        <w:rPr>
          <w:bCs/>
          <w:caps/>
          <w:sz w:val="24"/>
          <w:szCs w:val="24"/>
          <w:lang w:val="sr-Latn-RS"/>
        </w:rPr>
      </w:pPr>
    </w:p>
    <w:p w14:paraId="063EEE7E" w14:textId="77777777" w:rsidR="00B37F05" w:rsidRPr="00D06E2E" w:rsidRDefault="00B37F05" w:rsidP="00B37F05">
      <w:pPr>
        <w:spacing w:after="0"/>
        <w:jc w:val="left"/>
        <w:rPr>
          <w:bCs/>
          <w:caps/>
          <w:sz w:val="24"/>
          <w:szCs w:val="24"/>
          <w:lang w:val="sr-Latn-RS"/>
        </w:rPr>
      </w:pPr>
    </w:p>
    <w:p w14:paraId="375000E9" w14:textId="77777777" w:rsidR="00B37F05" w:rsidRPr="00D06E2E" w:rsidRDefault="00B37F05" w:rsidP="00B37F05">
      <w:pPr>
        <w:spacing w:after="0"/>
        <w:jc w:val="left"/>
        <w:rPr>
          <w:bCs/>
          <w:caps/>
          <w:sz w:val="24"/>
          <w:szCs w:val="24"/>
          <w:lang w:val="sr-Latn-RS"/>
        </w:rPr>
      </w:pPr>
    </w:p>
    <w:p w14:paraId="133FB9C6" w14:textId="77777777" w:rsidR="00B37F05" w:rsidRPr="00D06E2E" w:rsidRDefault="00B37F05" w:rsidP="00B37F05">
      <w:pPr>
        <w:spacing w:after="0"/>
        <w:jc w:val="left"/>
        <w:rPr>
          <w:bCs/>
          <w:caps/>
          <w:sz w:val="24"/>
          <w:szCs w:val="24"/>
          <w:lang w:val="sr-Latn-RS"/>
        </w:rPr>
      </w:pPr>
    </w:p>
    <w:p w14:paraId="0EC68D37" w14:textId="77777777" w:rsidR="00B37F05" w:rsidRPr="00D06E2E" w:rsidRDefault="00B37F05" w:rsidP="00B37F05">
      <w:pPr>
        <w:spacing w:after="0"/>
        <w:jc w:val="left"/>
        <w:rPr>
          <w:bCs/>
          <w:caps/>
          <w:sz w:val="24"/>
          <w:szCs w:val="24"/>
          <w:lang w:val="sr-Latn-RS"/>
        </w:rPr>
      </w:pPr>
    </w:p>
    <w:p w14:paraId="722437DE" w14:textId="77777777" w:rsidR="00B37F05" w:rsidRPr="00D06E2E" w:rsidRDefault="00B37F05" w:rsidP="00B37F05">
      <w:pPr>
        <w:spacing w:after="0"/>
        <w:jc w:val="left"/>
        <w:rPr>
          <w:bCs/>
          <w:caps/>
          <w:sz w:val="24"/>
          <w:szCs w:val="24"/>
          <w:lang w:val="sr-Latn-RS"/>
        </w:rPr>
      </w:pPr>
    </w:p>
    <w:p w14:paraId="72802506" w14:textId="77777777" w:rsidR="00B37F05" w:rsidRPr="00D06E2E" w:rsidRDefault="00B37F05" w:rsidP="00B37F05">
      <w:pPr>
        <w:spacing w:after="0"/>
        <w:jc w:val="left"/>
        <w:rPr>
          <w:bCs/>
          <w:caps/>
          <w:sz w:val="24"/>
          <w:szCs w:val="24"/>
          <w:lang w:val="sr-Latn-RS"/>
        </w:rPr>
      </w:pPr>
    </w:p>
    <w:p w14:paraId="39194E3E" w14:textId="77777777" w:rsidR="00B37F05" w:rsidRPr="00D06E2E" w:rsidRDefault="00B37F05" w:rsidP="00B37F05">
      <w:pPr>
        <w:spacing w:after="0"/>
        <w:jc w:val="left"/>
        <w:rPr>
          <w:bCs/>
          <w:caps/>
          <w:sz w:val="24"/>
          <w:szCs w:val="24"/>
          <w:lang w:val="sr-Latn-RS"/>
        </w:rPr>
      </w:pPr>
    </w:p>
    <w:p w14:paraId="1ADB6C21" w14:textId="77777777" w:rsidR="00B37F05" w:rsidRPr="00D06E2E" w:rsidRDefault="00B37F05" w:rsidP="00B37F05">
      <w:pPr>
        <w:spacing w:after="0"/>
        <w:jc w:val="left"/>
        <w:rPr>
          <w:bCs/>
          <w:caps/>
          <w:sz w:val="24"/>
          <w:szCs w:val="24"/>
          <w:lang w:val="sr-Latn-RS"/>
        </w:rPr>
      </w:pPr>
    </w:p>
    <w:p w14:paraId="6ECFEC07" w14:textId="77777777" w:rsidR="00B37F05" w:rsidRPr="00D06E2E" w:rsidRDefault="00B37F05" w:rsidP="00B37F05">
      <w:pPr>
        <w:spacing w:after="0"/>
        <w:jc w:val="left"/>
        <w:rPr>
          <w:bCs/>
          <w:caps/>
          <w:sz w:val="24"/>
          <w:szCs w:val="24"/>
          <w:lang w:val="sr-Latn-RS"/>
        </w:rPr>
      </w:pPr>
      <w:r w:rsidRPr="00D06E2E">
        <w:rPr>
          <w:bCs/>
          <w:caps/>
          <w:sz w:val="24"/>
          <w:szCs w:val="24"/>
          <w:lang w:val="sr-Latn-RS"/>
        </w:rPr>
        <w:br w:type="page"/>
      </w:r>
    </w:p>
    <w:p w14:paraId="399EB1AB" w14:textId="77777777" w:rsidR="00B37F05" w:rsidRPr="00D06E2E" w:rsidRDefault="00B37F05" w:rsidP="00B37F05">
      <w:pPr>
        <w:pStyle w:val="Heading1"/>
        <w:spacing w:before="0" w:after="0"/>
        <w:rPr>
          <w:lang w:val="sr-Latn-RS"/>
        </w:rPr>
      </w:pPr>
      <w:bookmarkStart w:id="56" w:name="_Toc35172761"/>
      <w:bookmarkStart w:id="57" w:name="_Toc161659206"/>
      <w:r w:rsidRPr="00D06E2E">
        <w:rPr>
          <w:lang w:val="sr-Latn-RS"/>
        </w:rPr>
        <w:lastRenderedPageBreak/>
        <w:t>OTHER ACTIVITIES IN THE AREAS OF WORK OF THE PROTECTOR OF CITIZENS</w:t>
      </w:r>
      <w:bookmarkEnd w:id="56"/>
      <w:bookmarkEnd w:id="57"/>
    </w:p>
    <w:p w14:paraId="1812C0F8" w14:textId="77777777" w:rsidR="00B37F05" w:rsidRPr="00D06E2E" w:rsidRDefault="00B37F05" w:rsidP="00B37F05">
      <w:pPr>
        <w:rPr>
          <w:lang w:val="sr-Latn-RS"/>
        </w:rPr>
      </w:pPr>
    </w:p>
    <w:p w14:paraId="2281A763" w14:textId="77777777" w:rsidR="00B37F05" w:rsidRPr="00D06E2E" w:rsidRDefault="00B37F05" w:rsidP="00B37F05">
      <w:pPr>
        <w:pStyle w:val="Heading2"/>
        <w:spacing w:before="0" w:after="0"/>
        <w:rPr>
          <w:lang w:val="sr-Latn-RS"/>
        </w:rPr>
      </w:pPr>
      <w:bookmarkStart w:id="58" w:name="_Toc35172762"/>
      <w:bookmarkStart w:id="59" w:name="_Toc161659207"/>
      <w:r w:rsidRPr="00D06E2E">
        <w:rPr>
          <w:lang w:val="sr-Latn-RS"/>
        </w:rPr>
        <w:t xml:space="preserve">AREA OF CIVIL AND POLITICAL RIGHTS </w:t>
      </w:r>
      <w:bookmarkEnd w:id="58"/>
      <w:bookmarkEnd w:id="59"/>
    </w:p>
    <w:p w14:paraId="62FF4AC4" w14:textId="77777777" w:rsidR="00B37F05" w:rsidRPr="00D06E2E" w:rsidRDefault="00B37F05" w:rsidP="00B37F05">
      <w:pPr>
        <w:spacing w:after="0"/>
        <w:jc w:val="center"/>
        <w:rPr>
          <w:sz w:val="24"/>
          <w:szCs w:val="24"/>
          <w:lang w:val="sr-Latn-RS"/>
        </w:rPr>
      </w:pPr>
    </w:p>
    <w:p w14:paraId="76E43E2E" w14:textId="77777777" w:rsidR="00B37F05" w:rsidRPr="00D06E2E" w:rsidRDefault="00B37F05" w:rsidP="00B37F05">
      <w:pPr>
        <w:jc w:val="center"/>
        <w:rPr>
          <w:lang w:val="sr-Latn-RS"/>
        </w:rPr>
      </w:pPr>
      <w:r w:rsidRPr="00D06E2E">
        <w:rPr>
          <w:lang w:val="sr-Latn-RS"/>
        </w:rPr>
        <w:t>ACTIVITIES OF THE PROTECTOR OF CITIZENS</w:t>
      </w:r>
    </w:p>
    <w:p w14:paraId="2D326A04" w14:textId="77777777" w:rsidR="00B37F05" w:rsidRPr="00D06E2E" w:rsidRDefault="00B37F05" w:rsidP="00B37F05">
      <w:pPr>
        <w:autoSpaceDE w:val="0"/>
        <w:autoSpaceDN w:val="0"/>
        <w:adjustRightInd w:val="0"/>
        <w:rPr>
          <w:b/>
          <w:lang w:val="sr-Latn-RS"/>
        </w:rPr>
      </w:pPr>
      <w:r w:rsidRPr="00D06E2E">
        <w:rPr>
          <w:b/>
          <w:lang w:val="sr-Latn-RS"/>
        </w:rPr>
        <w:t>Justice and judiciary</w:t>
      </w:r>
    </w:p>
    <w:p w14:paraId="0219E650" w14:textId="77777777" w:rsidR="00B37F05" w:rsidRPr="00D06E2E" w:rsidRDefault="00B37F05" w:rsidP="00B37F05">
      <w:pPr>
        <w:rPr>
          <w:lang w:val="sr-Latn-RS"/>
        </w:rPr>
      </w:pPr>
      <w:r w:rsidRPr="00D06E2E">
        <w:rPr>
          <w:lang w:val="sr-Latn-RS"/>
        </w:rPr>
        <w:t>In the reporting period, the largest number of complaints in this area related to the work of public enforcement officers and judicial authorities. There are numerous appeals from citizens who ask the Protector of Citizens to provide legal assistance in connection with the proceedings before the courts and other competent authorities in order to exercise and protect their rights. The problem of exercising the right to legal aid becomes particularly important when members of sensitive groups and materially disadvantaged citizens seek it.</w:t>
      </w:r>
    </w:p>
    <w:p w14:paraId="36A529C9" w14:textId="77777777" w:rsidR="00B37F05" w:rsidRPr="00D06E2E" w:rsidRDefault="00B37F05" w:rsidP="00B37F05">
      <w:pPr>
        <w:rPr>
          <w:lang w:val="sr-Latn-RS"/>
        </w:rPr>
      </w:pPr>
      <w:r w:rsidRPr="00D06E2E">
        <w:rPr>
          <w:lang w:val="sr-Latn-RS"/>
        </w:rPr>
        <w:t>In the addresses to the Protector of Citizens, problems are still pointed out in connection with the supervision that the Ministry of Justice carries out over the work of the judicial administration, the handling of cases by the courts within the prescribed time limits and the handling of citizens' complaints and petitions. Violation of the right to a fair trial, i.e. pointing to certain irregularities in the conduct of the proceedings by the acting judge, as well as irregularities in court decisions, continue to be the subject of appeals. Most often, it is pointed to wrongly established factual situation and wrong application of regulations. However, it is observed that complaints about the improper conduct of the procedure or the deficiency of the court decision are often the result of the wrong perception of citizens resulting from the lack of professional legal assistance.</w:t>
      </w:r>
    </w:p>
    <w:p w14:paraId="7940C9A1" w14:textId="77777777" w:rsidR="00B37F05" w:rsidRPr="00D06E2E" w:rsidRDefault="00B37F05" w:rsidP="00B37F05">
      <w:pPr>
        <w:spacing w:after="0"/>
        <w:rPr>
          <w:lang w:val="sr-Latn-RS"/>
        </w:rPr>
      </w:pPr>
      <w:r w:rsidRPr="00D06E2E">
        <w:rPr>
          <w:lang w:val="sr-Latn-RS"/>
        </w:rPr>
        <w:t>Complaints often refer to enforcement procedures and the work of public enforcement officers, although the Protector of Citizens is not authorized to control their work. The Protector of Citizens directs citizens who complain about the work of public enforcers to use legal means and address the Ministry of Justice and the Chamber of Public Enforcement, which supervises their work.</w:t>
      </w:r>
    </w:p>
    <w:p w14:paraId="45840C84" w14:textId="77777777" w:rsidR="00B37F05" w:rsidRPr="00D06E2E" w:rsidRDefault="00B37F05" w:rsidP="00B37F05">
      <w:pPr>
        <w:spacing w:after="0"/>
        <w:rPr>
          <w:b/>
          <w:lang w:val="sr-Latn-RS"/>
        </w:rPr>
      </w:pPr>
    </w:p>
    <w:p w14:paraId="75E0F480" w14:textId="77777777" w:rsidR="00B37F05" w:rsidRPr="00D06E2E" w:rsidRDefault="00B37F05" w:rsidP="00B37F05">
      <w:pPr>
        <w:rPr>
          <w:b/>
          <w:lang w:val="sr-Latn-RS"/>
        </w:rPr>
      </w:pPr>
      <w:r w:rsidRPr="00D06E2E">
        <w:rPr>
          <w:b/>
          <w:lang w:val="sr-Latn-RS"/>
        </w:rPr>
        <w:t>Finances</w:t>
      </w:r>
    </w:p>
    <w:p w14:paraId="5210B674" w14:textId="77777777" w:rsidR="00B37F05" w:rsidRPr="00D06E2E" w:rsidRDefault="00B37F05" w:rsidP="00B37F05">
      <w:pPr>
        <w:rPr>
          <w:lang w:val="sr-Latn-RS"/>
        </w:rPr>
      </w:pPr>
      <w:r w:rsidRPr="00D06E2E">
        <w:rPr>
          <w:lang w:val="sr-Latn-RS"/>
        </w:rPr>
        <w:t>In the reporting period, the number of complaints about the work of the Ministry of Finance as a second-level authority increased compared to 2022. Citizens appealed because of the non-decision on appeals against decisions made in the restitution procedure and other procedures in which this body is competent to decide on appeals. Citizens' addresses related to the work of the Sector for second-degree tax and customs procedure of the Ministry of Finance due to the non-decision on appeals against the decisions of the Tax Administration and local tax administrations, especially the Department for second-degree tax procedure of this Sector in Belgrade, Novi Sad and Niš. The largest number of complaints related to the Department for second-level tax procedure in Novi Sad. Citizens submitted complaints due to the multi-month, and often multi-year exceeding of the legal deadline for deciding on appeals.</w:t>
      </w:r>
    </w:p>
    <w:p w14:paraId="663465F7" w14:textId="77777777" w:rsidR="00B37F05" w:rsidRPr="00D06E2E" w:rsidRDefault="00B37F05" w:rsidP="00B37F05">
      <w:pPr>
        <w:rPr>
          <w:lang w:val="sr-Latn-RS"/>
        </w:rPr>
      </w:pPr>
      <w:r w:rsidRPr="00D06E2E">
        <w:rPr>
          <w:lang w:val="sr-Latn-RS"/>
        </w:rPr>
        <w:t xml:space="preserve">As a rule, an appeal against a decision in a tax procedure does not delay the execution of the decision. However, the Law on Tax Procedure and Tax Administration prescribes the possibility of submitting a request for postponement of the execution of decisions on which the second-instance authority is obliged to decide within five days. Due to the irreparable damage that threatens the taxpayer due to the execution of the ruling, the taxpayers filed a request for postponement of the execution of the ruling that was not decided within the legal </w:t>
      </w:r>
      <w:r w:rsidRPr="00D06E2E">
        <w:rPr>
          <w:lang w:val="sr-Latn-RS"/>
        </w:rPr>
        <w:lastRenderedPageBreak/>
        <w:t>deadline, which is why they turned to the Protector of Citizens. During the control procedure, the second-instance authority eliminated the deficiencies related to the non-decision on the request for postponement of the execution of the decision.</w:t>
      </w:r>
    </w:p>
    <w:p w14:paraId="0338AF2B" w14:textId="77777777" w:rsidR="00B37F05" w:rsidRPr="00D06E2E" w:rsidRDefault="00B37F05" w:rsidP="00B37F05">
      <w:pPr>
        <w:rPr>
          <w:lang w:val="sr-Latn-RS"/>
        </w:rPr>
      </w:pPr>
      <w:r w:rsidRPr="00D06E2E">
        <w:rPr>
          <w:lang w:val="sr-Latn-RS"/>
        </w:rPr>
        <w:t>In the examination procedures to control the legality and regularity of the work of the Ministry of Finance, as a second-level authority and the Sector for Second-Level Tax and Customs Procedures of the Ministry of Finance, there was a lack of full cooperation with the Protector of Citizens, which was reflected in the failure to submit a statement within the deadline, the failure to submit a statement after the urgent requests and the failure to submit documentation which was requested by the Protector of Citizens.</w:t>
      </w:r>
    </w:p>
    <w:p w14:paraId="30A4B075" w14:textId="77777777" w:rsidR="00B37F05" w:rsidRPr="00D06E2E" w:rsidRDefault="00B37F05" w:rsidP="00B37F05">
      <w:pPr>
        <w:rPr>
          <w:lang w:val="sr-Latn-RS"/>
        </w:rPr>
      </w:pPr>
      <w:r w:rsidRPr="00D06E2E">
        <w:rPr>
          <w:lang w:val="sr-Latn-RS"/>
        </w:rPr>
        <w:t>Due to the non-cooperation of the Ministry of Finance and its organizational units responsible for deciding on appeals, the Protector of Citizens during the reporting period sent case reports with recommendations to the authority. The deadline for acting on the recommendations has not yet expired. The Protector of Citizens will monitor the action according to the recommendations and, depending on the outcome, decide on the need to take further measures in order to ensure the correct and legal action of the Ministry of Finance.</w:t>
      </w:r>
    </w:p>
    <w:p w14:paraId="391235F3" w14:textId="77777777" w:rsidR="00B37F05" w:rsidRPr="00D06E2E" w:rsidRDefault="00B37F05" w:rsidP="00B37F05">
      <w:pPr>
        <w:rPr>
          <w:lang w:val="sr-Latn-RS"/>
        </w:rPr>
      </w:pPr>
      <w:r w:rsidRPr="00D06E2E">
        <w:rPr>
          <w:lang w:val="sr-Latn-RS"/>
        </w:rPr>
        <w:t>The Ministry of Finance, as the second instance body in the restitution procedure, was sent a Report on the case with recommendations</w:t>
      </w:r>
      <w:r w:rsidRPr="00D06E2E">
        <w:rPr>
          <w:rStyle w:val="FootnoteReference"/>
          <w:lang w:val="sr-Latn-RS"/>
        </w:rPr>
        <w:footnoteReference w:id="128"/>
      </w:r>
      <w:r w:rsidRPr="00D06E2E">
        <w:rPr>
          <w:lang w:val="sr-Latn-RS"/>
        </w:rPr>
        <w:t xml:space="preserve"> due to the absence of the legally prescribed obligation to cooperate with the Protector of Citizens. In the specific case, acting on the submitted complaint, which indicated that the Ministry of Finance did not decide on the appeal submitted on July 7, 2021, against the decision of the Agency for Restitution - Regional Unit Novi Sad, the Protector of Citizens on March 21, 2023  initiated the examination procedure of the evaluation of the legality and regularity of the work of the Ministry of Finance. The Ministry of Finance was sent two urgent requests</w:t>
      </w:r>
      <w:r w:rsidRPr="00D06E2E">
        <w:rPr>
          <w:rStyle w:val="FootnoteReference"/>
          <w:lang w:val="sr-Latn-RS"/>
        </w:rPr>
        <w:footnoteReference w:id="129"/>
      </w:r>
      <w:r w:rsidRPr="00D06E2E">
        <w:rPr>
          <w:lang w:val="sr-Latn-RS"/>
        </w:rPr>
        <w:t xml:space="preserve"> since it did not submit a statement to the Protector of Citizens within the prescribed period. In the specific case, the right of the complainant to have a final decision on his request in the restitution procedure was violated in a procedure that has already lasted for more than 10 years, because the second-instance body did not decide on the submitted appeal for a period longer than two years. At the same time, in a period longer than nine months, the Ministry of Finance did not submit a statement to the Protector of Citizens.</w:t>
      </w:r>
    </w:p>
    <w:p w14:paraId="0AAC73A9" w14:textId="77777777" w:rsidR="00B37F05" w:rsidRPr="00D06E2E" w:rsidRDefault="00B37F05" w:rsidP="00B37F05">
      <w:pPr>
        <w:rPr>
          <w:lang w:val="sr-Latn-RS"/>
        </w:rPr>
      </w:pPr>
      <w:r w:rsidRPr="00D06E2E">
        <w:rPr>
          <w:lang w:val="sr-Latn-RS"/>
        </w:rPr>
        <w:t>In this regard, the Protector of Citizens points out to the Ministry of Finance the importance of cooperation and timely delivery of information with the aim of effective action by the Protector of Citizens on citizens' complaints. The Ministry of Finance, the Sector for second-instance tax and customs procedure, the departments of this Sector for second-instance tax procedure in Belgrade, Novi Sad and Niš, based on the complaints of a large number of citizens</w:t>
      </w:r>
      <w:r w:rsidRPr="00D06E2E">
        <w:rPr>
          <w:rStyle w:val="FootnoteReference"/>
          <w:lang w:val="sr-Latn-RS"/>
        </w:rPr>
        <w:footnoteReference w:id="130"/>
      </w:r>
      <w:r w:rsidRPr="00D06E2E">
        <w:rPr>
          <w:lang w:val="sr-Latn-RS"/>
        </w:rPr>
        <w:t>, were sent a report on the case with recommendations</w:t>
      </w:r>
      <w:r w:rsidRPr="00D06E2E">
        <w:rPr>
          <w:rStyle w:val="FootnoteReference"/>
          <w:lang w:val="sr-Latn-RS"/>
        </w:rPr>
        <w:footnoteReference w:id="131"/>
      </w:r>
      <w:r w:rsidRPr="00D06E2E">
        <w:rPr>
          <w:lang w:val="sr-Latn-RS"/>
        </w:rPr>
        <w:t xml:space="preserve"> due to the absence of the legally prescribed obligation to cooperate with the Protector of Citizens.</w:t>
      </w:r>
    </w:p>
    <w:p w14:paraId="14DDDFB5" w14:textId="5A2F4B77" w:rsidR="00B37F05" w:rsidRPr="00D06E2E" w:rsidRDefault="00B37F05" w:rsidP="00B37F05">
      <w:pPr>
        <w:rPr>
          <w:lang w:val="sr-Latn-RS"/>
        </w:rPr>
      </w:pPr>
      <w:r w:rsidRPr="00D06E2E">
        <w:rPr>
          <w:lang w:val="sr-Latn-RS"/>
        </w:rPr>
        <w:t>The Protector of Citizens has identified shortcomings in the work of the Ministry of Finance, which also relate to the failure to act on citizens' requests. During 2023, the Protector of Citizens monitored the action on the recommendations</w:t>
      </w:r>
      <w:r w:rsidR="007B2708" w:rsidRPr="00D06E2E">
        <w:rPr>
          <w:rStyle w:val="FootnoteReference"/>
          <w:lang w:val="sr-Latn-RS"/>
        </w:rPr>
        <w:footnoteReference w:id="132"/>
      </w:r>
      <w:r w:rsidR="007B2708" w:rsidRPr="00D06E2E">
        <w:rPr>
          <w:lang w:val="sr-Latn-RS"/>
        </w:rPr>
        <w:t>,</w:t>
      </w:r>
      <w:r w:rsidRPr="00D06E2E">
        <w:rPr>
          <w:lang w:val="sr-Latn-RS"/>
        </w:rPr>
        <w:t xml:space="preserve"> he sent to the Ministry of Finance at the end of 2022. In the Report on the case with recommendations, the Protector of Citizens determined that the Ministry of Finance did not act in the manner prescribed by the Law on General Administrative Procedure on the citizen's request submitted on June 20, 2022 for </w:t>
      </w:r>
      <w:r w:rsidRPr="00D06E2E">
        <w:rPr>
          <w:lang w:val="sr-Latn-RS"/>
        </w:rPr>
        <w:lastRenderedPageBreak/>
        <w:t xml:space="preserve">viewing the case files in such a way that within eight days of receiving the request informs about how he can view and obtain a copy </w:t>
      </w:r>
      <w:r w:rsidR="00AC0E41" w:rsidRPr="00D06E2E">
        <w:rPr>
          <w:lang w:val="sr-Latn-RS"/>
        </w:rPr>
        <w:t>of the file, nor did he reject</w:t>
      </w:r>
      <w:r w:rsidRPr="00D06E2E">
        <w:rPr>
          <w:lang w:val="sr-Latn-RS"/>
        </w:rPr>
        <w:t xml:space="preserve"> the request by decision. Four months after submitting the request for inspection of the case file, on October 24, 2022, the Ministry of Finance forwarded the case file to the Administrative Court following a lawsuit due to the "silence of the administration". The Ministry of Finance did not act on the request to view the case file even after the initiation of the investigation procedure by the Protector of Citizens</w:t>
      </w:r>
      <w:r w:rsidR="007B2708" w:rsidRPr="00D06E2E">
        <w:rPr>
          <w:rStyle w:val="FootnoteReference"/>
          <w:lang w:val="sr-Latn-RS"/>
        </w:rPr>
        <w:footnoteReference w:id="133"/>
      </w:r>
      <w:r w:rsidR="007B2708" w:rsidRPr="00D06E2E">
        <w:rPr>
          <w:lang w:val="sr-Latn-RS"/>
        </w:rPr>
        <w:t>.</w:t>
      </w:r>
      <w:r w:rsidRPr="00D06E2E">
        <w:rPr>
          <w:lang w:val="sr-Latn-RS"/>
        </w:rPr>
        <w:t xml:space="preserve"> Based on the established factual situation, a Case Report was sent with recommendations to the Ministry of Finance to enable the complainant to exercise the right to view the case file in printed form or to view the document in electronic form, to duplicate or obtain a copy of the file at his own expense and to be given a copy of the file, o at his expense, deliver it by mail or in another convenient way, as well as to act on requests for inspection of files in the future within the time limit and in the manner prescribed by the Law on General Administrative Procedure. The Ministry of Finance acted on the sent recommendation and informed the Protector of Citizens about it.</w:t>
      </w:r>
    </w:p>
    <w:p w14:paraId="1EDBD6E8" w14:textId="77777777" w:rsidR="00B37F05" w:rsidRPr="00D06E2E" w:rsidRDefault="00B37F05" w:rsidP="00B37F05">
      <w:pPr>
        <w:rPr>
          <w:rFonts w:cs="Times New Roman"/>
          <w:lang w:val="sr-Latn-RS"/>
        </w:rPr>
      </w:pPr>
      <w:r w:rsidRPr="00D06E2E">
        <w:rPr>
          <w:rFonts w:cs="Times New Roman"/>
          <w:lang w:val="sr-Latn-RS"/>
        </w:rPr>
        <w:t>Citizens' complaints about the work of the Tax Administration as an administrative body within the Ministry of Finance in the reporting period do not differ significantly in content compared to complaints from previous years. Complaints related to the handling of citizens' complaints against employers due to non-payment of mandatory social insurance contributions appear to a lesser extent than in previous years. The Protector of Citizens considers it necessary that the Tax Administration continuously undertakes all measures and activities within its jurisdiction, in order to collect unpaid contributions in a timely manner from employers who do not fulfill their legal obligations.</w:t>
      </w:r>
    </w:p>
    <w:p w14:paraId="72D045F0" w14:textId="77777777" w:rsidR="00B37F05" w:rsidRPr="00D06E2E" w:rsidRDefault="00B37F05" w:rsidP="00B37F05">
      <w:pPr>
        <w:rPr>
          <w:lang w:val="sr-Latn-RS"/>
        </w:rPr>
      </w:pPr>
      <w:r w:rsidRPr="00D06E2E">
        <w:rPr>
          <w:lang w:val="sr-Latn-RS"/>
        </w:rPr>
        <w:t>After conducting an examination procedure to control the legality and regularity of the work of the Tax Administration, the Protector of Citizens determined that this body does not ex officio determine the termination of tax obligations due to statute of limitations and sent him a report on the case with recommendations</w:t>
      </w:r>
      <w:r w:rsidRPr="00D06E2E">
        <w:rPr>
          <w:rStyle w:val="FootnoteReference"/>
          <w:lang w:val="sr-Latn-RS"/>
        </w:rPr>
        <w:footnoteReference w:id="134"/>
      </w:r>
      <w:r w:rsidRPr="00D06E2E">
        <w:rPr>
          <w:lang w:val="sr-Latn-RS"/>
        </w:rPr>
        <w:t xml:space="preserve"> that in the specific case ex officio conduct the procedure of determining the absolute statute of limitations for the collection of the tax debt of the complainant during the period of entrepreneurial activity in the period from November 22, 2007 to September 24, 2012, which is the subject of compulsory collection according to the decision, as well as to take into account the absolute statute of limitations in the future and issue decisions ex officio the cessation of tax liability, that is, the cessation of the right to refund, refund, refund, as well as to the settlement of obligations due on another basis through the transfer of taxes, due to statute of limitations. The recommendations were partially acted upon.</w:t>
      </w:r>
    </w:p>
    <w:p w14:paraId="3B180937" w14:textId="77777777" w:rsidR="00B37F05" w:rsidRPr="00D06E2E" w:rsidRDefault="00B37F05" w:rsidP="00B37F05">
      <w:pPr>
        <w:rPr>
          <w:lang w:val="sr-Latn-RS"/>
        </w:rPr>
      </w:pPr>
      <w:r w:rsidRPr="00D06E2E">
        <w:rPr>
          <w:lang w:val="sr-Latn-RS"/>
        </w:rPr>
        <w:t>After conducting an examination procedure to control the legality and regularity of the work of the Tax Administration, the Protector of Citizens established that the complainant, as an entrepreneur, was indebted to health insurance contributions and unemployment contributions for the period from 2000 to 2004 and the period from 2008 to July 3, 2014, so he sent a report on the case with recommendations</w:t>
      </w:r>
      <w:r w:rsidRPr="00D06E2E">
        <w:rPr>
          <w:rStyle w:val="FootnoteReference"/>
          <w:lang w:val="sr-Latn-RS"/>
        </w:rPr>
        <w:footnoteReference w:id="135"/>
      </w:r>
      <w:r w:rsidRPr="00D06E2E">
        <w:rPr>
          <w:lang w:val="sr-Latn-RS"/>
        </w:rPr>
        <w:t xml:space="preserve"> to the Tax Administration with a recommendation to change the legally binding decisions. The Tax Administration fully complied with the recommendations of the Protector of Citizens, amended the legally binding decisions and reversed the debts on that basis.</w:t>
      </w:r>
    </w:p>
    <w:p w14:paraId="242654BB" w14:textId="77777777" w:rsidR="00B37F05" w:rsidRPr="00D06E2E" w:rsidRDefault="00B37F05" w:rsidP="00B37F05">
      <w:pPr>
        <w:rPr>
          <w:lang w:val="sr-Latn-RS"/>
        </w:rPr>
      </w:pPr>
      <w:r w:rsidRPr="00D06E2E">
        <w:rPr>
          <w:lang w:val="sr-Latn-RS"/>
        </w:rPr>
        <w:t>In the reporting period, the Protector of Citizens monitored the actions of the Tax Administration based on the recommendation</w:t>
      </w:r>
      <w:r w:rsidRPr="00D06E2E">
        <w:rPr>
          <w:rStyle w:val="FootnoteReference"/>
          <w:lang w:val="sr-Latn-RS"/>
        </w:rPr>
        <w:footnoteReference w:id="136"/>
      </w:r>
      <w:r w:rsidRPr="00D06E2E">
        <w:rPr>
          <w:lang w:val="sr-Latn-RS"/>
        </w:rPr>
        <w:t xml:space="preserve"> sent at the end of 2022. Namely, the Protector </w:t>
      </w:r>
      <w:r w:rsidRPr="00D06E2E">
        <w:rPr>
          <w:lang w:val="sr-Latn-RS"/>
        </w:rPr>
        <w:lastRenderedPageBreak/>
        <w:t>of Citizens found that the Tax Administration acted illegally and improperly when determining the basis for acquiring rights to real estate, which is important for determining the obligation to pay capital gains tax and the amount of tax, that is, the right to be exempt from paying capital gains tax. For this reason, he sent a report on the case with recommendation with a recommendation to the Tax Administration to cancel the final decision that imposed capital gains tax on the complainant and issue a new decision based on the law. The Tax Administration fully complied with the recommendations of the Protector of Citizens and amended the legally binding decision and reversed the debts on that basis.</w:t>
      </w:r>
    </w:p>
    <w:p w14:paraId="6D8D43ED" w14:textId="77777777" w:rsidR="00B37F05" w:rsidRPr="00D06E2E" w:rsidRDefault="00B37F05" w:rsidP="00B37F05">
      <w:pPr>
        <w:rPr>
          <w:lang w:val="sr-Latn-RS"/>
        </w:rPr>
      </w:pPr>
      <w:r w:rsidRPr="00D06E2E">
        <w:rPr>
          <w:lang w:val="sr-Latn-RS"/>
        </w:rPr>
        <w:t>In the reporting period, citizens complained about the work of the Tax Administration's organizational units due to non-decisions within the legal deadlines according to citizens' requests or untimely decision-making in the retrial after the decision was annulled by the decision of the second-instance authority and the case was returned for retrial and decision-making. After the Protector of Citizens initiated the examination procedure, the Tax Administration eliminated the deficiencies in the work and the examination procedures were suspended.</w:t>
      </w:r>
    </w:p>
    <w:p w14:paraId="5F73CB90" w14:textId="77777777" w:rsidR="00B37F05" w:rsidRPr="00D06E2E" w:rsidRDefault="00B37F05" w:rsidP="00B37F05">
      <w:pPr>
        <w:spacing w:after="0"/>
        <w:rPr>
          <w:lang w:val="sr-Latn-RS"/>
        </w:rPr>
      </w:pPr>
      <w:r w:rsidRPr="00D06E2E">
        <w:rPr>
          <w:lang w:val="sr-Latn-RS"/>
        </w:rPr>
        <w:t>After conducting an investigation into the legality and regularity of the work of the Municipal Administration of the Municipality of Mionica, the Protector of Citizens established that the Department for Taxes and Local Public Revenues of the Budget and Finance Department of the Municipal Administration of the Municipality of Mionica acted improperly and illegally on the complainant's complaints, because the complainant's complaint was filed against the decision on the determination of the property tax for the year 2022, he did not submit it for decision within the legal deadline, nor within a further period of seven months, as well as that he does not have written evidence on the appeal against the decision on the determination of the property tax for the year 2019, and on the appeal against decision on the determination of property tax for the year 2021, no statement was submitted. The Protector of Citizens has sent a report on the case with recommendations</w:t>
      </w:r>
      <w:r w:rsidRPr="00D06E2E">
        <w:rPr>
          <w:rStyle w:val="FootnoteReference"/>
          <w:lang w:val="sr-Latn-RS"/>
        </w:rPr>
        <w:footnoteReference w:id="137"/>
      </w:r>
      <w:r w:rsidRPr="00D06E2E">
        <w:rPr>
          <w:lang w:val="sr-Latn-RS"/>
        </w:rPr>
        <w:t xml:space="preserve"> to the authority to take all measures within its competence and as soon as possible to forward the complaint filed by the complainant against the decision on determining the property tax for the year 2022 to the second-instance authority for decision, then to take all measures to find the complainant's appeal filed against the decision on the determination of property tax for 2019 or, in the event that it has been lost, ex officio proceed with the renewal of the case, as well as take all measures to establish all the facts related to the complainant's appeal against the decisions on determining the property tax for 2021. Finally, a report on the case was sent with recommendations to the authority to take all measures in order to ensure that complaints are submitted to the competent second-instance authority within the prescribed period. The recommendation was acted upon after the deadline.</w:t>
      </w:r>
    </w:p>
    <w:p w14:paraId="785545E0" w14:textId="77777777" w:rsidR="00B37F05" w:rsidRPr="00D06E2E" w:rsidRDefault="00B37F05" w:rsidP="00B37F05">
      <w:pPr>
        <w:spacing w:after="0"/>
        <w:contextualSpacing/>
        <w:rPr>
          <w:rFonts w:eastAsia="Times New Roman" w:cs="Times New Roman"/>
          <w:caps/>
          <w:sz w:val="24"/>
          <w:szCs w:val="24"/>
          <w:lang w:val="sr-Latn-RS"/>
        </w:rPr>
      </w:pPr>
    </w:p>
    <w:p w14:paraId="7A669829" w14:textId="77777777" w:rsidR="00B37F05" w:rsidRPr="00D06E2E" w:rsidRDefault="00B37F05" w:rsidP="00B37F05">
      <w:pPr>
        <w:contextualSpacing/>
        <w:rPr>
          <w:rFonts w:eastAsia="Times New Roman" w:cs="Times New Roman"/>
          <w:b/>
          <w:caps/>
          <w:sz w:val="24"/>
          <w:szCs w:val="24"/>
          <w:lang w:val="sr-Latn-RS"/>
        </w:rPr>
      </w:pPr>
      <w:r w:rsidRPr="00D06E2E">
        <w:rPr>
          <w:rFonts w:eastAsia="Times New Roman" w:cs="Times New Roman"/>
          <w:b/>
          <w:sz w:val="24"/>
          <w:szCs w:val="24"/>
          <w:lang w:val="sr-Latn-RS"/>
        </w:rPr>
        <w:t>Internal affairs</w:t>
      </w:r>
    </w:p>
    <w:p w14:paraId="4CE84B6A" w14:textId="77777777" w:rsidR="00B37F05" w:rsidRPr="00D06E2E" w:rsidRDefault="00B37F05" w:rsidP="00B37F05">
      <w:pPr>
        <w:pStyle w:val="Default"/>
        <w:spacing w:after="120"/>
        <w:jc w:val="both"/>
        <w:rPr>
          <w:rFonts w:ascii="Book Antiqua" w:hAnsi="Book Antiqua"/>
          <w:sz w:val="22"/>
          <w:szCs w:val="22"/>
          <w:lang w:val="sr-Latn-RS"/>
        </w:rPr>
      </w:pPr>
      <w:r w:rsidRPr="00D06E2E">
        <w:rPr>
          <w:rFonts w:ascii="Book Antiqua" w:hAnsi="Book Antiqua"/>
          <w:sz w:val="22"/>
          <w:szCs w:val="22"/>
          <w:lang w:val="sr-Latn-RS"/>
        </w:rPr>
        <w:t>In the reporting period, the Protector of Citizens received a greater number of complaints than in 2022, which related to dissatisfaction with the work of the Ministry of Interior, of which the largest number related to the non-implementation of the complaint procedure in accordance with the Law on Police. In those cases, the Protector of Citizens initiated proceedings which he soon suspended after, in most cases, the Ministry of Interiorconducted and ended the complaint proceedings.</w:t>
      </w:r>
    </w:p>
    <w:p w14:paraId="06A1F85B" w14:textId="77777777" w:rsidR="00B37F05" w:rsidRPr="00D06E2E" w:rsidRDefault="00B37F05" w:rsidP="00B37F05">
      <w:pPr>
        <w:pStyle w:val="Default"/>
        <w:spacing w:after="120"/>
        <w:jc w:val="both"/>
        <w:rPr>
          <w:rFonts w:ascii="Book Antiqua" w:hAnsi="Book Antiqua"/>
          <w:sz w:val="22"/>
          <w:szCs w:val="22"/>
          <w:lang w:val="sr-Latn-RS"/>
        </w:rPr>
      </w:pPr>
      <w:r w:rsidRPr="00D06E2E">
        <w:rPr>
          <w:rFonts w:ascii="Book Antiqua" w:hAnsi="Book Antiqua"/>
          <w:sz w:val="22"/>
          <w:szCs w:val="22"/>
          <w:lang w:val="sr-Latn-RS"/>
        </w:rPr>
        <w:t xml:space="preserve">Citizens also expressed dissatisfaction with the behavior of police officers, which mostly related to verbal communication. Then, they complained about being held at the border crossings, the administrative crossing of the Autonomous Province of Kosovo and Metohia, </w:t>
      </w:r>
      <w:r w:rsidRPr="00D06E2E">
        <w:rPr>
          <w:rFonts w:ascii="Book Antiqua" w:hAnsi="Book Antiqua"/>
          <w:sz w:val="22"/>
          <w:szCs w:val="22"/>
          <w:lang w:val="sr-Latn-RS"/>
        </w:rPr>
        <w:lastRenderedPageBreak/>
        <w:t xml:space="preserve">the non-decision on requests for registration of residence or the rejection of requests. A certain number of complaints related to non-determination of the request for acquisition of citizenship, re-acquisition of citizenship and release from citizenship. A number of complaints related to the non-decision on the request for obtaining a travel document, vehicle registration and issuance of driver's licenses. When it comes to the rejection of requests to keep and carry weapons, dissatisfaction with the confiscation of weapons and weapons certificates was recorded in a smaller number of complaints than in previous years. Citizens also filed complaints due to non-decision on appeals within the legal term and non-decision on requests for issuing certificates in accordance with the Law on Administrative Procedure. Then, complaints were received from police officers who were dissatisfied with the decision on deployment, as well as a certain number of police officers due to non-decision in the form of </w:t>
      </w:r>
    </w:p>
    <w:p w14:paraId="0EC15C2E" w14:textId="77777777" w:rsidR="00B37F05" w:rsidRPr="00D06E2E" w:rsidRDefault="00B37F05" w:rsidP="00B37F05">
      <w:pPr>
        <w:pStyle w:val="Default"/>
        <w:spacing w:after="120"/>
        <w:jc w:val="both"/>
        <w:rPr>
          <w:rFonts w:ascii="Book Antiqua" w:hAnsi="Book Antiqua"/>
          <w:sz w:val="22"/>
          <w:szCs w:val="22"/>
          <w:lang w:val="sr-Latn-RS"/>
        </w:rPr>
      </w:pPr>
      <w:r w:rsidRPr="00D06E2E">
        <w:rPr>
          <w:rFonts w:ascii="Book Antiqua" w:hAnsi="Book Antiqua"/>
          <w:sz w:val="22"/>
          <w:szCs w:val="22"/>
          <w:lang w:val="sr-Latn-RS"/>
        </w:rPr>
        <w:t>When it comes to citizens' dissatisfaction due to the non-implementation of the complaint procedure after the complaint was submitted to the Ministry of the Interior, the Protector of Citizens sent a report on the case with recommendations</w:t>
      </w:r>
      <w:r w:rsidRPr="00D06E2E">
        <w:rPr>
          <w:rStyle w:val="FootnoteReference"/>
          <w:sz w:val="22"/>
          <w:szCs w:val="22"/>
          <w:lang w:val="sr-Latn-RS"/>
        </w:rPr>
        <w:footnoteReference w:id="138"/>
      </w:r>
      <w:r w:rsidRPr="00D06E2E">
        <w:rPr>
          <w:rFonts w:ascii="Book Antiqua" w:hAnsi="Book Antiqua"/>
          <w:sz w:val="22"/>
          <w:szCs w:val="22"/>
          <w:lang w:val="sr-Latn-RS"/>
        </w:rPr>
        <w:t xml:space="preserve"> that the Ministry of the Interior acted upon, bearing in mind that during the procedure it was indisputably established that the citizen submitted the complaint in in accordance with the Law on the Police, without a complaint procedure being carried out.</w:t>
      </w:r>
    </w:p>
    <w:p w14:paraId="2AFA0F21" w14:textId="77777777" w:rsidR="00B37F05" w:rsidRPr="00D06E2E" w:rsidRDefault="00B37F05" w:rsidP="00B37F05">
      <w:pPr>
        <w:pStyle w:val="Default"/>
        <w:jc w:val="both"/>
        <w:rPr>
          <w:rFonts w:ascii="Book Antiqua" w:hAnsi="Book Antiqua" w:cs="Book Antiqua"/>
          <w:sz w:val="22"/>
          <w:szCs w:val="22"/>
          <w:lang w:val="sr-Latn-RS"/>
        </w:rPr>
      </w:pPr>
      <w:r w:rsidRPr="00D06E2E">
        <w:rPr>
          <w:rFonts w:ascii="Book Antiqua" w:hAnsi="Book Antiqua" w:cs="Book Antiqua"/>
          <w:sz w:val="22"/>
          <w:szCs w:val="22"/>
          <w:lang w:val="sr-Latn-RS"/>
        </w:rPr>
        <w:t>The Ministry of Internal Affairs acted on most of the recommendations from the previous reporting period.</w:t>
      </w:r>
    </w:p>
    <w:p w14:paraId="5623243A" w14:textId="77777777" w:rsidR="00B37F05" w:rsidRPr="00D06E2E" w:rsidRDefault="00B37F05" w:rsidP="00B37F05">
      <w:pPr>
        <w:pStyle w:val="Default"/>
        <w:jc w:val="both"/>
        <w:rPr>
          <w:rFonts w:ascii="Book Antiqua" w:hAnsi="Book Antiqua" w:cs="Book Antiqua"/>
          <w:sz w:val="10"/>
          <w:szCs w:val="10"/>
          <w:lang w:val="sr-Latn-RS"/>
        </w:rPr>
      </w:pPr>
    </w:p>
    <w:p w14:paraId="1D31AA9A" w14:textId="77777777" w:rsidR="00B37F05" w:rsidRPr="00D06E2E" w:rsidRDefault="00B37F05" w:rsidP="00B37F05">
      <w:pPr>
        <w:pStyle w:val="Default"/>
        <w:jc w:val="both"/>
        <w:rPr>
          <w:rFonts w:ascii="Book Antiqua" w:hAnsi="Book Antiqua" w:cs="Book Antiqua"/>
          <w:sz w:val="22"/>
          <w:szCs w:val="22"/>
          <w:lang w:val="sr-Latn-RS"/>
        </w:rPr>
      </w:pPr>
      <w:r w:rsidRPr="00D06E2E">
        <w:rPr>
          <w:rFonts w:ascii="Book Antiqua" w:hAnsi="Book Antiqua" w:cs="Book Antiqua"/>
          <w:sz w:val="22"/>
          <w:szCs w:val="22"/>
          <w:lang w:val="sr-Latn-RS"/>
        </w:rPr>
        <w:t>In the proceedings he led, the Protector of Citizens established that there are a certain number of requests for citizenship acquisition, re-acquisition of citizenship or dismissal that have not yet been decided. The Protector of Citizens states that the Administration for Administrative Affairs, after the initiation of the control procedure of the Protector of Citizens, eliminated deficiencies in its work by deciding on requests, after which the procedures were suspended. However, in a certain number of cases, control procedures are still ongoing, because the Ministry of Interior has not decided on the citizens' requests.</w:t>
      </w:r>
    </w:p>
    <w:p w14:paraId="156A8E25" w14:textId="77777777" w:rsidR="00B37F05" w:rsidRPr="00D06E2E" w:rsidRDefault="00B37F05" w:rsidP="00B37F05">
      <w:pPr>
        <w:pStyle w:val="Default"/>
        <w:jc w:val="both"/>
        <w:rPr>
          <w:rFonts w:ascii="Book Antiqua" w:hAnsi="Book Antiqua" w:cs="Book Antiqua"/>
          <w:sz w:val="10"/>
          <w:szCs w:val="10"/>
          <w:lang w:val="sr-Latn-RS"/>
        </w:rPr>
      </w:pPr>
    </w:p>
    <w:p w14:paraId="33DBDDC2" w14:textId="77777777" w:rsidR="00B37F05" w:rsidRPr="00D06E2E" w:rsidRDefault="00B37F05" w:rsidP="00B37F05">
      <w:pPr>
        <w:pStyle w:val="Default"/>
        <w:spacing w:after="120"/>
        <w:jc w:val="both"/>
        <w:rPr>
          <w:rFonts w:ascii="Book Antiqua" w:hAnsi="Book Antiqua" w:cs="Book Antiqua"/>
          <w:sz w:val="22"/>
          <w:szCs w:val="22"/>
          <w:lang w:val="sr-Latn-RS"/>
        </w:rPr>
      </w:pPr>
      <w:r w:rsidRPr="00D06E2E">
        <w:rPr>
          <w:rFonts w:ascii="Book Antiqua" w:hAnsi="Book Antiqua" w:cs="Book Antiqua"/>
          <w:sz w:val="22"/>
          <w:szCs w:val="22"/>
          <w:lang w:val="sr-Latn-RS"/>
        </w:rPr>
        <w:t>In 2023, the Protector of Citizens received complaints from citizens about being detained at border crossings by the Border Police Administration. In certain cases, citizens were instructed to file complaints in accordance with the Law on Police, and in cases where legal remedies were exhausted, proceedings were initiated in which the Protector of Citizens and the complainant were informed of the reasons for detention, after which the proceedings ended with a suspension. When it comes to being detained at the administrative crossing of the Autonomous Province of Kosovo and Metohija, the complainants were instructed to file complaints about the work of police officers or proceedings were initiated which also ended in suspension because the observed deficiencies were eliminated.</w:t>
      </w:r>
    </w:p>
    <w:p w14:paraId="14D73DC9" w14:textId="77777777" w:rsidR="00B37F05" w:rsidRPr="00D06E2E" w:rsidRDefault="00B37F05" w:rsidP="00B37F05">
      <w:pPr>
        <w:pStyle w:val="Default"/>
        <w:spacing w:after="120"/>
        <w:jc w:val="both"/>
        <w:rPr>
          <w:rFonts w:ascii="Book Antiqua" w:hAnsi="Book Antiqua"/>
          <w:sz w:val="22"/>
          <w:szCs w:val="22"/>
          <w:lang w:val="sr-Latn-RS"/>
        </w:rPr>
      </w:pPr>
      <w:r w:rsidRPr="00D06E2E">
        <w:rPr>
          <w:rFonts w:ascii="Book Antiqua" w:hAnsi="Book Antiqua"/>
          <w:sz w:val="22"/>
          <w:szCs w:val="22"/>
          <w:lang w:val="sr-Latn-RS"/>
        </w:rPr>
        <w:t>Complaints that were submitted due to the non-decision on the request for obtaining an identity card, travel document, vehicle registration and issuance of driver's license, ended with a suspension, bearing in mind that, after the initiation of the control procedure of the Protector of Citizens, the Ministry of Internal Affairs issued public documents or passed decisions on rejecting the request.</w:t>
      </w:r>
    </w:p>
    <w:p w14:paraId="206A077C" w14:textId="77777777" w:rsidR="00B37F05" w:rsidRPr="00D06E2E" w:rsidRDefault="00B37F05" w:rsidP="00B37F05">
      <w:pPr>
        <w:pStyle w:val="Default"/>
        <w:jc w:val="both"/>
        <w:rPr>
          <w:rFonts w:ascii="Book Antiqua" w:hAnsi="Book Antiqua" w:cs="Book Antiqua"/>
          <w:sz w:val="22"/>
          <w:szCs w:val="22"/>
          <w:lang w:val="sr-Latn-RS"/>
        </w:rPr>
      </w:pPr>
      <w:r w:rsidRPr="00D06E2E">
        <w:rPr>
          <w:rFonts w:ascii="Book Antiqua" w:hAnsi="Book Antiqua" w:cs="Book Antiqua"/>
          <w:sz w:val="22"/>
          <w:szCs w:val="22"/>
          <w:lang w:val="sr-Latn-RS"/>
        </w:rPr>
        <w:t xml:space="preserve">In the proceedings he led, the Protector of Citizens established that there are a certain number of requests for citizenship acquisition, re-acquisition of citizenship or dismissal that have not yet been decided. The Protector of Citizens states that the Administration for Administrative Affairs, after the initiation of the control procedure of the Protector of Citizens, eliminated deficiencies in its work by deciding on requests, after which the procedures were suspended. </w:t>
      </w:r>
      <w:r w:rsidRPr="00D06E2E">
        <w:rPr>
          <w:rFonts w:ascii="Book Antiqua" w:hAnsi="Book Antiqua" w:cs="Book Antiqua"/>
          <w:sz w:val="22"/>
          <w:szCs w:val="22"/>
          <w:lang w:val="sr-Latn-RS"/>
        </w:rPr>
        <w:lastRenderedPageBreak/>
        <w:t>However, in a certain number of cases, control procedures are still ongoing, because the Ministry of Interior has not decided on the citizens' requests.</w:t>
      </w:r>
    </w:p>
    <w:p w14:paraId="1EADF41E" w14:textId="77777777" w:rsidR="00B37F05" w:rsidRPr="00D06E2E" w:rsidRDefault="00B37F05" w:rsidP="00B37F05">
      <w:pPr>
        <w:pStyle w:val="Default"/>
        <w:rPr>
          <w:rFonts w:ascii="Book Antiqua" w:hAnsi="Book Antiqua" w:cs="Book Antiqua"/>
          <w:sz w:val="10"/>
          <w:szCs w:val="10"/>
          <w:lang w:val="sr-Latn-RS"/>
        </w:rPr>
      </w:pPr>
    </w:p>
    <w:p w14:paraId="127AF519" w14:textId="77777777" w:rsidR="00B37F05" w:rsidRPr="00D06E2E" w:rsidRDefault="00B37F05" w:rsidP="00B37F05">
      <w:pPr>
        <w:pStyle w:val="Default"/>
        <w:spacing w:after="120"/>
        <w:jc w:val="both"/>
        <w:rPr>
          <w:rFonts w:ascii="Book Antiqua" w:hAnsi="Book Antiqua" w:cs="Book Antiqua"/>
          <w:sz w:val="22"/>
          <w:szCs w:val="22"/>
          <w:lang w:val="sr-Latn-RS"/>
        </w:rPr>
      </w:pPr>
      <w:r w:rsidRPr="00D06E2E">
        <w:rPr>
          <w:rFonts w:ascii="Book Antiqua" w:hAnsi="Book Antiqua" w:cs="Book Antiqua"/>
          <w:sz w:val="22"/>
          <w:szCs w:val="22"/>
          <w:lang w:val="sr-Latn-RS"/>
        </w:rPr>
        <w:t>In 2023, the Protector of Citizens received complaints from citizens about being detained at border crossings by the Border Police Administration. In certain cases, citizens were instructed to file complaints in accordance with the Law on Police, and in cases where legal remedies were exhausted, proceedings were initiated in which the Protector of Citizens and the complainant were informed of the reasons for detention, after which the proceedings ended with a suspension. When it comes to being detained at the administrative crossing of the Autonomous Province of Kosovo and Metohija, the complainants were instructed to file complaints about the work of police officers or proceedings were initiated which also ended in suspension because the observed deficiencies were eliminated.</w:t>
      </w:r>
    </w:p>
    <w:p w14:paraId="12197D87" w14:textId="77777777" w:rsidR="00B37F05" w:rsidRPr="00D06E2E" w:rsidRDefault="00B37F05" w:rsidP="00B37F05">
      <w:pPr>
        <w:pStyle w:val="Default"/>
        <w:spacing w:after="120"/>
        <w:jc w:val="both"/>
        <w:rPr>
          <w:rFonts w:ascii="Book Antiqua" w:hAnsi="Book Antiqua"/>
          <w:sz w:val="22"/>
          <w:szCs w:val="22"/>
          <w:lang w:val="sr-Latn-RS"/>
        </w:rPr>
      </w:pPr>
      <w:r w:rsidRPr="00D06E2E">
        <w:rPr>
          <w:rFonts w:ascii="Book Antiqua" w:hAnsi="Book Antiqua"/>
          <w:sz w:val="22"/>
          <w:szCs w:val="22"/>
          <w:lang w:val="sr-Latn-RS"/>
        </w:rPr>
        <w:t>In this reporting period, a smaller number of complaints related to the implementation of the Law on Arms and Ammunition were received compared to previous years. Dissatisfaction of the citizens mostly related to the adoption of a decision on the confiscation of weapons and weapons certificates for "security reasons". The Protector of Citizens believes that the Ministry of Interior should pay special attention to the rejection of requests or confiscation of weapons based solely on a "security check", bearing in mind that its content, form and competence of the person performing the security check are not regulated by the law or by-laws for in these cases, it is already a matter of discretionary assessment.</w:t>
      </w:r>
    </w:p>
    <w:p w14:paraId="76F1556B" w14:textId="77777777" w:rsidR="00B37F05" w:rsidRPr="00D06E2E" w:rsidRDefault="00B37F05" w:rsidP="00B37F05">
      <w:pPr>
        <w:pStyle w:val="Default"/>
        <w:spacing w:after="120"/>
        <w:jc w:val="both"/>
        <w:rPr>
          <w:rFonts w:ascii="Book Antiqua" w:hAnsi="Book Antiqua"/>
          <w:sz w:val="22"/>
          <w:szCs w:val="22"/>
          <w:lang w:val="sr-Latn-RS"/>
        </w:rPr>
      </w:pPr>
      <w:r w:rsidRPr="00D06E2E">
        <w:rPr>
          <w:rFonts w:ascii="Book Antiqua" w:hAnsi="Book Antiqua"/>
          <w:sz w:val="22"/>
          <w:szCs w:val="22"/>
          <w:lang w:val="sr-Latn-RS"/>
        </w:rPr>
        <w:t>In 2023, the complaints of citizens who expressed their dissatisfaction because, in their opinion, the Ministry of Interior unfoundedly submitted requests for the initiation of misdemeanor proceedings against them were acted upon. Citizens were taught that the competent Misdemeanor Court decides on responsibility, and that if they are dissatisfied with the formulation of the request, they have the option of filing a complaint in accordance with the Law on Police.</w:t>
      </w:r>
    </w:p>
    <w:p w14:paraId="2366DE9D" w14:textId="77777777" w:rsidR="00B37F05" w:rsidRPr="00D06E2E" w:rsidRDefault="00B37F05" w:rsidP="00B37F05">
      <w:pPr>
        <w:pStyle w:val="Default"/>
        <w:spacing w:after="120"/>
        <w:jc w:val="both"/>
        <w:rPr>
          <w:rFonts w:ascii="Book Antiqua" w:hAnsi="Book Antiqua"/>
          <w:sz w:val="22"/>
          <w:szCs w:val="22"/>
          <w:lang w:val="sr-Latn-RS"/>
        </w:rPr>
      </w:pPr>
      <w:r w:rsidRPr="00D06E2E">
        <w:rPr>
          <w:rFonts w:ascii="Book Antiqua" w:hAnsi="Book Antiqua"/>
          <w:sz w:val="22"/>
          <w:szCs w:val="22"/>
          <w:lang w:val="sr-Latn-RS"/>
        </w:rPr>
        <w:t>In the previous year, the Protector of Citizens received two complaints from dissatisfied participants of the Center for Basic Police Training in Sremska Kamenica, whose contracts were unilaterally terminated after a few months due to a negative security check found during the training. Since the dissatisfied participants turned to the Ministry of Internal Affairs for an insight into the security check, and it referred them to the Commissioner for Information of Public Importance and Protection of Personal Data, the Protector of Citizens rejected these complaints due to lack of jurisdiction, since the control of the implementation of the Data Protection Act on personal data is under the exclusive jurisdiction of the Commissioner for Information of Public Importance and Protection of Personal Data.</w:t>
      </w:r>
    </w:p>
    <w:p w14:paraId="3C76E083" w14:textId="77777777" w:rsidR="00B37F05" w:rsidRPr="00D06E2E" w:rsidRDefault="00B37F05" w:rsidP="00B37F05">
      <w:pPr>
        <w:rPr>
          <w:rFonts w:eastAsia="Times New Roman" w:cs="Times New Roman"/>
          <w:color w:val="000000"/>
          <w:lang w:val="sr-Latn-RS"/>
        </w:rPr>
      </w:pPr>
      <w:r w:rsidRPr="00D06E2E">
        <w:rPr>
          <w:rFonts w:eastAsia="Times New Roman" w:cs="Times New Roman"/>
          <w:color w:val="000000"/>
          <w:lang w:val="sr-Latn-RS"/>
        </w:rPr>
        <w:t>When it comes to proceedings for unfounded - wrongly paid funds, after the initiated control procedure of the Protector of Citizens, the funds were returned to the complainants, and the proceedings were suspended.</w:t>
      </w:r>
    </w:p>
    <w:p w14:paraId="378FD343" w14:textId="77777777" w:rsidR="00B37F05" w:rsidRPr="00D06E2E" w:rsidRDefault="00B37F05" w:rsidP="00B37F05">
      <w:pPr>
        <w:rPr>
          <w:rFonts w:eastAsia="Times New Roman" w:cs="Times New Roman"/>
          <w:color w:val="000000"/>
          <w:lang w:val="sr-Latn-RS"/>
        </w:rPr>
      </w:pPr>
      <w:r w:rsidRPr="00D06E2E">
        <w:rPr>
          <w:rFonts w:eastAsia="Times New Roman" w:cs="Times New Roman"/>
          <w:color w:val="000000"/>
          <w:lang w:val="sr-Latn-RS"/>
        </w:rPr>
        <w:t>The Protector of Citizens also received complaints from citizens who were dissatisfied that, in accordance with the Law on Administrative Procedure, their requests for inspection of case files were not decided. The proceedings ended with a suspension, because the shortcomings were eliminated after the initiation of the proceedings by the Protector of Citizens.</w:t>
      </w:r>
    </w:p>
    <w:p w14:paraId="23A88ABB" w14:textId="77777777" w:rsidR="00B37F05" w:rsidRPr="00D06E2E" w:rsidRDefault="00B37F05" w:rsidP="00B37F05">
      <w:pPr>
        <w:autoSpaceDE w:val="0"/>
        <w:autoSpaceDN w:val="0"/>
        <w:adjustRightInd w:val="0"/>
        <w:spacing w:after="0"/>
        <w:rPr>
          <w:lang w:val="sr-Latn-RS"/>
        </w:rPr>
      </w:pPr>
      <w:r w:rsidRPr="00D06E2E">
        <w:rPr>
          <w:lang w:val="sr-Latn-RS"/>
        </w:rPr>
        <w:t xml:space="preserve">Also in this reporting period, a certain number of complaints from retired police officers were received, because a decision was not made on their requests for the issuance of a certificate of engagement in the execution of tasks for the purpose of defending the sovereignty, independence and territorial integrity of the Republic of Serbia on the territory of Kosovo and Metohia, and for the exercise of the rights that they belong to them according to the Law on the rights of veterans, military invalids, civil war invalids and their family members. After the </w:t>
      </w:r>
      <w:r w:rsidRPr="00D06E2E">
        <w:rPr>
          <w:lang w:val="sr-Latn-RS"/>
        </w:rPr>
        <w:lastRenderedPageBreak/>
        <w:t>proceedings initiated by the Protector of Citizens, the Ministry of Interior eliminated the deficiencies.</w:t>
      </w:r>
    </w:p>
    <w:p w14:paraId="13DEF629" w14:textId="77777777" w:rsidR="00B37F05" w:rsidRPr="00D06E2E" w:rsidRDefault="00B37F05" w:rsidP="00B37F05">
      <w:pPr>
        <w:autoSpaceDE w:val="0"/>
        <w:autoSpaceDN w:val="0"/>
        <w:adjustRightInd w:val="0"/>
        <w:spacing w:after="0"/>
        <w:rPr>
          <w:lang w:val="sr-Latn-RS"/>
        </w:rPr>
      </w:pPr>
      <w:r w:rsidRPr="00D06E2E">
        <w:rPr>
          <w:lang w:val="sr-Latn-RS"/>
        </w:rPr>
        <w:t>In 2023, a certain number of complaints were received from police officers dissatisfied with the fact that their requests were not decided in the form of an administrative act, but in the form of a notification denying them the right to appeal. After the initiation of the control procedure by the Protector of Citizens, the deficiencies were eliminated.</w:t>
      </w:r>
    </w:p>
    <w:p w14:paraId="6B964EA5" w14:textId="77777777" w:rsidR="00B37F05" w:rsidRPr="00D06E2E" w:rsidRDefault="00B37F05" w:rsidP="00B37F05">
      <w:pPr>
        <w:autoSpaceDE w:val="0"/>
        <w:autoSpaceDN w:val="0"/>
        <w:adjustRightInd w:val="0"/>
        <w:spacing w:after="0"/>
        <w:rPr>
          <w:lang w:val="sr-Latn-RS"/>
        </w:rPr>
      </w:pPr>
    </w:p>
    <w:p w14:paraId="00540249" w14:textId="77777777" w:rsidR="00B37F05" w:rsidRPr="00D06E2E" w:rsidRDefault="00B37F05" w:rsidP="00B37F05">
      <w:pPr>
        <w:rPr>
          <w:rFonts w:cs="Times New Roman"/>
          <w:b/>
          <w:bCs/>
          <w:lang w:val="sr-Latn-RS"/>
        </w:rPr>
      </w:pPr>
      <w:r w:rsidRPr="00D06E2E">
        <w:rPr>
          <w:rFonts w:cs="Times New Roman"/>
          <w:b/>
          <w:bCs/>
          <w:lang w:val="sr-Latn-RS"/>
        </w:rPr>
        <w:t>Defense</w:t>
      </w:r>
    </w:p>
    <w:p w14:paraId="31E86531" w14:textId="77777777" w:rsidR="00B37F05" w:rsidRPr="00D06E2E" w:rsidRDefault="00B37F05" w:rsidP="00B37F05">
      <w:pPr>
        <w:spacing w:after="0"/>
        <w:rPr>
          <w:b/>
          <w:lang w:val="sr-Latn-RS"/>
        </w:rPr>
      </w:pPr>
      <w:r w:rsidRPr="00D06E2E">
        <w:rPr>
          <w:rFonts w:cs="Times New Roman"/>
          <w:lang w:val="sr-Latn-RS"/>
        </w:rPr>
        <w:t>In 2023 citizens most often expressed dissatisfaction with the unresolved housing issue through complaints. They also indicated that they do not receive timely information from the Ministry of Defense that they need in order to exercise their rights. After learning that the Protector of Citizens had initiated control procedures, the Ministry of Defense provided the requested data to the complainants, and the procedures were suspended.</w:t>
      </w:r>
    </w:p>
    <w:p w14:paraId="05194438" w14:textId="77777777" w:rsidR="00B37F05" w:rsidRPr="00D06E2E" w:rsidRDefault="00B37F05" w:rsidP="00B37F05">
      <w:pPr>
        <w:spacing w:after="0"/>
        <w:rPr>
          <w:b/>
          <w:lang w:val="sr-Latn-RS"/>
        </w:rPr>
      </w:pPr>
    </w:p>
    <w:p w14:paraId="355AD350" w14:textId="77777777" w:rsidR="00B37F05" w:rsidRPr="00D06E2E" w:rsidRDefault="00B37F05" w:rsidP="00B37F05">
      <w:pPr>
        <w:rPr>
          <w:b/>
          <w:lang w:val="sr-Latn-RS"/>
        </w:rPr>
      </w:pPr>
      <w:r w:rsidRPr="00D06E2E">
        <w:rPr>
          <w:b/>
          <w:lang w:val="sr-Latn-RS"/>
        </w:rPr>
        <w:t>Health</w:t>
      </w:r>
    </w:p>
    <w:p w14:paraId="78697C06" w14:textId="77777777" w:rsidR="00B37F05" w:rsidRPr="00D06E2E" w:rsidRDefault="00B37F05" w:rsidP="00B37F05">
      <w:pPr>
        <w:rPr>
          <w:lang w:val="sr-Latn-RS"/>
        </w:rPr>
      </w:pPr>
      <w:r w:rsidRPr="00D06E2E">
        <w:rPr>
          <w:lang w:val="sr-Latn-RS"/>
        </w:rPr>
        <w:t>In the reporting year, the Protector of Citizens received complaints from citizens related to the protection of patients' rights, without the complainants having previously addressed the competent authorities in the health institution, the advisor for the protection of patients' rights and/or the competent inspection of the Ministry of Health. Some citizens were not informed, but most of them emphasized that they did not trust the effectiveness of the prescribed mechanisms for the protection of patients' rights.</w:t>
      </w:r>
    </w:p>
    <w:p w14:paraId="01C7FBD4" w14:textId="77777777" w:rsidR="00B37F05" w:rsidRPr="00D06E2E" w:rsidRDefault="00B37F05" w:rsidP="00B37F05">
      <w:pPr>
        <w:rPr>
          <w:lang w:val="sr-Latn-RS"/>
        </w:rPr>
      </w:pPr>
      <w:r w:rsidRPr="00D06E2E">
        <w:rPr>
          <w:lang w:val="sr-Latn-RS"/>
        </w:rPr>
        <w:t>As an example of good behavior, the Protector of Citizens would like to highlight the activities of the National Health Insurance Fund (hereinafter referred to as the NHIF), which led to the improvement of the availability of innovative medicines for the treatment of insured persons suffering from rare diseases. During 2023, the Protector of Citizens was approached by a certain number of citizens suffering from cystic fibrosis</w:t>
      </w:r>
      <w:r w:rsidRPr="00D06E2E">
        <w:rPr>
          <w:rStyle w:val="FootnoteReference"/>
          <w:lang w:val="sr-Latn-RS"/>
        </w:rPr>
        <w:footnoteReference w:id="139"/>
      </w:r>
      <w:r w:rsidRPr="00D06E2E">
        <w:rPr>
          <w:lang w:val="sr-Latn-RS"/>
        </w:rPr>
        <w:t xml:space="preserve"> who expressed dissatisfaction with the method of treatment, indicating that persons suffering from this type of rare disease were not provided with adequate therapy. Based on the information obtained from the Ministry of Health and the NHIF, as well as other available and publicly available information, the Protector of Citizens is aware that a certain number of patients have been approved to start treatment with innovative therapy in accordance with the financial resources, and concludes that some progress has been made in recognizing the needs and a treatment option for patients with cystic fibrosis. Also, measures were taken to improve the prevention and diagnosis of rare diseases through prenatal diagnosis and neonatal screening, so neonatal screening for cystic fibrosis was introduced as mandatory.</w:t>
      </w:r>
    </w:p>
    <w:p w14:paraId="70149B0D" w14:textId="77777777" w:rsidR="00B37F05" w:rsidRPr="00D06E2E" w:rsidRDefault="00B37F05" w:rsidP="00B37F05">
      <w:pPr>
        <w:rPr>
          <w:lang w:val="sr-Latn-RS"/>
        </w:rPr>
      </w:pPr>
      <w:r w:rsidRPr="00D06E2E">
        <w:rPr>
          <w:lang w:val="sr-Latn-RS"/>
        </w:rPr>
        <w:t xml:space="preserve">The multiple increase in the budget for this type of therapy and the inclusion of new innovative drugs on the List of Medicines enabled better quality treatment for a large number of patients suffering from rare diseases, including those suffering from cystic fibrosis. At the same time, the Protector of Citizens expresses the hope that the competent NHIF Commission in the coming period, when deciding on the requests of persons suffering from cystic fibrosis, will directly lead to an increase in the number of insured persons who will be provided with the necessary therapy with adequate drugs. Also, bearing in mind that the Commission for the treatment of rare diseases is composed of eminent experts who treat patients with cystic fibrosis as well as representatives of cystic fibrosis patient associations, the Protector of Citizens gives full confidence to the competent Commission when deciding on the introduction of the drug Trikafta (Kaftrio + Kalideco) in therapy at the expense of the state </w:t>
      </w:r>
      <w:r w:rsidRPr="00D06E2E">
        <w:rPr>
          <w:lang w:val="sr-Latn-RS"/>
        </w:rPr>
        <w:lastRenderedPageBreak/>
        <w:t>according to medical priorities and expresses the hope that in due time funds will be provided for the treatment of all patients from the category of rare diseases.</w:t>
      </w:r>
    </w:p>
    <w:p w14:paraId="618D33EA" w14:textId="77777777" w:rsidR="00B37F05" w:rsidRPr="00D06E2E" w:rsidRDefault="00B37F05" w:rsidP="00B37F05">
      <w:pPr>
        <w:rPr>
          <w:bCs/>
          <w:lang w:val="sr-Latn-RS"/>
        </w:rPr>
      </w:pPr>
      <w:r w:rsidRPr="00D06E2E">
        <w:rPr>
          <w:bCs/>
          <w:lang w:val="sr-Latn-RS"/>
        </w:rPr>
        <w:t>Also in this reporting period, the Protector of Citizens received complaints from citizens indicating that the Ministry of Health does not comply with the requests for the implementation of an extraordinary external inspection of the quality of professional work or that it does not comply with legal obligations</w:t>
      </w:r>
      <w:r w:rsidRPr="00D06E2E">
        <w:rPr>
          <w:rStyle w:val="FootnoteReference"/>
          <w:rFonts w:cs="Arial"/>
          <w:lang w:val="sr-Latn-RS"/>
        </w:rPr>
        <w:footnoteReference w:id="140"/>
      </w:r>
      <w:r w:rsidRPr="00D06E2E">
        <w:rPr>
          <w:bCs/>
          <w:lang w:val="sr-Latn-RS"/>
        </w:rPr>
        <w:t>. In this regard, in order to eliminate the observed irregularities, the Protector of Citizens sent certain recommendations</w:t>
      </w:r>
      <w:r w:rsidRPr="00D06E2E">
        <w:rPr>
          <w:rStyle w:val="FootnoteReference"/>
          <w:rFonts w:cs="Arial"/>
          <w:lang w:val="sr-Latn-RS"/>
        </w:rPr>
        <w:footnoteReference w:id="141"/>
      </w:r>
      <w:r w:rsidRPr="00D06E2E">
        <w:rPr>
          <w:bCs/>
          <w:lang w:val="sr-Latn-RS"/>
        </w:rPr>
        <w:t xml:space="preserve"> to the Ministry of Health, which were not acted upon. It was recommended to the Ministry of Health that in the future it acts according to the requests for an extraordinary external inspection of the quality of professional work in health institutions in the manner and within the deadlines prescribed by law and makes sure that the decisions made on the implementation of extraordinary external inspections of the quality of professional work in health institutions are carried out in accordance with the period prescribed by law</w:t>
      </w:r>
      <w:r w:rsidRPr="00D06E2E">
        <w:rPr>
          <w:rStyle w:val="FootnoteReference"/>
          <w:bCs/>
          <w:lang w:val="sr-Latn-RS"/>
        </w:rPr>
        <w:footnoteReference w:id="142"/>
      </w:r>
      <w:r w:rsidRPr="00D06E2E">
        <w:rPr>
          <w:bCs/>
          <w:lang w:val="sr-Latn-RS"/>
        </w:rPr>
        <w:t>.</w:t>
      </w:r>
    </w:p>
    <w:p w14:paraId="010D8209" w14:textId="77777777" w:rsidR="00B37F05" w:rsidRPr="00D06E2E" w:rsidRDefault="00B37F05" w:rsidP="00B37F05">
      <w:pPr>
        <w:rPr>
          <w:lang w:val="sr-Latn-RS"/>
        </w:rPr>
      </w:pPr>
      <w:r w:rsidRPr="00D06E2E">
        <w:rPr>
          <w:lang w:val="sr-Latn-RS"/>
        </w:rPr>
        <w:t>The Protector of Citizens observed that the Ministry of Health in certain situations did not fulfill its legally prescribed obligation to cooperate because it did not respond to the requests of the Protector of Citizens within the prescribed period, did not provide answers to all questions and the requested documentation, sometimes even after emergency calls were made. This kind of action had the effect of prolonging the procedures for concrete complaints of citizens and thus making it difficult or impossible to protect the rights of citizens, which is why the Protector of Citizens once again sent recommendations to the Ministry of Health for non-cooperation</w:t>
      </w:r>
      <w:r w:rsidRPr="00D06E2E">
        <w:rPr>
          <w:rStyle w:val="FootnoteReference"/>
          <w:lang w:val="sr-Latn-RS"/>
        </w:rPr>
        <w:footnoteReference w:id="143"/>
      </w:r>
      <w:r w:rsidRPr="00D06E2E">
        <w:rPr>
          <w:lang w:val="sr-Latn-RS"/>
        </w:rPr>
        <w:t>.</w:t>
      </w:r>
    </w:p>
    <w:p w14:paraId="7E424791" w14:textId="77777777" w:rsidR="00B37F05" w:rsidRPr="00D06E2E" w:rsidRDefault="00B37F05" w:rsidP="00B37F05">
      <w:pPr>
        <w:rPr>
          <w:lang w:val="sr-Latn-RS"/>
        </w:rPr>
      </w:pPr>
      <w:r w:rsidRPr="00D06E2E">
        <w:rPr>
          <w:lang w:val="sr-Latn-RS"/>
        </w:rPr>
        <w:t>The Protector of Citizens was addressed by the complainant, who stated that he had previously addressed the Ministry of Health with a petition in which he pointed out that the Decision on the establishment of the Health Center Smederevo established that health institution, but that the Health Center was not registered in the Agency for Business Registers, that it did not receive funds, employees, property and rights and obligations of the Health Center and General Hospital Smederevo, that no temporary administrative or supervisory board was appointed, nor was the Statute of the Health Center Smederevo adopted. The Protector of Citizens carried out a procedure to control the regularity and legality of the work of the Ministry of Health and found that this body did not act on the complaint received by the complainant and did not supervise the implementation of the Law on Health Care and relevant by-laws, which it is obliged to implement. During the examination procedure, the controlled authority did not fully fulfill its obligation to cooperate with the Protector of Citizens. In order to eliminate the identified omissions in the work, a report on the case with recommendations was sent to the Ministry of Health</w:t>
      </w:r>
      <w:r w:rsidRPr="00D06E2E">
        <w:rPr>
          <w:rStyle w:val="FootnoteReference"/>
          <w:lang w:val="sr-Latn-RS"/>
        </w:rPr>
        <w:footnoteReference w:id="144"/>
      </w:r>
      <w:r w:rsidRPr="00D06E2E">
        <w:rPr>
          <w:lang w:val="sr-Latn-RS"/>
        </w:rPr>
        <w:t>, whose action is still within the deadline.</w:t>
      </w:r>
    </w:p>
    <w:p w14:paraId="4FC07DA3" w14:textId="77777777" w:rsidR="00B37F05" w:rsidRPr="00D06E2E" w:rsidRDefault="00B37F05" w:rsidP="00B37F05">
      <w:pPr>
        <w:autoSpaceDE w:val="0"/>
        <w:autoSpaceDN w:val="0"/>
        <w:adjustRightInd w:val="0"/>
        <w:rPr>
          <w:lang w:val="sr-Latn-RS"/>
        </w:rPr>
      </w:pPr>
      <w:r w:rsidRPr="00D06E2E">
        <w:rPr>
          <w:lang w:val="sr-Latn-RS"/>
        </w:rPr>
        <w:t xml:space="preserve">The Protector of Citizens was addressed by a citizen who pointed out that on September 30, 2021 he submitted a written request to the NHIF for reimbursement of treatment costs, which was received and filed at the registry office. However, NHIF has not yet responded to his request. In the conducted examination procedure, the Protector of Citizens noticed certain omissions in the work and actions, i.e., the failure to act by the NHIF in the specific case, which are reflected first in the failure to act on the request of the complainant from September 30, </w:t>
      </w:r>
      <w:r w:rsidRPr="00D06E2E">
        <w:rPr>
          <w:lang w:val="sr-Latn-RS"/>
        </w:rPr>
        <w:lastRenderedPageBreak/>
        <w:t>2021, and then, when the authority realized that the request was misplaced, did not initiate the procedure for renewal of the case file, but instructed the applicant to submit a new request.</w:t>
      </w:r>
    </w:p>
    <w:p w14:paraId="26A0B440" w14:textId="77777777" w:rsidR="00B37F05" w:rsidRPr="00D06E2E" w:rsidRDefault="00B37F05" w:rsidP="00B37F05">
      <w:pPr>
        <w:autoSpaceDE w:val="0"/>
        <w:autoSpaceDN w:val="0"/>
        <w:adjustRightInd w:val="0"/>
        <w:rPr>
          <w:color w:val="000000"/>
          <w:lang w:val="sr-Latn-RS"/>
        </w:rPr>
      </w:pPr>
      <w:r w:rsidRPr="00D06E2E">
        <w:rPr>
          <w:color w:val="000000"/>
          <w:lang w:val="sr-Latn-RS"/>
        </w:rPr>
        <w:t xml:space="preserve">With the established omissions in its work, the </w:t>
      </w:r>
      <w:r w:rsidRPr="00D06E2E">
        <w:rPr>
          <w:lang w:val="sr-Latn-RS"/>
        </w:rPr>
        <w:t>NHIF</w:t>
      </w:r>
      <w:r w:rsidRPr="00D06E2E">
        <w:rPr>
          <w:color w:val="000000"/>
          <w:lang w:val="sr-Latn-RS"/>
        </w:rPr>
        <w:t xml:space="preserve"> violated its legal obligations and violated the right to respect the law as well as the principles of good administration, to the detriment of the rights of the complainant. The Protector of Citizens sent a report on the case with recommendations to the authority to ensure that the officials of that authority prepare the report without delay, and the head of the authority in whose jurisdiction the case is, by decision orders the restoration or reconstruction of the lost case. At the same time, the </w:t>
      </w:r>
      <w:r w:rsidRPr="00D06E2E">
        <w:rPr>
          <w:lang w:val="sr-Latn-RS"/>
        </w:rPr>
        <w:t>NHIF</w:t>
      </w:r>
      <w:r w:rsidRPr="00D06E2E">
        <w:rPr>
          <w:color w:val="000000"/>
          <w:lang w:val="sr-Latn-RS"/>
        </w:rPr>
        <w:t xml:space="preserve"> was recommended to urgently decide on the merits of the complainant's request from September 30, 2021, after the renewal of the case, and deliver the decision to the complainant with an apology for the omissions. It was also recommended that </w:t>
      </w:r>
      <w:r w:rsidRPr="00D06E2E">
        <w:rPr>
          <w:lang w:val="sr-Latn-RS"/>
        </w:rPr>
        <w:t>NHIF</w:t>
      </w:r>
      <w:r w:rsidRPr="00D06E2E">
        <w:rPr>
          <w:color w:val="000000"/>
          <w:lang w:val="sr-Latn-RS"/>
        </w:rPr>
        <w:t xml:space="preserve"> familiarize its organizational units - branches, as well as the Provincial Health Insurance Fund, with the contents of the recommendation in order to prevent the same or similar illegal behavior in the future. The deadline for acting on the recommendations has not yet expired.  </w:t>
      </w:r>
    </w:p>
    <w:p w14:paraId="7E2FD383" w14:textId="77777777" w:rsidR="00B37F05" w:rsidRPr="00D06E2E" w:rsidRDefault="00B37F05" w:rsidP="00B37F05">
      <w:pPr>
        <w:rPr>
          <w:rFonts w:cs="Arial"/>
          <w:color w:val="000000"/>
          <w:lang w:val="sr-Latn-RS"/>
        </w:rPr>
      </w:pPr>
      <w:r w:rsidRPr="00D06E2E">
        <w:rPr>
          <w:rFonts w:cs="Arial"/>
          <w:color w:val="000000"/>
          <w:lang w:val="sr-Latn-RS"/>
        </w:rPr>
        <w:t>Towards the end of the reporting period, the Protector of Citizens received a certain number of complaints from health workers who were engaged during the pandemic of the infectious disease COVID-19 and who asked this body for an opinion on the application of relevant regulations, expecting help in connection with employment for an indefinite period. The Protector of Citizens points out that the Government of the Republic of Serbia issued a conclusion</w:t>
      </w:r>
      <w:r w:rsidRPr="00D06E2E">
        <w:rPr>
          <w:rStyle w:val="FootnoteReference"/>
          <w:lang w:val="sr-Latn-RS"/>
        </w:rPr>
        <w:footnoteReference w:id="145"/>
      </w:r>
      <w:r w:rsidRPr="00D06E2E">
        <w:rPr>
          <w:rFonts w:cs="Arial"/>
          <w:color w:val="000000"/>
          <w:lang w:val="sr-Latn-RS"/>
        </w:rPr>
        <w:t xml:space="preserve"> on August 31, 2023 and September 12, 2023, and the General Secretariat of the Government of the Republic of Serbia established a revised text</w:t>
      </w:r>
      <w:r w:rsidRPr="00D06E2E">
        <w:rPr>
          <w:rStyle w:val="FootnoteReference"/>
          <w:lang w:val="sr-Latn-RS"/>
        </w:rPr>
        <w:footnoteReference w:id="146"/>
      </w:r>
      <w:r w:rsidRPr="00D06E2E">
        <w:rPr>
          <w:rFonts w:cs="Arial"/>
          <w:color w:val="000000"/>
          <w:lang w:val="sr-Latn-RS"/>
        </w:rPr>
        <w:t xml:space="preserve"> related to the indefinite employment of healthcare workers and associates engaged during this pandemic and the Ministry of Health, </w:t>
      </w:r>
      <w:r w:rsidRPr="00D06E2E">
        <w:rPr>
          <w:lang w:val="sr-Latn-RS"/>
        </w:rPr>
        <w:t>NHIF</w:t>
      </w:r>
      <w:r w:rsidRPr="00D06E2E">
        <w:rPr>
          <w:rFonts w:cs="Arial"/>
          <w:color w:val="000000"/>
          <w:lang w:val="sr-Latn-RS"/>
        </w:rPr>
        <w:t xml:space="preserve"> and the General Secretariat of the Government of the Republic of Serbia are responsible for its implementation. Bearing in mind the content of the decisions made regarding the resolution of the labor law status of healthcare workers, associates and other persons who were employed during the specified period, the applicants are instructed to contact the Ministry of Health as the competent authority.</w:t>
      </w:r>
    </w:p>
    <w:p w14:paraId="0BD247BF" w14:textId="77777777" w:rsidR="00B37F05" w:rsidRPr="00D06E2E" w:rsidRDefault="00B37F05" w:rsidP="00B37F05">
      <w:pPr>
        <w:pStyle w:val="NormalWeb"/>
        <w:shd w:val="clear" w:color="auto" w:fill="FFFFFF"/>
        <w:spacing w:before="0" w:beforeAutospacing="0" w:after="0" w:afterAutospacing="0"/>
        <w:jc w:val="both"/>
        <w:rPr>
          <w:rFonts w:ascii="Book Antiqua" w:hAnsi="Book Antiqua" w:cs="Arial"/>
          <w:color w:val="000000"/>
          <w:sz w:val="22"/>
          <w:szCs w:val="22"/>
          <w:lang w:val="sr-Latn-RS"/>
        </w:rPr>
      </w:pPr>
      <w:r w:rsidRPr="00D06E2E">
        <w:rPr>
          <w:rFonts w:ascii="Book Antiqua" w:hAnsi="Book Antiqua" w:cs="Arial"/>
          <w:color w:val="000000"/>
          <w:sz w:val="22"/>
          <w:szCs w:val="22"/>
          <w:lang w:val="sr-Latn-RS"/>
        </w:rPr>
        <w:t>It was observed that in this reporting period, the number of local self-government health councils that submitted an annual report on their work and measures taken to protect patients' rights to the Protector of Citizens for information and to achieve the necessary cooperation, which is their obligation under the Law on Patients' Rights</w:t>
      </w:r>
      <w:r w:rsidRPr="00D06E2E">
        <w:rPr>
          <w:rStyle w:val="FootnoteReference"/>
          <w:rFonts w:cs="Arial"/>
          <w:color w:val="000000"/>
          <w:sz w:val="22"/>
          <w:szCs w:val="22"/>
          <w:lang w:val="sr-Latn-RS"/>
        </w:rPr>
        <w:footnoteReference w:id="147"/>
      </w:r>
      <w:r w:rsidRPr="00D06E2E">
        <w:rPr>
          <w:rFonts w:ascii="Book Antiqua" w:hAnsi="Book Antiqua" w:cs="Arial"/>
          <w:color w:val="000000"/>
          <w:sz w:val="22"/>
          <w:szCs w:val="22"/>
          <w:lang w:val="sr-Latn-RS"/>
        </w:rPr>
        <w:t>, has decreased.</w:t>
      </w:r>
    </w:p>
    <w:p w14:paraId="1D17274E" w14:textId="77777777" w:rsidR="00B37F05" w:rsidRPr="00D06E2E" w:rsidRDefault="00B37F05" w:rsidP="00B37F05">
      <w:pPr>
        <w:spacing w:after="0"/>
        <w:contextualSpacing/>
        <w:rPr>
          <w:rFonts w:eastAsia="Times New Roman" w:cs="Times New Roman"/>
          <w:caps/>
          <w:sz w:val="24"/>
          <w:szCs w:val="24"/>
          <w:lang w:val="sr-Latn-RS"/>
        </w:rPr>
      </w:pPr>
    </w:p>
    <w:p w14:paraId="1C4BA8AA" w14:textId="77777777" w:rsidR="00B37F05" w:rsidRPr="00D06E2E" w:rsidRDefault="00B37F05" w:rsidP="00B37F05">
      <w:pPr>
        <w:pStyle w:val="ListParagraph"/>
        <w:jc w:val="center"/>
        <w:rPr>
          <w:sz w:val="24"/>
          <w:szCs w:val="24"/>
          <w:lang w:val="sr-Latn-RS"/>
        </w:rPr>
      </w:pPr>
      <w:r w:rsidRPr="00D06E2E">
        <w:rPr>
          <w:sz w:val="24"/>
          <w:szCs w:val="24"/>
          <w:lang w:val="sr-Latn-RS"/>
        </w:rPr>
        <w:t>PROPOSALS FOR THE IMPROVEMENT OF THE STATUS OF CITIZENS IN RELATION TO ADMINISTRATIVE AUTHORITIES</w:t>
      </w:r>
    </w:p>
    <w:p w14:paraId="1D92469F" w14:textId="77777777" w:rsidR="00B37F05" w:rsidRPr="00D06E2E" w:rsidRDefault="00B37F05" w:rsidP="00B37F05">
      <w:pPr>
        <w:pStyle w:val="ListParagraph"/>
        <w:numPr>
          <w:ilvl w:val="0"/>
          <w:numId w:val="39"/>
        </w:numPr>
        <w:ind w:left="426" w:hanging="426"/>
        <w:rPr>
          <w:lang w:val="sr-Latn-RS"/>
        </w:rPr>
      </w:pPr>
      <w:r w:rsidRPr="00D06E2E">
        <w:rPr>
          <w:b/>
          <w:lang w:val="sr-Latn-RS"/>
        </w:rPr>
        <w:t xml:space="preserve">The Ministry of Finance </w:t>
      </w:r>
      <w:r w:rsidRPr="00D06E2E">
        <w:rPr>
          <w:lang w:val="sr-Latn-RS"/>
        </w:rPr>
        <w:t>should ensure personnel and financial conditions in order to decide on citizens' complaints within the legally prescribed deadline;</w:t>
      </w:r>
    </w:p>
    <w:p w14:paraId="0FABF278" w14:textId="77777777" w:rsidR="00B37F05" w:rsidRPr="00D06E2E" w:rsidRDefault="00B37F05" w:rsidP="00B37F05">
      <w:pPr>
        <w:pStyle w:val="ListParagraph"/>
        <w:numPr>
          <w:ilvl w:val="0"/>
          <w:numId w:val="39"/>
        </w:numPr>
        <w:ind w:left="426" w:hanging="426"/>
        <w:rPr>
          <w:lang w:val="sr-Latn-RS"/>
        </w:rPr>
      </w:pPr>
      <w:r w:rsidRPr="00D06E2E">
        <w:rPr>
          <w:b/>
          <w:lang w:val="sr-Latn-RS"/>
        </w:rPr>
        <w:t xml:space="preserve">The Ministry of Finance </w:t>
      </w:r>
      <w:r w:rsidRPr="00D06E2E">
        <w:rPr>
          <w:lang w:val="sr-Latn-RS"/>
        </w:rPr>
        <w:t>should ensure that requests for postponing the execution of decisions are decided upon within the legally prescribed deadline;</w:t>
      </w:r>
    </w:p>
    <w:p w14:paraId="52819B9E" w14:textId="77777777" w:rsidR="00B37F05" w:rsidRPr="00D06E2E" w:rsidRDefault="00B37F05" w:rsidP="00B37F05">
      <w:pPr>
        <w:pStyle w:val="ListParagraph"/>
        <w:numPr>
          <w:ilvl w:val="0"/>
          <w:numId w:val="39"/>
        </w:numPr>
        <w:ind w:left="426" w:hanging="426"/>
        <w:rPr>
          <w:lang w:val="sr-Latn-RS"/>
        </w:rPr>
      </w:pPr>
      <w:r w:rsidRPr="00D06E2E">
        <w:rPr>
          <w:b/>
          <w:lang w:val="sr-Latn-RS"/>
        </w:rPr>
        <w:t xml:space="preserve">The Ministry of Finance </w:t>
      </w:r>
      <w:r w:rsidRPr="00D06E2E">
        <w:rPr>
          <w:lang w:val="sr-Latn-RS"/>
        </w:rPr>
        <w:t>should ensure that organizational units cooperate promptly and fully with the Protector of Citizens;</w:t>
      </w:r>
    </w:p>
    <w:p w14:paraId="513BD4D0" w14:textId="77777777" w:rsidR="00B37F05" w:rsidRPr="00D06E2E" w:rsidRDefault="00B37F05" w:rsidP="00B37F05">
      <w:pPr>
        <w:pStyle w:val="ListParagraph"/>
        <w:numPr>
          <w:ilvl w:val="0"/>
          <w:numId w:val="39"/>
        </w:numPr>
        <w:ind w:left="426" w:hanging="426"/>
        <w:rPr>
          <w:sz w:val="24"/>
          <w:szCs w:val="24"/>
          <w:lang w:val="sr-Latn-RS"/>
        </w:rPr>
      </w:pPr>
      <w:r w:rsidRPr="00D06E2E">
        <w:rPr>
          <w:b/>
          <w:lang w:val="sr-Latn-RS"/>
        </w:rPr>
        <w:t xml:space="preserve">The Tax Administration </w:t>
      </w:r>
      <w:r w:rsidRPr="00D06E2E">
        <w:rPr>
          <w:lang w:val="sr-Latn-RS"/>
        </w:rPr>
        <w:t>should consistently implement all measures and activities within its jurisdiction with the aim of timely and efficient collection of contributions for mandatory social insurance in situations where the employer does not do so;</w:t>
      </w:r>
    </w:p>
    <w:p w14:paraId="7F601649" w14:textId="77777777" w:rsidR="00B37F05" w:rsidRPr="00D06E2E" w:rsidRDefault="00B37F05" w:rsidP="00B37F05">
      <w:pPr>
        <w:pStyle w:val="ListParagraph"/>
        <w:numPr>
          <w:ilvl w:val="0"/>
          <w:numId w:val="28"/>
        </w:numPr>
        <w:ind w:left="426" w:hanging="426"/>
        <w:rPr>
          <w:rFonts w:eastAsia="Times New Roman" w:cs="Times New Roman"/>
          <w:b/>
          <w:lang w:val="sr-Latn-RS"/>
        </w:rPr>
      </w:pPr>
      <w:r w:rsidRPr="00D06E2E">
        <w:rPr>
          <w:rFonts w:eastAsia="Times New Roman" w:cs="Times New Roman"/>
          <w:b/>
          <w:lang w:val="sr-Latn-RS"/>
        </w:rPr>
        <w:lastRenderedPageBreak/>
        <w:t xml:space="preserve">The tax administration </w:t>
      </w:r>
      <w:r w:rsidRPr="00D06E2E">
        <w:rPr>
          <w:rFonts w:eastAsia="Times New Roman" w:cs="Times New Roman"/>
          <w:lang w:val="sr-Latn-RS"/>
        </w:rPr>
        <w:t>should determine the fulfillment of the conditions for the termination of the tax liability based on the statute of limitations ex officio;</w:t>
      </w:r>
    </w:p>
    <w:p w14:paraId="2443EFD9" w14:textId="77777777" w:rsidR="00B37F05" w:rsidRPr="00D06E2E" w:rsidRDefault="00B37F05" w:rsidP="00B37F05">
      <w:pPr>
        <w:pStyle w:val="ListParagraph"/>
        <w:numPr>
          <w:ilvl w:val="0"/>
          <w:numId w:val="28"/>
        </w:numPr>
        <w:ind w:left="426" w:hanging="426"/>
        <w:rPr>
          <w:rFonts w:eastAsia="Times New Roman" w:cs="Times New Roman"/>
          <w:lang w:val="sr-Latn-RS"/>
        </w:rPr>
      </w:pPr>
      <w:r w:rsidRPr="00D06E2E">
        <w:rPr>
          <w:rFonts w:eastAsia="Times New Roman" w:cs="Times New Roman"/>
          <w:b/>
          <w:lang w:val="sr-Latn-RS"/>
        </w:rPr>
        <w:t xml:space="preserve">The tax administration </w:t>
      </w:r>
      <w:r w:rsidRPr="00D06E2E">
        <w:rPr>
          <w:rFonts w:eastAsia="Times New Roman" w:cs="Times New Roman"/>
          <w:lang w:val="sr-Latn-RS"/>
        </w:rPr>
        <w:t>should ensure that organizational units formally and essentially act in accordance with the law according to citizens' requests, and in repeated procedures in a timely manner and in accordance with the views and legal understandings of higher authorities;</w:t>
      </w:r>
    </w:p>
    <w:p w14:paraId="5D551F16" w14:textId="77777777" w:rsidR="00B37F05" w:rsidRPr="00D06E2E" w:rsidRDefault="00B37F05" w:rsidP="00B37F05">
      <w:pPr>
        <w:pStyle w:val="ListParagraph"/>
        <w:numPr>
          <w:ilvl w:val="0"/>
          <w:numId w:val="28"/>
        </w:numPr>
        <w:ind w:left="426" w:hanging="426"/>
        <w:rPr>
          <w:lang w:val="sr-Latn-RS"/>
        </w:rPr>
      </w:pPr>
      <w:r w:rsidRPr="00D06E2E">
        <w:rPr>
          <w:rFonts w:eastAsia="Times New Roman" w:cs="Times New Roman"/>
          <w:b/>
          <w:lang w:val="sr-Latn-RS"/>
        </w:rPr>
        <w:t xml:space="preserve">The tax administration and local self-government units </w:t>
      </w:r>
      <w:r w:rsidRPr="00D06E2E">
        <w:rPr>
          <w:rFonts w:eastAsia="Times New Roman" w:cs="Times New Roman"/>
          <w:lang w:val="sr-Latn-RS"/>
        </w:rPr>
        <w:t>should ensure that appeals are submitted to the competent second-instance authority within the prescribed period;</w:t>
      </w:r>
    </w:p>
    <w:p w14:paraId="2596853B" w14:textId="77777777" w:rsidR="00B37F05" w:rsidRPr="00D06E2E" w:rsidRDefault="00B37F05" w:rsidP="00B37F05">
      <w:pPr>
        <w:pStyle w:val="ListParagraph"/>
        <w:numPr>
          <w:ilvl w:val="0"/>
          <w:numId w:val="28"/>
        </w:numPr>
        <w:ind w:left="426" w:hanging="426"/>
        <w:rPr>
          <w:lang w:val="sr-Latn-RS"/>
        </w:rPr>
      </w:pPr>
      <w:r w:rsidRPr="00D06E2E">
        <w:rPr>
          <w:b/>
          <w:lang w:val="sr-Latn-RS"/>
        </w:rPr>
        <w:t xml:space="preserve">The Ministry of Interior </w:t>
      </w:r>
      <w:r w:rsidRPr="00D06E2E">
        <w:rPr>
          <w:lang w:val="sr-Latn-RS"/>
        </w:rPr>
        <w:t>should ensure the complete and consistent application of all regulations from the field of internal affairs as well as regulations on administrative procedure when deciding on the rights, obligations and legal interests of citizens, both in the first instance and in the second instance procedure;</w:t>
      </w:r>
    </w:p>
    <w:p w14:paraId="1A81F40A" w14:textId="77777777" w:rsidR="00B37F05" w:rsidRPr="00D06E2E" w:rsidRDefault="00B37F05" w:rsidP="00B37F05">
      <w:pPr>
        <w:pStyle w:val="ListParagraph"/>
        <w:numPr>
          <w:ilvl w:val="0"/>
          <w:numId w:val="28"/>
        </w:numPr>
        <w:ind w:left="426" w:hanging="426"/>
        <w:rPr>
          <w:lang w:val="sr-Latn-RS"/>
        </w:rPr>
      </w:pPr>
      <w:r w:rsidRPr="00D06E2E">
        <w:rPr>
          <w:b/>
          <w:lang w:val="sr-Latn-RS"/>
        </w:rPr>
        <w:t xml:space="preserve">The Ministry of Interior </w:t>
      </w:r>
      <w:r w:rsidRPr="00D06E2E">
        <w:rPr>
          <w:lang w:val="sr-Latn-RS"/>
        </w:rPr>
        <w:t>in its future work should qualify the submissions received according to their content and, with the proper application of positive legal regulations, measures and activities within its jurisdiction, decide in the form prescribed by law;</w:t>
      </w:r>
    </w:p>
    <w:p w14:paraId="067BE1AD" w14:textId="77777777" w:rsidR="00B37F05" w:rsidRPr="00D06E2E" w:rsidRDefault="00B37F05" w:rsidP="00B37F05">
      <w:pPr>
        <w:pStyle w:val="ListParagraph"/>
        <w:numPr>
          <w:ilvl w:val="0"/>
          <w:numId w:val="28"/>
        </w:numPr>
        <w:ind w:left="426" w:hanging="426"/>
        <w:rPr>
          <w:lang w:val="sr-Latn-RS"/>
        </w:rPr>
      </w:pPr>
      <w:r w:rsidRPr="00D06E2E">
        <w:rPr>
          <w:b/>
          <w:lang w:val="sr-Latn-RS"/>
        </w:rPr>
        <w:t xml:space="preserve">The Ministry of Interior </w:t>
      </w:r>
      <w:r w:rsidRPr="00D06E2E">
        <w:rPr>
          <w:lang w:val="sr-Latn-RS"/>
        </w:rPr>
        <w:t>should influence the continuous improvement of the performance of duties and tasks by police officers;</w:t>
      </w:r>
    </w:p>
    <w:p w14:paraId="598D6C9C" w14:textId="77777777" w:rsidR="00B37F05" w:rsidRPr="00D06E2E" w:rsidRDefault="00B37F05" w:rsidP="00B37F05">
      <w:pPr>
        <w:pStyle w:val="ListParagraph"/>
        <w:numPr>
          <w:ilvl w:val="0"/>
          <w:numId w:val="28"/>
        </w:numPr>
        <w:ind w:left="426" w:hanging="426"/>
        <w:rPr>
          <w:lang w:val="sr-Latn-RS"/>
        </w:rPr>
      </w:pPr>
      <w:r w:rsidRPr="00D06E2E">
        <w:rPr>
          <w:b/>
          <w:lang w:val="sr-Latn-RS"/>
        </w:rPr>
        <w:t xml:space="preserve">The Ministry of Interior </w:t>
      </w:r>
      <w:r w:rsidRPr="00D06E2E">
        <w:rPr>
          <w:lang w:val="sr-Latn-RS"/>
        </w:rPr>
        <w:t>should regularly conduct training aimed at the behavior of police officers in accordance with the principles of good administration;</w:t>
      </w:r>
    </w:p>
    <w:p w14:paraId="218C7072" w14:textId="77777777" w:rsidR="00B37F05" w:rsidRPr="00D06E2E" w:rsidRDefault="00B37F05" w:rsidP="00B37F05">
      <w:pPr>
        <w:pStyle w:val="ListParagraph"/>
        <w:numPr>
          <w:ilvl w:val="0"/>
          <w:numId w:val="28"/>
        </w:numPr>
        <w:ind w:left="426" w:hanging="426"/>
        <w:rPr>
          <w:lang w:val="sr-Latn-RS"/>
        </w:rPr>
      </w:pPr>
      <w:r w:rsidRPr="00D06E2E">
        <w:rPr>
          <w:b/>
          <w:lang w:val="sr-Latn-RS"/>
        </w:rPr>
        <w:t xml:space="preserve">The Ministry of Interior </w:t>
      </w:r>
      <w:r w:rsidRPr="00D06E2E">
        <w:rPr>
          <w:lang w:val="sr-Latn-RS"/>
        </w:rPr>
        <w:t>should pay special attention to the rejection of requests or confiscation of weapons based solely on a "security check", bearing in mind that its content, form and competence of the person performing the security check are not regulated by law or by-laws for these cases, but are in the matter of discretionary assessment.</w:t>
      </w:r>
    </w:p>
    <w:p w14:paraId="23C27BBD" w14:textId="77777777" w:rsidR="00B37F05" w:rsidRPr="00D06E2E" w:rsidRDefault="00B37F05" w:rsidP="00B37F05">
      <w:pPr>
        <w:pStyle w:val="ListParagraph"/>
        <w:numPr>
          <w:ilvl w:val="0"/>
          <w:numId w:val="28"/>
        </w:numPr>
        <w:ind w:left="426" w:hanging="426"/>
        <w:rPr>
          <w:lang w:val="sr-Latn-RS"/>
        </w:rPr>
      </w:pPr>
      <w:r w:rsidRPr="00D06E2E">
        <w:rPr>
          <w:b/>
          <w:lang w:val="sr-Latn-RS"/>
        </w:rPr>
        <w:t xml:space="preserve">The Ministry of Interior </w:t>
      </w:r>
      <w:r w:rsidRPr="00D06E2E">
        <w:rPr>
          <w:lang w:val="sr-Latn-RS"/>
        </w:rPr>
        <w:t>should, when making a decision based on a free assessment, take into account the limits and purpose of its powers, especially when it comes to "security checks";</w:t>
      </w:r>
    </w:p>
    <w:p w14:paraId="7711CF95" w14:textId="77777777" w:rsidR="00B37F05" w:rsidRPr="00D06E2E" w:rsidRDefault="00B37F05" w:rsidP="00B37F05">
      <w:pPr>
        <w:pStyle w:val="ListParagraph"/>
        <w:numPr>
          <w:ilvl w:val="0"/>
          <w:numId w:val="28"/>
        </w:numPr>
        <w:suppressAutoHyphens/>
        <w:autoSpaceDE w:val="0"/>
        <w:autoSpaceDN w:val="0"/>
        <w:adjustRightInd w:val="0"/>
        <w:ind w:left="426" w:hanging="426"/>
        <w:rPr>
          <w:lang w:val="sr-Latn-RS"/>
        </w:rPr>
      </w:pPr>
      <w:r w:rsidRPr="00D06E2E">
        <w:rPr>
          <w:b/>
          <w:lang w:val="sr-Latn-RS"/>
        </w:rPr>
        <w:t xml:space="preserve">The Ministry of Interior </w:t>
      </w:r>
      <w:r w:rsidRPr="00D06E2E">
        <w:rPr>
          <w:lang w:val="sr-Latn-RS"/>
        </w:rPr>
        <w:t>should develop and strengthen the control mechanisms of its work, that is, to further improve the complaint procedure in the formal and material sense, as well as to timely and effectively end the complaint procedures;</w:t>
      </w:r>
    </w:p>
    <w:p w14:paraId="015583BD" w14:textId="77777777" w:rsidR="00B37F05" w:rsidRPr="00D06E2E" w:rsidRDefault="00B37F05" w:rsidP="00B37F05">
      <w:pPr>
        <w:pStyle w:val="ListParagraph"/>
        <w:numPr>
          <w:ilvl w:val="0"/>
          <w:numId w:val="28"/>
        </w:numPr>
        <w:suppressAutoHyphens/>
        <w:autoSpaceDE w:val="0"/>
        <w:autoSpaceDN w:val="0"/>
        <w:adjustRightInd w:val="0"/>
        <w:ind w:left="426" w:hanging="426"/>
        <w:rPr>
          <w:lang w:val="sr-Latn-RS"/>
        </w:rPr>
      </w:pPr>
      <w:r w:rsidRPr="00D06E2E">
        <w:rPr>
          <w:b/>
          <w:lang w:val="sr-Latn-RS"/>
        </w:rPr>
        <w:t xml:space="preserve">The Ministry of Interior </w:t>
      </w:r>
      <w:r w:rsidRPr="00D06E2E">
        <w:rPr>
          <w:lang w:val="sr-Latn-RS"/>
        </w:rPr>
        <w:t>should more efficiently decide on requests for admission to the citizenship of the Republic of Serbia;</w:t>
      </w:r>
    </w:p>
    <w:p w14:paraId="48AB9FD5" w14:textId="77777777" w:rsidR="00B37F05" w:rsidRPr="00D06E2E" w:rsidRDefault="00B37F05" w:rsidP="00B37F05">
      <w:pPr>
        <w:pStyle w:val="ListParagraph"/>
        <w:numPr>
          <w:ilvl w:val="0"/>
          <w:numId w:val="28"/>
        </w:numPr>
        <w:suppressAutoHyphens/>
        <w:autoSpaceDE w:val="0"/>
        <w:autoSpaceDN w:val="0"/>
        <w:adjustRightInd w:val="0"/>
        <w:ind w:left="426" w:hanging="426"/>
        <w:rPr>
          <w:rFonts w:eastAsia="Times New Roman" w:cs="Times New Roman"/>
          <w:lang w:val="sr-Latn-RS"/>
        </w:rPr>
      </w:pPr>
      <w:r w:rsidRPr="00D06E2E">
        <w:rPr>
          <w:b/>
          <w:lang w:val="sr-Latn-RS"/>
        </w:rPr>
        <w:t xml:space="preserve">The Ministry of Health </w:t>
      </w:r>
      <w:r w:rsidRPr="00D06E2E">
        <w:rPr>
          <w:lang w:val="sr-Latn-RS"/>
        </w:rPr>
        <w:t>should actively participate in the continuous education and empowerment of advisers for the protection of patients' rights and, in cooperation with local self-government units, organize and/or initiate periodic educations on the rights and obligations of patients, but also with the aim of encouraging advisers to exchange experiences. in order to standardize the practice;</w:t>
      </w:r>
    </w:p>
    <w:p w14:paraId="7B1F94BB" w14:textId="77777777" w:rsidR="00B37F05" w:rsidRPr="00D06E2E" w:rsidRDefault="00B37F05" w:rsidP="00B37F05">
      <w:pPr>
        <w:pStyle w:val="ListParagraph"/>
        <w:numPr>
          <w:ilvl w:val="0"/>
          <w:numId w:val="28"/>
        </w:numPr>
        <w:suppressAutoHyphens/>
        <w:autoSpaceDE w:val="0"/>
        <w:autoSpaceDN w:val="0"/>
        <w:adjustRightInd w:val="0"/>
        <w:ind w:left="426" w:hanging="426"/>
        <w:contextualSpacing/>
        <w:rPr>
          <w:rFonts w:cs="Arial"/>
          <w:spacing w:val="5"/>
          <w:shd w:val="clear" w:color="auto" w:fill="FFFFFF"/>
          <w:lang w:val="sr-Latn-RS"/>
        </w:rPr>
      </w:pPr>
      <w:r w:rsidRPr="00D06E2E">
        <w:rPr>
          <w:rFonts w:cs="Arial"/>
          <w:b/>
          <w:spacing w:val="5"/>
          <w:shd w:val="clear" w:color="auto" w:fill="FFFFFF"/>
          <w:lang w:val="sr-Latn-RS"/>
        </w:rPr>
        <w:t xml:space="preserve">The Ministry of Health </w:t>
      </w:r>
      <w:r w:rsidRPr="00D06E2E">
        <w:rPr>
          <w:rFonts w:cs="Arial"/>
          <w:spacing w:val="5"/>
          <w:shd w:val="clear" w:color="auto" w:fill="FFFFFF"/>
          <w:lang w:val="sr-Latn-RS"/>
        </w:rPr>
        <w:t>should propose to the Government the adoption of a decree that will prescribe the amount of compensation for necessary expenses paid by the patient, that is, his legal representative for the preparation of medical documentation to which he is entitled according to the Law on Patients' Rights;</w:t>
      </w:r>
    </w:p>
    <w:p w14:paraId="0599B3E3" w14:textId="77777777" w:rsidR="00B37F05" w:rsidRPr="00D06E2E" w:rsidRDefault="00B37F05" w:rsidP="00B37F05">
      <w:pPr>
        <w:pStyle w:val="ListParagraph"/>
        <w:numPr>
          <w:ilvl w:val="0"/>
          <w:numId w:val="28"/>
        </w:numPr>
        <w:suppressAutoHyphens/>
        <w:autoSpaceDE w:val="0"/>
        <w:autoSpaceDN w:val="0"/>
        <w:adjustRightInd w:val="0"/>
        <w:ind w:left="426" w:hanging="426"/>
        <w:contextualSpacing/>
        <w:rPr>
          <w:rFonts w:cs="Arial"/>
          <w:spacing w:val="5"/>
          <w:shd w:val="clear" w:color="auto" w:fill="FFFFFF"/>
          <w:lang w:val="sr-Latn-RS"/>
        </w:rPr>
      </w:pPr>
      <w:r w:rsidRPr="00D06E2E">
        <w:rPr>
          <w:rFonts w:cs="Arial"/>
          <w:b/>
          <w:spacing w:val="5"/>
          <w:shd w:val="clear" w:color="auto" w:fill="FFFFFF"/>
          <w:lang w:val="sr-Latn-RS"/>
        </w:rPr>
        <w:t xml:space="preserve">Local self-government units </w:t>
      </w:r>
      <w:r w:rsidRPr="00D06E2E">
        <w:rPr>
          <w:rFonts w:cs="Arial"/>
          <w:spacing w:val="5"/>
          <w:shd w:val="clear" w:color="auto" w:fill="FFFFFF"/>
          <w:lang w:val="sr-Latn-RS"/>
        </w:rPr>
        <w:t>should provide continuous and complete information to patients about the existing mechanisms for the protection of patients' rights, their competences and way of working;</w:t>
      </w:r>
    </w:p>
    <w:p w14:paraId="7496B8F2" w14:textId="77777777" w:rsidR="00B37F05" w:rsidRPr="00D06E2E" w:rsidRDefault="00B37F05" w:rsidP="00B37F05">
      <w:pPr>
        <w:pStyle w:val="ListParagraph"/>
        <w:numPr>
          <w:ilvl w:val="0"/>
          <w:numId w:val="28"/>
        </w:numPr>
        <w:suppressAutoHyphens/>
        <w:autoSpaceDE w:val="0"/>
        <w:autoSpaceDN w:val="0"/>
        <w:adjustRightInd w:val="0"/>
        <w:ind w:left="426" w:hanging="426"/>
        <w:contextualSpacing/>
        <w:rPr>
          <w:rFonts w:cs="Times New Roman"/>
          <w:bCs/>
          <w:lang w:val="sr-Latn-RS"/>
        </w:rPr>
      </w:pPr>
      <w:r w:rsidRPr="00D06E2E">
        <w:rPr>
          <w:rFonts w:cs="Arial"/>
          <w:b/>
          <w:spacing w:val="5"/>
          <w:shd w:val="clear" w:color="auto" w:fill="FFFFFF"/>
          <w:lang w:val="sr-Latn-RS"/>
        </w:rPr>
        <w:lastRenderedPageBreak/>
        <w:t xml:space="preserve">Local self-government units </w:t>
      </w:r>
      <w:r w:rsidRPr="00D06E2E">
        <w:rPr>
          <w:rFonts w:cs="Arial"/>
          <w:spacing w:val="5"/>
          <w:shd w:val="clear" w:color="auto" w:fill="FFFFFF"/>
          <w:lang w:val="sr-Latn-RS"/>
        </w:rPr>
        <w:t>should fulfill the obligation of cooperation with the Protector of Citizens, and their health councils should submit annual reports on their work and the measures taken to protect the rights of patients to the Protector of Citizens for the purpose of informing and achieving the necessary cooperation, in accordance with the Law on Patients' Rights.</w:t>
      </w:r>
    </w:p>
    <w:p w14:paraId="5541FF91" w14:textId="77777777" w:rsidR="00B37F05" w:rsidRPr="00D06E2E" w:rsidRDefault="00B37F05" w:rsidP="00B37F05">
      <w:pPr>
        <w:pStyle w:val="ListParagraph"/>
        <w:suppressAutoHyphens/>
        <w:autoSpaceDE w:val="0"/>
        <w:autoSpaceDN w:val="0"/>
        <w:adjustRightInd w:val="0"/>
        <w:ind w:left="357"/>
        <w:contextualSpacing/>
        <w:rPr>
          <w:rFonts w:cs="Times New Roman"/>
          <w:bCs/>
          <w:lang w:val="sr-Latn-RS"/>
        </w:rPr>
      </w:pPr>
    </w:p>
    <w:p w14:paraId="5FAA2029" w14:textId="77777777" w:rsidR="00B37F05" w:rsidRPr="00D06E2E" w:rsidRDefault="00B37F05" w:rsidP="00B37F05">
      <w:pPr>
        <w:pStyle w:val="ListParagraph"/>
        <w:suppressAutoHyphens/>
        <w:autoSpaceDE w:val="0"/>
        <w:autoSpaceDN w:val="0"/>
        <w:adjustRightInd w:val="0"/>
        <w:ind w:left="357"/>
        <w:contextualSpacing/>
        <w:rPr>
          <w:rFonts w:cs="Times New Roman"/>
          <w:bCs/>
          <w:lang w:val="sr-Latn-RS"/>
        </w:rPr>
      </w:pPr>
    </w:p>
    <w:p w14:paraId="1CA0B224" w14:textId="77777777" w:rsidR="00B37F05" w:rsidRPr="00D06E2E" w:rsidRDefault="00B37F05" w:rsidP="00B37F05">
      <w:pPr>
        <w:pStyle w:val="Heading2"/>
        <w:spacing w:before="0" w:after="0"/>
        <w:rPr>
          <w:lang w:val="sr-Latn-RS"/>
        </w:rPr>
      </w:pPr>
      <w:r w:rsidRPr="00D06E2E">
        <w:rPr>
          <w:lang w:val="sr-Latn-RS"/>
        </w:rPr>
        <w:t>AREA OF ECONOMIC AND PROPERTY RIGHTS</w:t>
      </w:r>
    </w:p>
    <w:p w14:paraId="5BDEE279" w14:textId="77777777" w:rsidR="00B37F05" w:rsidRPr="00D06E2E" w:rsidRDefault="00B37F05" w:rsidP="00B37F05">
      <w:pPr>
        <w:spacing w:after="0"/>
        <w:jc w:val="center"/>
        <w:rPr>
          <w:bCs/>
          <w:sz w:val="24"/>
          <w:szCs w:val="24"/>
          <w:lang w:val="sr-Latn-RS"/>
        </w:rPr>
      </w:pPr>
    </w:p>
    <w:p w14:paraId="10A31C2B" w14:textId="77777777" w:rsidR="00B37F05" w:rsidRPr="00D06E2E" w:rsidRDefault="00B37F05" w:rsidP="00B37F05">
      <w:pPr>
        <w:jc w:val="center"/>
        <w:rPr>
          <w:bCs/>
          <w:sz w:val="24"/>
          <w:szCs w:val="24"/>
          <w:lang w:val="sr-Latn-RS"/>
        </w:rPr>
      </w:pPr>
      <w:r w:rsidRPr="00D06E2E">
        <w:rPr>
          <w:bCs/>
          <w:sz w:val="24"/>
          <w:szCs w:val="24"/>
          <w:lang w:val="sr-Latn-RS"/>
        </w:rPr>
        <w:t>ACTIVITIES OF THE PROTECTOR OD CITIZENS</w:t>
      </w:r>
    </w:p>
    <w:p w14:paraId="5C7C59C9" w14:textId="77777777" w:rsidR="00B37F05" w:rsidRPr="00D06E2E" w:rsidRDefault="00B37F05" w:rsidP="00B37F05">
      <w:pPr>
        <w:rPr>
          <w:b/>
          <w:lang w:val="sr-Latn-RS"/>
        </w:rPr>
      </w:pPr>
      <w:r w:rsidRPr="00D06E2E">
        <w:rPr>
          <w:b/>
          <w:lang w:val="sr-Latn-RS"/>
        </w:rPr>
        <w:t>Construction and infrastructure</w:t>
      </w:r>
    </w:p>
    <w:p w14:paraId="298D6EC1" w14:textId="77777777" w:rsidR="00B37F05" w:rsidRPr="00D06E2E" w:rsidRDefault="00B37F05" w:rsidP="00B37F05">
      <w:pPr>
        <w:spacing w:before="120" w:after="0"/>
        <w:rPr>
          <w:rFonts w:eastAsia="Times New Roman"/>
          <w:lang w:val="sr-Latn-RS"/>
        </w:rPr>
      </w:pPr>
      <w:r w:rsidRPr="00D06E2E">
        <w:rPr>
          <w:rFonts w:eastAsia="Times New Roman"/>
          <w:lang w:val="sr-Latn-RS"/>
        </w:rPr>
        <w:t>Addresses to the Protector of Citizens in this area in the reporting period were partly related to the inefficiency in the work of the local self-government authorities that conduct the procedure according to requests for legalization, whether it is about pointing out the long duration of the procedure with the absence of clear and legally-based indications when the same will be be ended, regardless of whether the citizens who oppose the legalization of certain facilities expressed dissatisfaction with the complete ignoring of their demands, which they sought to legitimize themselves as parties in those proceedings.</w:t>
      </w:r>
    </w:p>
    <w:p w14:paraId="31DEA9D2" w14:textId="77777777" w:rsidR="00B37F05" w:rsidRPr="00D06E2E" w:rsidRDefault="00B37F05" w:rsidP="00B37F05">
      <w:pPr>
        <w:spacing w:before="120" w:after="0"/>
        <w:rPr>
          <w:rFonts w:eastAsia="Times New Roman" w:cs="Arial"/>
          <w:color w:val="000000"/>
          <w:lang w:val="sr-Latn-RS"/>
        </w:rPr>
      </w:pPr>
      <w:r w:rsidRPr="00D06E2E">
        <w:rPr>
          <w:rFonts w:eastAsia="Times New Roman" w:cs="Arial"/>
          <w:color w:val="000000"/>
          <w:lang w:val="sr-Latn-RS"/>
        </w:rPr>
        <w:t>Acting on a complaint expressing dissatisfaction with the non-action of the Construction Inspection of the City of Belgrade in the process of implementing the decision of the Construction Inspection of the City Municipality of Novi Beograd, which was made twenty years ago, as well as the Administration of the City Municipality of Novi Beograd due to the failure to make a decision in the process of legalizing the performed works, which began in 2003, the Protector of Citizens initiated examination procedures to control the work of the aforementioned authorities. On the basis of the received statements of the authorities, the Protector of Citizens stated that the legalization and implementation procedures of the building inspection decision in the given case have been going on for twenty years before the various competent authorities, and that, despite the damage suffered by the complainant all these years, they have not yet been completed, as a result of which the right of the complainant to the peaceful enjoyment of property and the actions of the authorities within a reasonable time was grossly violated.</w:t>
      </w:r>
    </w:p>
    <w:p w14:paraId="4625B09C" w14:textId="77777777" w:rsidR="00B37F05" w:rsidRPr="00D06E2E" w:rsidRDefault="00B37F05" w:rsidP="00B37F05">
      <w:pPr>
        <w:spacing w:before="120" w:after="0"/>
        <w:rPr>
          <w:rFonts w:eastAsia="Times New Roman" w:cs="Arial"/>
          <w:color w:val="000000"/>
          <w:lang w:val="sr-Latn-RS"/>
        </w:rPr>
      </w:pPr>
      <w:r w:rsidRPr="00D06E2E">
        <w:rPr>
          <w:rFonts w:eastAsia="Times New Roman" w:cs="Arial"/>
          <w:color w:val="000000"/>
          <w:lang w:val="sr-Latn-RS"/>
        </w:rPr>
        <w:t>In this regard, the Protector of Citizens sent the controlled authorities a Report on the case with recommendations</w:t>
      </w:r>
      <w:r w:rsidRPr="00D06E2E">
        <w:rPr>
          <w:rStyle w:val="FootnoteReference"/>
          <w:rFonts w:eastAsia="Times New Roman"/>
          <w:color w:val="000000"/>
          <w:lang w:val="sr-Latn-RS"/>
        </w:rPr>
        <w:footnoteReference w:id="148"/>
      </w:r>
      <w:r w:rsidRPr="00D06E2E">
        <w:rPr>
          <w:rFonts w:eastAsia="Times New Roman" w:cs="Arial"/>
          <w:color w:val="000000"/>
          <w:lang w:val="sr-Latn-RS"/>
        </w:rPr>
        <w:t xml:space="preserve"> in order to make as soon as possible a correct and legal decision on the request for legalization in the given case, as well as the implementation of the decision of the construction inspection, which is conditioned by it. In the meantime, the Administration of the City Municipality of Novi Belgrade acted according to the recommendation of the Protector of Citizens, while the Secretariat for Inspection, Supervision and Communication of the City Administration of the City of Belgrade - Sector for Construction and Urban Inspection Supervision did not submit a notification about its action, and it is considered that the recommendation of the Protector of Citizens was not respected.</w:t>
      </w:r>
    </w:p>
    <w:p w14:paraId="2EF529EA" w14:textId="77777777" w:rsidR="00B37F05" w:rsidRPr="00D06E2E" w:rsidRDefault="00B37F05" w:rsidP="00B37F05">
      <w:pPr>
        <w:spacing w:before="120"/>
        <w:rPr>
          <w:rFonts w:eastAsia="Times New Roman"/>
          <w:lang w:val="sr-Latn-RS"/>
        </w:rPr>
      </w:pPr>
      <w:r w:rsidRPr="00D06E2E">
        <w:rPr>
          <w:rFonts w:eastAsia="Times New Roman"/>
          <w:lang w:val="sr-Latn-RS"/>
        </w:rPr>
        <w:t>In an individual case related to the work of the Pančevo Construction Inspection, i.e. the non-implementation of the decision on the removal of illegally performed works, the Protector of Citizens assessed in the sent Report on the case with recommendations</w:t>
      </w:r>
      <w:r w:rsidRPr="00D06E2E">
        <w:rPr>
          <w:rStyle w:val="FootnoteReference"/>
          <w:rFonts w:eastAsia="Times New Roman"/>
          <w:lang w:val="sr-Latn-RS"/>
        </w:rPr>
        <w:footnoteReference w:id="149"/>
      </w:r>
      <w:r w:rsidRPr="00D06E2E">
        <w:rPr>
          <w:rFonts w:eastAsia="Times New Roman"/>
          <w:lang w:val="sr-Latn-RS"/>
        </w:rPr>
        <w:t xml:space="preserve"> that the inspection, not even after more than a year and a half from the execution of the decision on suspension </w:t>
      </w:r>
      <w:r w:rsidRPr="00D06E2E">
        <w:rPr>
          <w:rFonts w:eastAsia="Times New Roman"/>
          <w:lang w:val="sr-Latn-RS"/>
        </w:rPr>
        <w:lastRenderedPageBreak/>
        <w:t>and removal of the performed works on the roof structure, failed to provide the conditions for the subject execution procedure to be carried out through another entity. Also, the Protector of Citizens determined that there was a problem in the mutual communication and cooperation of the city secretariats of the City of Pančevo, considering that the procedure for implementing the execution in question obviously depended on the actions of the Secretariat for Investments, which did not submit the requested estimate, as well as the Secretariat for urban planning, construction, housing and communal affairs and traffic, whose representatives did not appear at the scheduled executions. In this regard, the Secretariat for Inspection Affairs of the City Administration of the City of Pančevo was recommended to take without delay all necessary measures, in accordance with the positive legal regulations, in order to implement the Decision on the removal of the performed works, and the City Administration of the City of Pančevo to determine without delay the reasons for the lack of communication between the acting secretariat and ensure more adequate and efficient cooperation of its internal organizational units, with the aim of efficient implementation of both the execution procedure in question and all other executions. The recommendations sent have been partially acted upon. In the course of the procedure for implementing the recommendation of the Protector of Citizens, a request was submitted for the legalization of the performed works, and the procedure for implementing the decision was suspended. In this procedure, the Protector of Citizens informed the City Council of Pančevo about the failure to act on part of the sent recommendation, i.e. the untimely implementation of the adopted decision, as a result of which the investor was enabled to legalize the illegally performed works.</w:t>
      </w:r>
    </w:p>
    <w:p w14:paraId="0E55B64D" w14:textId="77777777" w:rsidR="00B37F05" w:rsidRPr="00D06E2E" w:rsidRDefault="00B37F05" w:rsidP="00B37F05">
      <w:pPr>
        <w:spacing w:after="0"/>
        <w:rPr>
          <w:rFonts w:eastAsia="Times New Roman" w:cs="Arial"/>
          <w:color w:val="000000"/>
          <w:lang w:val="sr-Latn-RS"/>
        </w:rPr>
      </w:pPr>
      <w:r w:rsidRPr="00D06E2E">
        <w:rPr>
          <w:rFonts w:eastAsia="Times New Roman" w:cs="Arial"/>
          <w:color w:val="000000"/>
          <w:lang w:val="sr-Latn-RS"/>
        </w:rPr>
        <w:t>In an individual case related to the work of the Niš Construction Inspection, the Protector of Citizens assessed in the sent Report on the case with recommendations</w:t>
      </w:r>
      <w:r w:rsidRPr="00D06E2E">
        <w:rPr>
          <w:rStyle w:val="FootnoteReference"/>
          <w:lang w:val="sr-Latn-RS"/>
        </w:rPr>
        <w:footnoteReference w:id="150"/>
      </w:r>
      <w:r w:rsidRPr="00D06E2E">
        <w:rPr>
          <w:rFonts w:eastAsia="Times New Roman" w:cs="Arial"/>
          <w:color w:val="000000"/>
          <w:lang w:val="sr-Latn-RS"/>
        </w:rPr>
        <w:t xml:space="preserve"> that the inspection had not yet completed the process of executing the decision on the removal of the building, which had started more than a year ago, but had stopped with it until the necessary funds for execution by the complainant. The Protector of Citizens expressed the view that the suspension of the already started execution procedure against the budget has no basis in law and is contrary to the principles of good administration and general administrative procedure, according to which the authority is obliged to act proportionately and without delaying the procedure. In the sent report, the Protector of Citizens recommended the Construction Inspection of the City Administration for Construction of the City of Niš to finish the removal process of the building, i.e. part of it, as soon as possible and to prepare a final report on the removal as well as a supplementary decision on the final amount of execution costs. At the same time, it was pointed out the need for the Construction Inspection of the City Administration for Construction of the City of Niš to draw up a Building Removal Program in its future work, which will contain a removal plan, an operational plan and an estimate of removal costs, as well as to publish it on its website, in accordance with the Rules of Procedure of the adoption and content of the object removal program. Since the controlled authority did not submit a notification about the action according to the sent recommendations, the Protector of Citizens reported this to the City Council of Niš.</w:t>
      </w:r>
    </w:p>
    <w:p w14:paraId="093F559C" w14:textId="77777777" w:rsidR="00B37F05" w:rsidRPr="00D06E2E" w:rsidRDefault="00B37F05" w:rsidP="00B37F05">
      <w:pPr>
        <w:pStyle w:val="Normal2"/>
        <w:shd w:val="clear" w:color="auto" w:fill="FFFFFF"/>
        <w:spacing w:before="0" w:beforeAutospacing="0" w:after="0" w:afterAutospacing="0"/>
        <w:jc w:val="both"/>
        <w:rPr>
          <w:rFonts w:ascii="Book Antiqua" w:hAnsi="Book Antiqua"/>
          <w:b/>
          <w:color w:val="000000"/>
          <w:lang w:val="sr-Latn-RS"/>
        </w:rPr>
      </w:pPr>
    </w:p>
    <w:p w14:paraId="5DC3E689" w14:textId="77777777" w:rsidR="00B37F05" w:rsidRPr="00D06E2E" w:rsidRDefault="00B37F05" w:rsidP="00B37F05">
      <w:pPr>
        <w:pStyle w:val="Normal2"/>
        <w:shd w:val="clear" w:color="auto" w:fill="FFFFFF"/>
        <w:spacing w:before="0" w:beforeAutospacing="0" w:after="120" w:afterAutospacing="0"/>
        <w:jc w:val="both"/>
        <w:rPr>
          <w:rFonts w:ascii="Book Antiqua" w:hAnsi="Book Antiqua"/>
          <w:b/>
          <w:color w:val="000000"/>
          <w:lang w:val="sr-Latn-RS"/>
        </w:rPr>
      </w:pPr>
      <w:r w:rsidRPr="00D06E2E">
        <w:rPr>
          <w:rFonts w:ascii="Book Antiqua" w:hAnsi="Book Antiqua"/>
          <w:b/>
          <w:color w:val="000000"/>
          <w:lang w:val="sr-Latn-RS"/>
        </w:rPr>
        <w:t>Environmental protection</w:t>
      </w:r>
    </w:p>
    <w:p w14:paraId="3F6FFDB2" w14:textId="77777777" w:rsidR="00B37F05" w:rsidRPr="00D06E2E" w:rsidRDefault="00B37F05" w:rsidP="00B37F05">
      <w:pPr>
        <w:rPr>
          <w:lang w:val="sr-Latn-RS"/>
        </w:rPr>
      </w:pPr>
      <w:r w:rsidRPr="00D06E2E">
        <w:rPr>
          <w:lang w:val="sr-Latn-RS"/>
        </w:rPr>
        <w:t xml:space="preserve">Acting on an individual complaint about the work of the environmental protection inspection of the city of Sremska Mitrovica in connection with the noise from the hall for celebrations located in the immediate vicinity of the complainant's residential building, the Protector of Citizens determined that the acting inspection body, after determining that in the specific case, noise was above the prescribed limit values, failed to order the elimination of irregularities </w:t>
      </w:r>
      <w:r w:rsidRPr="00D06E2E">
        <w:rPr>
          <w:lang w:val="sr-Latn-RS"/>
        </w:rPr>
        <w:lastRenderedPageBreak/>
        <w:t>and taking of noise protection measures, except for the submission of a request for initiation of misdemeanor proceedings. Also, it was assessed that the inspection body did not determine whether the sound protection measures taken in the meantime were really sufficient to eliminate exposure to noise above the limit values. In this respect, after the recommendation of the Protector of Citizens in the given case</w:t>
      </w:r>
      <w:r w:rsidRPr="00D06E2E">
        <w:rPr>
          <w:vertAlign w:val="superscript"/>
          <w:lang w:val="sr-Latn-RS"/>
        </w:rPr>
        <w:footnoteReference w:id="151"/>
      </w:r>
      <w:r w:rsidRPr="00D06E2E">
        <w:rPr>
          <w:lang w:val="sr-Latn-RS"/>
        </w:rPr>
        <w:t>, the environmental protection inspection of the city of Sremska Mitrovica conducted a new noise measurement at the time of the performance of the musical content and without notice, and thus accurately determined the factual situation regarding the level of noise and the threat thereof.</w:t>
      </w:r>
    </w:p>
    <w:p w14:paraId="46646D08" w14:textId="77777777" w:rsidR="00B37F05" w:rsidRPr="00D06E2E" w:rsidRDefault="00B37F05" w:rsidP="00B37F05">
      <w:pPr>
        <w:rPr>
          <w:lang w:val="sr-Latn-RS"/>
        </w:rPr>
      </w:pPr>
      <w:r w:rsidRPr="00D06E2E">
        <w:rPr>
          <w:lang w:val="sr-Latn-RS"/>
        </w:rPr>
        <w:t>In this reporting period as well, the competent authorities were informed of the importance and expediency of preventive action in the environmental protection process, as well as the importance of a systematic approach to all segments of the project, which is expected to have negative consequences for the environment. Namely, in the examination procedure against the Municipal Administration of the Municipality of Kosjerić, which was conducted on the basis of a complaint by a citizens' association, the Protector of Citizens found that this authority had issued a building permit for the construction of an access road to the "Gradina" quarry, although the impact assessment procedure for the same parcels is already underway within the construction project of the quarry "Gradina" and where it is not possible to start the realization, i.e. the construction and execution of the project without the consent of the competent authority on the impact assessment study. In the Sent Report with an Opinion</w:t>
      </w:r>
      <w:r w:rsidRPr="00D06E2E">
        <w:rPr>
          <w:vertAlign w:val="superscript"/>
          <w:lang w:val="sr-Latn-RS"/>
        </w:rPr>
        <w:footnoteReference w:id="152"/>
      </w:r>
      <w:r w:rsidRPr="00D06E2E">
        <w:rPr>
          <w:lang w:val="sr-Latn-RS"/>
        </w:rPr>
        <w:t>, the Protector of Citizens expressed the view that it is necessary for the Municipal Administration of the Municipality of Kosjerić and the Ministry of Construction, Transport and Infrastructure, as the first and second instance authorities in the process of issuing a building permit, to review the actual competence for handling the case in question, to obtain a more precise opinion from the Ministry of mining and energy and look at the purpose and goal of the impact assessment procedure that was underway for the entire project.</w:t>
      </w:r>
    </w:p>
    <w:p w14:paraId="15B79DCE" w14:textId="77777777" w:rsidR="00B37F05" w:rsidRPr="00D06E2E" w:rsidRDefault="00B37F05" w:rsidP="00B37F05">
      <w:pPr>
        <w:rPr>
          <w:lang w:val="sr-Latn-RS"/>
        </w:rPr>
      </w:pPr>
      <w:r w:rsidRPr="00D06E2E">
        <w:rPr>
          <w:lang w:val="sr-Latn-RS"/>
        </w:rPr>
        <w:t>Namely, according to the conducted examination procedure of control of the legality and regularity of the work of the environmental protection inspection of the City Administration of the City of Belgrade, and based on the complaint of the citizens' association, which, among other things, concerns the large amount of various waste at the location of the gravel pit, as a result of which local residents are denied access to the Danube River at the "Dunav" Auto-camp, the Protector of Citizens sent the controlled authority a Report on case with recommendations</w:t>
      </w:r>
      <w:r w:rsidRPr="00D06E2E">
        <w:rPr>
          <w:vertAlign w:val="superscript"/>
          <w:lang w:val="sr-Latn-RS"/>
        </w:rPr>
        <w:footnoteReference w:id="153"/>
      </w:r>
      <w:r w:rsidRPr="00D06E2E">
        <w:rPr>
          <w:lang w:val="sr-Latn-RS"/>
        </w:rPr>
        <w:t xml:space="preserve"> in order to accurately determine the factual situation regarding the waste at the given location. Acting on the recommendation sent, the Secretariat for Inspection, Supervision and Communication of the City Administration of the City of Belgrade conducted an inspection at the given location and established the factual situation, after which it ordered the supervised entity to take certain measures in the minutes. As the sent recommendations also related to the actions of other inspection authorities, as well as the need for their coordinated action and joint action, and with the aim of comprehensive and effective inspection supervision, the Protector of Citizens continues to monitor the actions of the authorities according to the given recommendation.</w:t>
      </w:r>
    </w:p>
    <w:p w14:paraId="402DAFC4" w14:textId="77777777" w:rsidR="00B37F05" w:rsidRPr="00D06E2E" w:rsidRDefault="00B37F05" w:rsidP="00B37F05">
      <w:pPr>
        <w:rPr>
          <w:lang w:val="sr-Latn-RS"/>
        </w:rPr>
      </w:pPr>
      <w:r w:rsidRPr="00D06E2E">
        <w:rPr>
          <w:lang w:val="sr-Latn-RS"/>
        </w:rPr>
        <w:t xml:space="preserve">At the end of the reporting period, the Protector of Citizens ended proceedings in two cases related to the actions of the Novi Sad Environmental Protection Inspectorate, which concerned unpleasant odors from a grill house/dryer, i.e. a bakery in a residential building. The given procedures indicated that in both cases the inspection body suspended the inspection supervision procedures even though it was determined that the supervised entity did not </w:t>
      </w:r>
      <w:r w:rsidRPr="00D06E2E">
        <w:rPr>
          <w:lang w:val="sr-Latn-RS"/>
        </w:rPr>
        <w:lastRenderedPageBreak/>
        <w:t>fulfill its legal obligation, i.e. because the measurement could not be ordered, while it did not take other available measures and powers provided for by law provisions concerning the reduction of unpleasant odors. In this regard, the Protector of Citizens in both cases sent a report on the case with recommendations to the City Administration for Inspection Affairs of the City of Novi Sad in order to consider the application of those powers, at the same time pointing out the long-term exposure to these problems in the first case</w:t>
      </w:r>
      <w:r w:rsidRPr="00D06E2E">
        <w:rPr>
          <w:vertAlign w:val="superscript"/>
          <w:lang w:val="sr-Latn-RS"/>
        </w:rPr>
        <w:footnoteReference w:id="154"/>
      </w:r>
      <w:r w:rsidRPr="00D06E2E">
        <w:rPr>
          <w:lang w:val="sr-Latn-RS"/>
        </w:rPr>
        <w:t>, i.e. the fact that the activity performed in a residential building in another case</w:t>
      </w:r>
      <w:r w:rsidRPr="00D06E2E">
        <w:rPr>
          <w:vertAlign w:val="superscript"/>
          <w:lang w:val="sr-Latn-RS"/>
        </w:rPr>
        <w:footnoteReference w:id="155"/>
      </w:r>
      <w:r w:rsidRPr="00D06E2E">
        <w:rPr>
          <w:lang w:val="sr-Latn-RS"/>
        </w:rPr>
        <w:t>.</w:t>
      </w:r>
    </w:p>
    <w:p w14:paraId="33BCDA6E" w14:textId="77777777" w:rsidR="00B37F05" w:rsidRPr="00D06E2E" w:rsidRDefault="00B37F05" w:rsidP="00B37F05">
      <w:pPr>
        <w:rPr>
          <w:lang w:val="sr-Latn-RS"/>
        </w:rPr>
      </w:pPr>
      <w:r w:rsidRPr="00D06E2E">
        <w:rPr>
          <w:lang w:val="sr-Latn-RS"/>
        </w:rPr>
        <w:t>At the same time, it was also confirmed in this procedure that smoke, steam and unpleasant odors coming from catering facilities represent a daily problem for tenants that reduces their quality of life, even in a situation where prescribed ventilation ducts are installed, and that there is a need for more precise legal regulation, i.e. for a closer definition of the conditions for performing hospitality activities, and in order to enable more efficient action of competent inspection bodies, and thus more effective protection of citizens' rights.</w:t>
      </w:r>
    </w:p>
    <w:p w14:paraId="6F147AD6" w14:textId="77777777" w:rsidR="00B37F05" w:rsidRPr="00D06E2E" w:rsidRDefault="00B37F05" w:rsidP="00B37F05">
      <w:pPr>
        <w:rPr>
          <w:lang w:val="sr-Latn-RS"/>
        </w:rPr>
      </w:pPr>
      <w:r w:rsidRPr="00D06E2E">
        <w:rPr>
          <w:lang w:val="sr-Latn-RS"/>
        </w:rPr>
        <w:t>In this regard, following the example of the opinion that he had already sent to the City Administration of the City of Belgrade</w:t>
      </w:r>
      <w:r w:rsidRPr="00D06E2E">
        <w:rPr>
          <w:vertAlign w:val="superscript"/>
          <w:lang w:val="sr-Latn-RS"/>
        </w:rPr>
        <w:footnoteReference w:id="156"/>
      </w:r>
      <w:r w:rsidRPr="00D06E2E">
        <w:rPr>
          <w:lang w:val="sr-Latn-RS"/>
        </w:rPr>
        <w:t xml:space="preserve"> in the previous period, the Protector of Citizens in the sent Report</w:t>
      </w:r>
      <w:r w:rsidRPr="00D06E2E">
        <w:rPr>
          <w:vertAlign w:val="superscript"/>
          <w:lang w:val="sr-Latn-RS"/>
        </w:rPr>
        <w:footnoteReference w:id="157"/>
      </w:r>
      <w:r w:rsidRPr="00D06E2E">
        <w:rPr>
          <w:lang w:val="sr-Latn-RS"/>
        </w:rPr>
        <w:t xml:space="preserve"> particularly recommended the City Administration of the City of Novi Sad to consider the possibility of a special act to more closely regulate the technical and other conditions for arranging and equipping catering establishments, both in terms of smoke, steam and odor removal devices, as well as in terms of facilities located in residential buildings, all in accordance with the authorization given to local self-government units by Article 26, paragraph 1 - 3 of the Law on Hospitality</w:t>
      </w:r>
      <w:r w:rsidRPr="00D06E2E">
        <w:rPr>
          <w:vertAlign w:val="superscript"/>
          <w:lang w:val="sr-Latn-RS"/>
        </w:rPr>
        <w:footnoteReference w:id="158"/>
      </w:r>
      <w:r w:rsidRPr="00D06E2E">
        <w:rPr>
          <w:lang w:val="sr-Latn-RS"/>
        </w:rPr>
        <w:t xml:space="preserve"> . By the end of the reporting period, the deadline for acting on the sent recommendations has not passed.</w:t>
      </w:r>
    </w:p>
    <w:p w14:paraId="7FB94B84" w14:textId="77777777" w:rsidR="00B37F05" w:rsidRPr="00D06E2E" w:rsidRDefault="00B37F05" w:rsidP="00B37F05">
      <w:pPr>
        <w:rPr>
          <w:lang w:val="sr-Latn-RS"/>
        </w:rPr>
      </w:pPr>
      <w:r w:rsidRPr="00D06E2E">
        <w:rPr>
          <w:lang w:val="sr-Latn-RS"/>
        </w:rPr>
        <w:t>With regard to air pollution and the lack of planning instruments prescribed by law for the purpose of air protection, the Protector of Citizens in the reporting period controlled the implementation of the previously sent recommendation in this area to the City Administration of the city of Valjevo</w:t>
      </w:r>
      <w:r w:rsidRPr="00D06E2E">
        <w:rPr>
          <w:vertAlign w:val="superscript"/>
          <w:lang w:val="sr-Latn-RS"/>
        </w:rPr>
        <w:footnoteReference w:id="159"/>
      </w:r>
      <w:r w:rsidRPr="00D06E2E">
        <w:rPr>
          <w:lang w:val="sr-Latn-RS"/>
        </w:rPr>
        <w:t>. In this regard, as this city administration did not submit a notification on whether and in what way the recommendations were acted upon or the reasons why they were not acted upon, the Protector of Citizens stated that the City Administration of the city of Valjevo did not take into account the position and recommendations of this body , that is, it did not adopt the Air Quality Plan for the city of Valjevo for the period from 2022 to 2027, nor the Action Plan for improving air quality in the city of Valjevo, and, in accordance with Article 37, paragraph 7 of the Law on the Protector of Citizens</w:t>
      </w:r>
      <w:r w:rsidRPr="00D06E2E">
        <w:rPr>
          <w:rStyle w:val="FootnoteReference"/>
          <w:lang w:val="sr-Latn-RS"/>
        </w:rPr>
        <w:footnoteReference w:id="160"/>
      </w:r>
      <w:r w:rsidRPr="00D06E2E">
        <w:rPr>
          <w:lang w:val="sr-Latn-RS"/>
        </w:rPr>
        <w:t>, informed the Ministry of Environmental Protection about this, as a direct supervisory authority in accordance with the Law on Air Protection</w:t>
      </w:r>
      <w:r w:rsidRPr="00D06E2E">
        <w:rPr>
          <w:rStyle w:val="FootnoteReference"/>
          <w:lang w:val="sr-Latn-RS"/>
        </w:rPr>
        <w:footnoteReference w:id="161"/>
      </w:r>
      <w:r w:rsidRPr="00D06E2E">
        <w:rPr>
          <w:lang w:val="sr-Latn-RS"/>
        </w:rPr>
        <w:t>.</w:t>
      </w:r>
    </w:p>
    <w:p w14:paraId="0292F6D3" w14:textId="77777777" w:rsidR="00B37F05" w:rsidRPr="00D06E2E" w:rsidRDefault="00B37F05" w:rsidP="00B37F05">
      <w:pPr>
        <w:spacing w:after="0"/>
        <w:rPr>
          <w:lang w:val="sr-Latn-RS"/>
        </w:rPr>
      </w:pPr>
      <w:r w:rsidRPr="00D06E2E">
        <w:rPr>
          <w:lang w:val="sr-Latn-RS"/>
        </w:rPr>
        <w:t xml:space="preserve">After pointing out to the Ministry of Environmental Protection the failure of the City Administration of the city of Valjevo to act on the recommendations sent, the Protector of Citizens was informed by the Ministry of Environmental Protection, among other things, that the City Administration, together with the service provider, is currently reviewing all submitted opinions and objections, and that it is expected that by the end of May 2023, all </w:t>
      </w:r>
      <w:r w:rsidRPr="00D06E2E">
        <w:rPr>
          <w:lang w:val="sr-Latn-RS"/>
        </w:rPr>
        <w:lastRenderedPageBreak/>
        <w:t>answers are sent and that the service provider makes appropriate changes and additions to the Air Quality Plan, as well as that after that conditions are created for submitting the Air Quality Plan to the Ministry of Environmental Protection for adoption in June 2023 .</w:t>
      </w:r>
    </w:p>
    <w:p w14:paraId="5B13B778" w14:textId="77777777" w:rsidR="00B37F05" w:rsidRPr="00D06E2E" w:rsidRDefault="00B37F05" w:rsidP="00B37F05">
      <w:pPr>
        <w:spacing w:after="0"/>
        <w:rPr>
          <w:lang w:val="sr-Latn-RS"/>
        </w:rPr>
      </w:pPr>
    </w:p>
    <w:p w14:paraId="1E7266FE" w14:textId="77777777" w:rsidR="00B37F05" w:rsidRPr="00D06E2E" w:rsidRDefault="00B37F05" w:rsidP="00B37F05">
      <w:pPr>
        <w:spacing w:after="0"/>
        <w:rPr>
          <w:lang w:val="sr-Latn-RS"/>
        </w:rPr>
      </w:pPr>
      <w:r w:rsidRPr="00D06E2E">
        <w:rPr>
          <w:lang w:val="sr-Latn-RS"/>
        </w:rPr>
        <w:t>Bearing in mind the latest available public information regarding this matter, which indicates that the City Administration of the city of Valjevo has in the meantime submitted the Air Quality Plan to the Ministry of Environmental Protection for adoption</w:t>
      </w:r>
      <w:r w:rsidRPr="00D06E2E">
        <w:rPr>
          <w:vertAlign w:val="superscript"/>
          <w:lang w:val="sr-Latn-RS"/>
        </w:rPr>
        <w:footnoteReference w:id="162"/>
      </w:r>
      <w:r w:rsidRPr="00D06E2E">
        <w:rPr>
          <w:lang w:val="sr-Latn-RS"/>
        </w:rPr>
        <w:t>, the Protector of Citizens requested information from the Ministry of Environmental Protection on the procedure for granting consent to the given plan air quality and its eventual outcome, and with the aim of an overall overview of the actions of the City Administration based on the recommendations sent by the Protector of Citizens. The Ministry of Environmental Protection informed the Protector of Citizens that on July 10, 2023, the City Administration of the city of Valjevo submitted to the Ministry of Environmental Protection for approval the Proposal for the air quality plan of the city of Valjevo for the period from 2022 to 2027 and that, based on the comments sent and the suggestion of the Ministry of Environmental Protection, the City Administration of the city of Valjevo also submitted a corrected plan proposal, as well as that the Ministry of Environmental Protection is in the process of inspecting the given document.</w:t>
      </w:r>
    </w:p>
    <w:p w14:paraId="25E5D413" w14:textId="77777777" w:rsidR="00B37F05" w:rsidRPr="00D06E2E" w:rsidRDefault="00B37F05" w:rsidP="00B37F05">
      <w:pPr>
        <w:pStyle w:val="Normal2"/>
        <w:shd w:val="clear" w:color="auto" w:fill="FFFFFF"/>
        <w:spacing w:before="0" w:beforeAutospacing="0" w:after="0" w:afterAutospacing="0"/>
        <w:jc w:val="both"/>
        <w:rPr>
          <w:rFonts w:ascii="Book Antiqua" w:hAnsi="Book Antiqua"/>
          <w:b/>
          <w:color w:val="000000"/>
          <w:lang w:val="sr-Latn-RS"/>
        </w:rPr>
      </w:pPr>
    </w:p>
    <w:p w14:paraId="7D05A069" w14:textId="77777777" w:rsidR="00B37F05" w:rsidRPr="00D06E2E" w:rsidRDefault="00B37F05" w:rsidP="00B37F05">
      <w:pPr>
        <w:tabs>
          <w:tab w:val="left" w:pos="5325"/>
        </w:tabs>
        <w:rPr>
          <w:b/>
          <w:lang w:val="sr-Latn-RS"/>
        </w:rPr>
      </w:pPr>
      <w:r w:rsidRPr="00D06E2E">
        <w:rPr>
          <w:b/>
          <w:lang w:val="sr-Latn-RS"/>
        </w:rPr>
        <w:t>Local self-government</w:t>
      </w:r>
    </w:p>
    <w:p w14:paraId="5BE7CF3C" w14:textId="77777777" w:rsidR="00B37F05" w:rsidRPr="00D06E2E" w:rsidRDefault="00B37F05" w:rsidP="00B37F05">
      <w:pPr>
        <w:rPr>
          <w:lang w:val="sr-Latn-RS"/>
        </w:rPr>
      </w:pPr>
      <w:r w:rsidRPr="00D06E2E">
        <w:rPr>
          <w:lang w:val="sr-Latn-RS"/>
        </w:rPr>
        <w:t>During 2023, citizens most often expressed their dissatisfaction with the actions of local public companies regarding the performance of communal activities such as the delivery of heat, water supply, sewage, municipal waste removal, and parking. In these cases, citizens were informed which competent authorities they could turn to in order to protect their rights, or complaints were forwarded to the ombudsman of the local self-government unit, where such an authority exists.</w:t>
      </w:r>
    </w:p>
    <w:p w14:paraId="67060AA2" w14:textId="77777777" w:rsidR="00B37F05" w:rsidRPr="00D06E2E" w:rsidRDefault="00B37F05" w:rsidP="00B37F05">
      <w:pPr>
        <w:spacing w:after="0"/>
        <w:rPr>
          <w:lang w:val="sr-Latn-RS"/>
        </w:rPr>
      </w:pPr>
      <w:r w:rsidRPr="00D06E2E">
        <w:rPr>
          <w:lang w:val="sr-Latn-RS"/>
        </w:rPr>
        <w:t>Also, a large number of citizens pointed to the non-action of local self-government units regarding the request for the reconstruction of local roads due to their very poor condition and lack of investment in them, where mostly local self-government units stated that due to the lack of financial resources, they are not able to solve these problems.</w:t>
      </w:r>
    </w:p>
    <w:p w14:paraId="6DD2E0E2" w14:textId="77777777" w:rsidR="00B37F05" w:rsidRPr="00D06E2E" w:rsidRDefault="00B37F05" w:rsidP="00B37F05">
      <w:pPr>
        <w:spacing w:after="0"/>
        <w:rPr>
          <w:sz w:val="10"/>
          <w:szCs w:val="10"/>
          <w:lang w:val="sr-Latn-RS"/>
        </w:rPr>
      </w:pPr>
    </w:p>
    <w:p w14:paraId="4E0A3DDB" w14:textId="77777777" w:rsidR="00B37F05" w:rsidRPr="00D06E2E" w:rsidRDefault="00B37F05" w:rsidP="00B37F05">
      <w:pPr>
        <w:pStyle w:val="Normal2"/>
        <w:shd w:val="clear" w:color="auto" w:fill="FFFFFF"/>
        <w:spacing w:before="0" w:beforeAutospacing="0" w:after="0" w:afterAutospacing="0"/>
        <w:jc w:val="both"/>
        <w:rPr>
          <w:rFonts w:ascii="Book Antiqua" w:hAnsi="Book Antiqua" w:cs="Book Antiqua"/>
          <w:szCs w:val="20"/>
          <w:lang w:val="sr-Latn-RS"/>
        </w:rPr>
      </w:pPr>
      <w:r w:rsidRPr="00D06E2E">
        <w:rPr>
          <w:rFonts w:ascii="Book Antiqua" w:hAnsi="Book Antiqua" w:cs="Book Antiqua"/>
          <w:szCs w:val="20"/>
          <w:lang w:val="sr-Latn-RS"/>
        </w:rPr>
        <w:t>In the work of local self-government units and services, there are still problems that characterize bad administration, most often untimely handling of parties' requests. As a rule, the procedures for controlling the work of the authorities are suspended because the deficiencies are eliminated after the procedure has been initiated by the Protector of Citizens.</w:t>
      </w:r>
    </w:p>
    <w:p w14:paraId="79F3C8DB" w14:textId="77777777" w:rsidR="00B37F05" w:rsidRPr="00D06E2E" w:rsidRDefault="00B37F05" w:rsidP="00B37F05">
      <w:pPr>
        <w:pStyle w:val="Normal2"/>
        <w:shd w:val="clear" w:color="auto" w:fill="FFFFFF"/>
        <w:spacing w:before="0" w:beforeAutospacing="0" w:after="0" w:afterAutospacing="0"/>
        <w:jc w:val="both"/>
        <w:rPr>
          <w:rFonts w:ascii="Book Antiqua" w:hAnsi="Book Antiqua"/>
          <w:b/>
          <w:color w:val="000000"/>
          <w:lang w:val="sr-Latn-RS"/>
        </w:rPr>
      </w:pPr>
    </w:p>
    <w:p w14:paraId="186D72A5" w14:textId="77777777" w:rsidR="00B37F05" w:rsidRPr="00D06E2E" w:rsidRDefault="00B37F05" w:rsidP="00B37F05">
      <w:pPr>
        <w:rPr>
          <w:b/>
          <w:lang w:val="sr-Latn-RS"/>
        </w:rPr>
      </w:pPr>
      <w:r w:rsidRPr="00D06E2E">
        <w:rPr>
          <w:b/>
          <w:lang w:val="sr-Latn-RS"/>
        </w:rPr>
        <w:t>Mining and energy industry</w:t>
      </w:r>
    </w:p>
    <w:p w14:paraId="39D3EBCC" w14:textId="77777777" w:rsidR="00B37F05" w:rsidRPr="00D06E2E" w:rsidRDefault="00B37F05" w:rsidP="00B37F05">
      <w:pPr>
        <w:pStyle w:val="Normal2"/>
        <w:shd w:val="clear" w:color="auto" w:fill="FFFFFF"/>
        <w:spacing w:before="0" w:beforeAutospacing="0" w:after="120" w:afterAutospacing="0"/>
        <w:jc w:val="both"/>
        <w:rPr>
          <w:rFonts w:ascii="Book Antiqua" w:hAnsi="Book Antiqua"/>
          <w:color w:val="000000"/>
          <w:lang w:val="sr-Latn-RS"/>
        </w:rPr>
      </w:pPr>
      <w:r w:rsidRPr="00D06E2E">
        <w:rPr>
          <w:rFonts w:ascii="Book Antiqua" w:hAnsi="Book Antiqua"/>
          <w:color w:val="000000"/>
          <w:lang w:val="sr-Latn-RS"/>
        </w:rPr>
        <w:t>The largest number of complaints in the field of energy relate to the work of the Public Company “Elektroprivreda Srbije” Belgrade (Joint Company “Elektroprivreda Srbije</w:t>
      </w:r>
      <w:r w:rsidRPr="00D06E2E">
        <w:rPr>
          <w:rStyle w:val="FootnoteReference"/>
          <w:color w:val="000000"/>
          <w:lang w:val="sr-Latn-RS"/>
        </w:rPr>
        <w:footnoteReference w:id="163"/>
      </w:r>
      <w:r w:rsidRPr="00D06E2E">
        <w:rPr>
          <w:rFonts w:ascii="Book Antiqua" w:hAnsi="Book Antiqua"/>
          <w:color w:val="000000"/>
          <w:lang w:val="sr-Latn-RS"/>
        </w:rPr>
        <w:t>”) and “Elektrodistribucija Srbije” l.l.c. Belgrade. Citizens most often complained about the calculation of consumed electricity shown in the issued invoices, the handling of complaints/objections to the issued invoices; suspension of electricity supply and disconnection from the electrical distribution system, untimely decision on requests for connection and failure of energy entities to comply with decisions on approval for connection.</w:t>
      </w:r>
    </w:p>
    <w:p w14:paraId="1209D25F" w14:textId="77777777" w:rsidR="00B37F05" w:rsidRPr="00D06E2E" w:rsidRDefault="00B37F05" w:rsidP="00B37F05">
      <w:pPr>
        <w:rPr>
          <w:rFonts w:cs="Arial"/>
          <w:lang w:val="sr-Latn-RS"/>
        </w:rPr>
      </w:pPr>
      <w:r w:rsidRPr="00D06E2E">
        <w:rPr>
          <w:rFonts w:cs="Arial"/>
          <w:lang w:val="sr-Latn-RS"/>
        </w:rPr>
        <w:lastRenderedPageBreak/>
        <w:t>In some cases, citizens pointed out that the system operator does not read the electricity meters in the intervals determined as the accounting period, which is why they enter the higher electricity consumption zone.</w:t>
      </w:r>
    </w:p>
    <w:p w14:paraId="1DD83126" w14:textId="77777777" w:rsidR="00B37F05" w:rsidRPr="00D06E2E" w:rsidRDefault="00B37F05" w:rsidP="00B37F05">
      <w:pPr>
        <w:rPr>
          <w:rFonts w:eastAsia="Times New Roman" w:cs="Times New Roman"/>
          <w:lang w:val="sr-Latn-RS"/>
        </w:rPr>
      </w:pPr>
      <w:r w:rsidRPr="00D06E2E">
        <w:rPr>
          <w:rFonts w:eastAsia="Times New Roman" w:cs="Times New Roman"/>
          <w:lang w:val="sr-Latn-RS"/>
        </w:rPr>
        <w:t>In the control procedure initiated on the basis of a citizen's complaint, which indicated irregularities in connection with the suspension of electricity supply, which relate to the obligation to deliver a warning before the suspension of electricity supply, the Protector of Citizens established that “Elektroprivreda Srbije”, after delivering the aforementioned warning, continues to periodically send new warnings before the suspension of electricity supply and in a situation where activities have already been undertaken with the aim of suspension according to a previously delivered warning or the suspension of electricity supply has already been carried out. Appreciating the facts that appeared as disputed in connection with the delivery of a warning before the suspension of electricity supply, and that it is a systemic action which, according to the "”Elektroprivreda Srbije”, is a consequence of the electronic system used in work, which according to the position of the Protector of Citizens improperly, purposelessly confuses the citizens and raises doubts about the regularity and legality of the actions, the Protector of Citizens sent an Opinion to the "”Elektroprivreda Srbije</w:t>
      </w:r>
      <w:r w:rsidRPr="00D06E2E">
        <w:rPr>
          <w:rStyle w:val="FootnoteReference"/>
          <w:lang w:val="sr-Latn-RS"/>
        </w:rPr>
        <w:footnoteReference w:id="164"/>
      </w:r>
      <w:r w:rsidRPr="00D06E2E">
        <w:rPr>
          <w:rFonts w:eastAsia="Times New Roman" w:cs="Times New Roman"/>
          <w:lang w:val="sr-Latn-RS"/>
        </w:rPr>
        <w:t>”. The opinion pointed out the need to take all measures in order to ensure consistently and in accordance with the current regulations the delivery of warnings before the suspension of electricity supply and the initiation of the procedure for suspension of electricity supply due to outstanding obligations.</w:t>
      </w:r>
    </w:p>
    <w:p w14:paraId="09E23FD9" w14:textId="77777777" w:rsidR="00B37F05" w:rsidRPr="00D06E2E" w:rsidRDefault="00B37F05" w:rsidP="00B37F05">
      <w:pPr>
        <w:spacing w:after="0"/>
        <w:rPr>
          <w:lang w:val="sr-Latn-RS"/>
        </w:rPr>
      </w:pPr>
      <w:r w:rsidRPr="00D06E2E">
        <w:rPr>
          <w:lang w:val="sr-Latn-RS"/>
        </w:rPr>
        <w:t>In this reporting period, a certain number of complaints were noticed by citizens indicating that “Elektrodistribucija Srbije” l.l.c. Belgrade does not fulfill its obligations from the decision on approval for connection, that is, it does not undertake activities in a timely manner, in accordance with the issued decision, with the aim of building connections and connecting facilities to the electricity distribution system. In this regard, the citizens pointed out that even after addressing in writing, their appeals either remain unanswered or receive answers with a specific time frame that is not respected. In the control procedures, the authority eliminated the identified deficiencies.</w:t>
      </w:r>
    </w:p>
    <w:p w14:paraId="47B80E6C" w14:textId="77777777" w:rsidR="00B37F05" w:rsidRPr="00D06E2E" w:rsidRDefault="00B37F05" w:rsidP="00B37F05">
      <w:pPr>
        <w:spacing w:after="0"/>
        <w:rPr>
          <w:lang w:val="sr-Latn-RS"/>
        </w:rPr>
      </w:pPr>
    </w:p>
    <w:p w14:paraId="7B0E0D9D" w14:textId="77777777" w:rsidR="00B37F05" w:rsidRPr="00D06E2E" w:rsidRDefault="00B37F05" w:rsidP="00B37F05">
      <w:pPr>
        <w:spacing w:after="0"/>
        <w:rPr>
          <w:rFonts w:eastAsia="Times New Roman" w:cs="Times New Roman"/>
          <w:lang w:val="sr-Latn-RS"/>
        </w:rPr>
      </w:pPr>
      <w:r w:rsidRPr="00D06E2E">
        <w:rPr>
          <w:rFonts w:eastAsia="Times New Roman" w:cs="Times New Roman"/>
          <w:lang w:val="sr-Latn-RS"/>
        </w:rPr>
        <w:t>The Ministry of Mining and Energy supervises the implementation of the provisions of the Law on Energy</w:t>
      </w:r>
      <w:r w:rsidRPr="00D06E2E">
        <w:rPr>
          <w:rFonts w:eastAsia="Times New Roman" w:cs="Times New Roman"/>
          <w:vertAlign w:val="superscript"/>
          <w:lang w:val="sr-Latn-RS"/>
        </w:rPr>
        <w:footnoteReference w:id="165"/>
      </w:r>
      <w:r w:rsidRPr="00D06E2E">
        <w:rPr>
          <w:rFonts w:eastAsia="Times New Roman" w:cs="Times New Roman"/>
          <w:lang w:val="sr-Latn-RS"/>
        </w:rPr>
        <w:t xml:space="preserve"> and regulations adopted on the basis of that law, and individual citizens turn to the Ministry of Mining and Energy due to suspicion of non-compliance with the aforementioned regulations by energy entities. From citizens' complaints about the work of the Ministry of Mining and Energy, it can be concluded that citizens are often unclear about the authorities of this body in connection with the aforementioned supervision.</w:t>
      </w:r>
    </w:p>
    <w:p w14:paraId="652D2BB5" w14:textId="77777777" w:rsidR="00B37F05" w:rsidRPr="00D06E2E" w:rsidRDefault="00B37F05" w:rsidP="00B37F05">
      <w:pPr>
        <w:spacing w:after="0"/>
        <w:rPr>
          <w:rFonts w:eastAsia="Times New Roman" w:cs="Times New Roman"/>
          <w:b/>
          <w:lang w:val="sr-Latn-RS"/>
        </w:rPr>
      </w:pPr>
    </w:p>
    <w:p w14:paraId="10F29958" w14:textId="77777777" w:rsidR="00B37F05" w:rsidRPr="00D06E2E" w:rsidRDefault="00B37F05" w:rsidP="00B37F05">
      <w:pPr>
        <w:rPr>
          <w:b/>
          <w:lang w:val="sr-Latn-RS"/>
        </w:rPr>
      </w:pPr>
      <w:r w:rsidRPr="00D06E2E">
        <w:rPr>
          <w:b/>
          <w:lang w:val="sr-Latn-RS"/>
        </w:rPr>
        <w:t>Real Estate Cadaster</w:t>
      </w:r>
    </w:p>
    <w:p w14:paraId="45F18F99" w14:textId="77777777" w:rsidR="00B37F05" w:rsidRPr="00D06E2E" w:rsidRDefault="00B37F05" w:rsidP="00B37F05">
      <w:pPr>
        <w:rPr>
          <w:lang w:val="sr-Latn-RS"/>
        </w:rPr>
      </w:pPr>
      <w:r w:rsidRPr="00D06E2E">
        <w:rPr>
          <w:lang w:val="sr-Latn-RS"/>
        </w:rPr>
        <w:t>In following up on the systemic recommendation that the Protector of Citizens sent to the Republic Geodetic Institute and the Ministry of Construction, Transport and Infrastructure at the end of 2022</w:t>
      </w:r>
      <w:r w:rsidRPr="00D06E2E">
        <w:rPr>
          <w:rStyle w:val="FootnoteReference"/>
          <w:rFonts w:eastAsia="Times New Roman" w:cs="Times New Roman"/>
          <w:b/>
          <w:lang w:val="sr-Latn-RS"/>
        </w:rPr>
        <w:footnoteReference w:id="166"/>
      </w:r>
      <w:r w:rsidRPr="00D06E2E">
        <w:rPr>
          <w:lang w:val="sr-Latn-RS"/>
        </w:rPr>
        <w:t>, the Protector of Citizens received a notification about the creation of alternative plans for completing the work on backlogged cases in the second stage, as well as the initiation of the procedure for implementation of a public competition in order to increase the number of executors in the Department for second-degree proceedings by initiating the procedure for obtaining consent for new employment and additional employment by the competent authorities.</w:t>
      </w:r>
    </w:p>
    <w:p w14:paraId="5F1EB71F" w14:textId="77777777" w:rsidR="00B37F05" w:rsidRPr="00D06E2E" w:rsidRDefault="00B37F05" w:rsidP="00B37F05">
      <w:pPr>
        <w:rPr>
          <w:lang w:val="sr-Latn-RS"/>
        </w:rPr>
      </w:pPr>
      <w:r w:rsidRPr="00D06E2E">
        <w:rPr>
          <w:lang w:val="sr-Latn-RS"/>
        </w:rPr>
        <w:lastRenderedPageBreak/>
        <w:t>The Republic Geodetic Institute and the real estate cadastre services generally respected the obligation to cooperate with the Protector of Citizens, while the cases of non-response to acts of the Protector of Citizens were sporadic and individual failures that did not indicate compliance with the law. In support of the above, the fact that in a large number of cases in the past year, the service itself eliminated the omission that was pointed out immediately after receiving notification of the initiated proceedings of the Protector of Citizens. The Protector of Citizens praises such practice, which shows not only the intention of the administrative authorities to accept responsibility and correct shortcomings in their work, but also trust in the authority of the Protector of Citizens, whose aim is, above all, to contribute through cooperation and joint effort to a society in which the rights of citizens are respected and in which state administration is fair, efficient and accessible to citizens under equal conditions.</w:t>
      </w:r>
    </w:p>
    <w:p w14:paraId="38641899" w14:textId="77777777" w:rsidR="00B37F05" w:rsidRPr="00D06E2E" w:rsidRDefault="00B37F05" w:rsidP="00B37F05">
      <w:pPr>
        <w:spacing w:after="0"/>
        <w:rPr>
          <w:rFonts w:eastAsia="Times New Roman" w:cs="Arial"/>
          <w:color w:val="000000"/>
          <w:lang w:val="sr-Latn-RS"/>
        </w:rPr>
      </w:pPr>
      <w:r w:rsidRPr="00D06E2E">
        <w:rPr>
          <w:rFonts w:eastAsia="Times New Roman" w:cs="Arial"/>
          <w:color w:val="000000"/>
          <w:lang w:val="sr-Latn-RS"/>
        </w:rPr>
        <w:t xml:space="preserve">Acting on complaints from citizens who pointed out the impossibility of accessing the Internet service of the Republic Geodetic Institute </w:t>
      </w:r>
      <w:r w:rsidRPr="00D06E2E">
        <w:rPr>
          <w:rFonts w:eastAsia="Times New Roman" w:cs="Arial"/>
          <w:i/>
          <w:color w:val="000000"/>
          <w:lang w:val="sr-Latn-RS"/>
        </w:rPr>
        <w:t>eKatastar</w:t>
      </w:r>
      <w:r w:rsidRPr="00D06E2E">
        <w:rPr>
          <w:rFonts w:eastAsia="Times New Roman" w:cs="Arial"/>
          <w:color w:val="000000"/>
          <w:lang w:val="sr-Latn-RS"/>
        </w:rPr>
        <w:t xml:space="preserve"> for persons located abroad, after the investigation procedure, the Protector of Citizens sent a report on the case with an opinion</w:t>
      </w:r>
      <w:r w:rsidRPr="00D06E2E">
        <w:rPr>
          <w:rFonts w:eastAsia="Times New Roman" w:cs="Times New Roman"/>
          <w:vertAlign w:val="superscript"/>
          <w:lang w:val="sr-Latn-RS"/>
        </w:rPr>
        <w:footnoteReference w:id="167"/>
      </w:r>
      <w:r w:rsidRPr="00D06E2E">
        <w:rPr>
          <w:rFonts w:eastAsia="Times New Roman" w:cs="Arial"/>
          <w:color w:val="000000"/>
          <w:lang w:val="sr-Latn-RS"/>
        </w:rPr>
        <w:t xml:space="preserve"> to the Republic Geodetic Institute. The given report pointed out to the Republic Geodetic Institute that it is necessary, guided by the principles of publicity and risk management, as well as taking into account information security and the course of the investigation in the given case, to consider the possibility of re-providing the availability of the basic data of the real estate cadastre through its internet service and to all persons who are abroad, as well as to initiate the adoption of the missing by-law, while pointing out the need for more adequate cooperation with the Protector of Citizens.</w:t>
      </w:r>
    </w:p>
    <w:p w14:paraId="7310747B" w14:textId="77777777" w:rsidR="00B37F05" w:rsidRPr="00D06E2E" w:rsidRDefault="00B37F05" w:rsidP="00B37F05">
      <w:pPr>
        <w:spacing w:after="0"/>
        <w:rPr>
          <w:rFonts w:eastAsia="Times New Roman" w:cs="Times New Roman"/>
          <w:lang w:val="sr-Latn-RS"/>
        </w:rPr>
      </w:pPr>
    </w:p>
    <w:p w14:paraId="595176C9" w14:textId="77777777" w:rsidR="00B37F05" w:rsidRPr="00D06E2E" w:rsidRDefault="00B37F05" w:rsidP="00B37F05">
      <w:pPr>
        <w:rPr>
          <w:rFonts w:eastAsia="Times New Roman" w:cs="Times New Roman"/>
          <w:b/>
          <w:lang w:val="sr-Latn-RS"/>
        </w:rPr>
      </w:pPr>
      <w:r w:rsidRPr="00D06E2E">
        <w:rPr>
          <w:rFonts w:eastAsia="Times New Roman" w:cs="Times New Roman"/>
          <w:b/>
          <w:lang w:val="sr-Latn-RS"/>
        </w:rPr>
        <w:t>Agriculture</w:t>
      </w:r>
    </w:p>
    <w:p w14:paraId="2546F0A3" w14:textId="3986EA74" w:rsidR="00B37F05" w:rsidRPr="00D06E2E" w:rsidRDefault="00B37F05" w:rsidP="00B37F05">
      <w:pPr>
        <w:rPr>
          <w:lang w:val="sr-Latn-RS"/>
        </w:rPr>
      </w:pPr>
      <w:r w:rsidRPr="00D06E2E">
        <w:rPr>
          <w:lang w:val="sr-Latn-RS"/>
        </w:rPr>
        <w:t xml:space="preserve">Complaints from the field of agriculture received during the reporting period mainly related to the non-decision of the Ministry of Agriculture, Forestry and Water Management on appeals filed against the decisions of the bodies in its composition or the decisions of the local self-government units, as well as the payment of incentives and the processing of requests submitted through the </w:t>
      </w:r>
      <w:r w:rsidRPr="00D06E2E">
        <w:rPr>
          <w:i/>
          <w:lang w:val="sr-Latn-RS"/>
        </w:rPr>
        <w:t>eAgrar</w:t>
      </w:r>
      <w:r w:rsidRPr="00D06E2E">
        <w:rPr>
          <w:lang w:val="sr-Latn-RS"/>
        </w:rPr>
        <w:t xml:space="preserve"> software solution.</w:t>
      </w:r>
    </w:p>
    <w:p w14:paraId="2D8A5B1B" w14:textId="6EE1506E" w:rsidR="00B37F05" w:rsidRPr="00D06E2E" w:rsidRDefault="00B37F05" w:rsidP="00B37F05">
      <w:pPr>
        <w:rPr>
          <w:lang w:val="sr-Latn-RS"/>
        </w:rPr>
      </w:pPr>
      <w:r w:rsidRPr="00D06E2E">
        <w:rPr>
          <w:lang w:val="sr-Latn-RS"/>
        </w:rPr>
        <w:t>Acting on a complaint about the work of the Directorate for Agrarian Payments of the Ministry of Agriculture, Forestry and Water Management in the process of payment of the approved incentive, the Protector of Citizens determined that the Directorate for Agrarian Payments failed to provide the complainant with a decision by which her request for the payment of incentives was adopted, as well as to inform the complainant about the above. Instead, the Administration for Agrarian Payments ignored the complainant's requests and denied delivery of the adopted administrative act, without informing her of the reasons the authority was guided by in the specific case and the impossibility of payment of incentives at the given time. Acting according to the sent Report on the case with recommendations</w:t>
      </w:r>
      <w:r w:rsidR="00AC0E41" w:rsidRPr="00D06E2E">
        <w:rPr>
          <w:rStyle w:val="FootnoteReference"/>
          <w:rFonts w:eastAsia="Times New Roman"/>
          <w:color w:val="000000"/>
          <w:lang w:val="sr-Latn-RS"/>
        </w:rPr>
        <w:footnoteReference w:id="168"/>
      </w:r>
      <w:r w:rsidRPr="00D06E2E">
        <w:rPr>
          <w:lang w:val="sr-Latn-RS"/>
        </w:rPr>
        <w:t>, the Directorate for Agrarian Payments of the Ministry of Agriculture, Forestry and Water Management eliminated the identified omission and delivered to the complainant a new decision on the payment of incentives, and then paid them.</w:t>
      </w:r>
    </w:p>
    <w:p w14:paraId="2FD5F5FF" w14:textId="77777777" w:rsidR="00B37F05" w:rsidRPr="00D06E2E" w:rsidRDefault="00B37F05" w:rsidP="00B37F05">
      <w:pPr>
        <w:rPr>
          <w:rFonts w:eastAsia="Times New Roman"/>
          <w:lang w:val="sr-Latn-RS"/>
        </w:rPr>
      </w:pPr>
      <w:r w:rsidRPr="00D06E2E">
        <w:rPr>
          <w:rFonts w:eastAsia="Times New Roman"/>
          <w:lang w:val="sr-Latn-RS"/>
        </w:rPr>
        <w:t xml:space="preserve">Acting on a complaint related to the land consolidation, the Protector of Citizens found that even twelve years after the annulment of the first-instance decision, the Commission for Land Consolidation of the Municipality of Lebane did not act on the decision of the then Ministry of Agriculture, Trade, Forestry and Water Management and made a new decision. The </w:t>
      </w:r>
      <w:r w:rsidRPr="00D06E2E">
        <w:rPr>
          <w:rFonts w:eastAsia="Times New Roman"/>
          <w:lang w:val="sr-Latn-RS"/>
        </w:rPr>
        <w:lastRenderedPageBreak/>
        <w:t>Protector of Citizens, in the sent Report on the case with recommendations</w:t>
      </w:r>
      <w:r w:rsidRPr="00D06E2E">
        <w:rPr>
          <w:rStyle w:val="FootnoteReference"/>
          <w:rFonts w:eastAsia="Times New Roman"/>
          <w:lang w:val="sr-Latn-RS"/>
        </w:rPr>
        <w:footnoteReference w:id="169"/>
      </w:r>
      <w:r w:rsidRPr="00D06E2E">
        <w:rPr>
          <w:rFonts w:eastAsia="Times New Roman"/>
          <w:lang w:val="sr-Latn-RS"/>
        </w:rPr>
        <w:t>, expressed the view that any further prolongation of decision-making in the specific case, and thus the denial of citizens' rights, is inadmissible and unjustified, especially considering the fact that it has already passed since the initiation of the land consolidation procedure in the given case almost forty years and that it has not yet ended for the complainant.</w:t>
      </w:r>
    </w:p>
    <w:p w14:paraId="3E4B13A6" w14:textId="77777777" w:rsidR="00B37F05" w:rsidRPr="00D06E2E" w:rsidRDefault="00B37F05" w:rsidP="00B37F05">
      <w:pPr>
        <w:rPr>
          <w:rFonts w:eastAsia="Times New Roman"/>
          <w:lang w:val="sr-Latn-RS"/>
        </w:rPr>
      </w:pPr>
      <w:r w:rsidRPr="00D06E2E">
        <w:rPr>
          <w:rFonts w:eastAsia="Times New Roman"/>
          <w:lang w:val="sr-Latn-RS"/>
        </w:rPr>
        <w:t>Considering that after the expiration of the deadline set for acting on the recommendations, the Commission for Land Consolidation of the Municipality of Lebane did not submit a notification on whether and in what manner they were acted upon, that is, on the reasons for which they were not acted upon, the Protector of Citizens informed the Assembly of the Municipality of Lebane about this as the supervisory authority over the work of the bodies it formed.</w:t>
      </w:r>
    </w:p>
    <w:p w14:paraId="613DA33D" w14:textId="77777777" w:rsidR="00B37F05" w:rsidRPr="00D06E2E" w:rsidRDefault="00B37F05" w:rsidP="00B37F05">
      <w:pPr>
        <w:rPr>
          <w:rFonts w:eastAsia="Times New Roman"/>
          <w:lang w:val="sr-Latn-RS"/>
        </w:rPr>
      </w:pPr>
      <w:r w:rsidRPr="00D06E2E">
        <w:rPr>
          <w:rFonts w:eastAsia="Times New Roman"/>
          <w:lang w:val="sr-Latn-RS"/>
        </w:rPr>
        <w:t>Acting on the complaint of the inhabitants of the village of Zlot in the vicinity of Bor, the Protector of Citizens established that due to the undefined way of using the plot of land where the public watering place is located, the complainant and other inhabitants of the village of Zlot have not been able to solve the problem of its use for many years. In the sent Report</w:t>
      </w:r>
      <w:r w:rsidRPr="00D06E2E">
        <w:rPr>
          <w:rStyle w:val="FootnoteReference"/>
          <w:rFonts w:eastAsia="Times New Roman"/>
          <w:iCs/>
          <w:szCs w:val="24"/>
          <w:lang w:val="sr-Latn-RS"/>
        </w:rPr>
        <w:footnoteReference w:id="170"/>
      </w:r>
      <w:r w:rsidRPr="00D06E2E">
        <w:rPr>
          <w:rFonts w:eastAsia="Times New Roman"/>
          <w:iCs/>
          <w:szCs w:val="24"/>
          <w:lang w:val="sr-Latn-RS"/>
        </w:rPr>
        <w:t>,</w:t>
      </w:r>
      <w:r w:rsidRPr="00D06E2E">
        <w:rPr>
          <w:rFonts w:eastAsia="Times New Roman"/>
          <w:lang w:val="sr-Latn-RS"/>
        </w:rPr>
        <w:t xml:space="preserve"> the Protector of Citizens expressed the opinion that the Ministry of Agriculture, Forestry and Water Management, in cooperation with the Administration for Agricultural Land and the Administration for Forests and under the supervision of the Agricultural Inspection Sector, should determine the ways and conditions for the use of the given plot, and in order to allow the inhabitants of the village of Zlot to freely use the public watering place located there.</w:t>
      </w:r>
    </w:p>
    <w:p w14:paraId="14AC567F" w14:textId="77777777" w:rsidR="00B37F05" w:rsidRPr="00D06E2E" w:rsidRDefault="00B37F05" w:rsidP="00B37F05">
      <w:pPr>
        <w:pStyle w:val="ListParagraph"/>
        <w:spacing w:after="0"/>
        <w:ind w:left="0"/>
        <w:rPr>
          <w:lang w:val="sr-Latn-RS"/>
        </w:rPr>
      </w:pPr>
      <w:r w:rsidRPr="00D06E2E">
        <w:rPr>
          <w:lang w:val="sr-Latn-RS"/>
        </w:rPr>
        <w:t>During the reporting period, the Veterinary Directorate of the Ministry of Agriculture, Forestry and Water Management acted on the recommendations</w:t>
      </w:r>
      <w:r w:rsidRPr="00D06E2E">
        <w:rPr>
          <w:rStyle w:val="FootnoteReference"/>
          <w:lang w:val="sr-Latn-RS"/>
        </w:rPr>
        <w:footnoteReference w:id="171"/>
      </w:r>
      <w:r w:rsidRPr="00D06E2E">
        <w:rPr>
          <w:lang w:val="sr-Latn-RS"/>
        </w:rPr>
        <w:t xml:space="preserve"> of the Protector of Citizens, which related to the authority's action on the complainant's submission expressing dissatisfaction with the work of the acting veterinary inspector, by sending the complainant a reply to his letter and asking him to specifies his submission and complaint about the work of the veterinary inspector.</w:t>
      </w:r>
    </w:p>
    <w:p w14:paraId="327EF8DD" w14:textId="77777777" w:rsidR="00B37F05" w:rsidRPr="00D06E2E" w:rsidRDefault="00B37F05" w:rsidP="00B37F05">
      <w:pPr>
        <w:spacing w:after="0"/>
        <w:ind w:left="426" w:hanging="426"/>
        <w:rPr>
          <w:sz w:val="24"/>
          <w:szCs w:val="24"/>
          <w:lang w:val="sr-Latn-RS"/>
        </w:rPr>
      </w:pPr>
    </w:p>
    <w:p w14:paraId="4C1E0F00" w14:textId="77777777" w:rsidR="00B37F05" w:rsidRPr="00D06E2E" w:rsidRDefault="00B37F05" w:rsidP="00B37F05">
      <w:pPr>
        <w:ind w:left="426" w:hanging="426"/>
        <w:rPr>
          <w:b/>
          <w:lang w:val="sr-Latn-RS"/>
        </w:rPr>
      </w:pPr>
      <w:r w:rsidRPr="00D06E2E">
        <w:rPr>
          <w:b/>
          <w:lang w:val="sr-Latn-RS"/>
        </w:rPr>
        <w:t>Protection of customers</w:t>
      </w:r>
    </w:p>
    <w:p w14:paraId="38324F3D" w14:textId="77777777" w:rsidR="00B37F05" w:rsidRPr="00D06E2E" w:rsidRDefault="00B37F05" w:rsidP="00B37F05">
      <w:pPr>
        <w:spacing w:after="0"/>
        <w:rPr>
          <w:lang w:val="sr-Latn-RS"/>
        </w:rPr>
      </w:pPr>
      <w:r w:rsidRPr="00D06E2E">
        <w:rPr>
          <w:lang w:val="sr-Latn-RS"/>
        </w:rPr>
        <w:t>As the Protector of Citizens is not authorized to control the work of companies and entrepreneurs whose actions in the field of customer protection were the subject of the largest number of complaints during 2023, citizens were given information, guidelines and instructions on how they can protect their customer rights and which authorities and organizations can be addressed, and complaints are rejected due to lack of jurisdiction.</w:t>
      </w:r>
    </w:p>
    <w:p w14:paraId="7D16A1A3" w14:textId="77777777" w:rsidR="00B37F05" w:rsidRPr="00D06E2E" w:rsidRDefault="00B37F05" w:rsidP="00B37F05">
      <w:pPr>
        <w:spacing w:after="0"/>
        <w:ind w:left="426" w:hanging="426"/>
        <w:jc w:val="center"/>
        <w:rPr>
          <w:sz w:val="24"/>
          <w:szCs w:val="24"/>
          <w:lang w:val="sr-Latn-RS"/>
        </w:rPr>
      </w:pPr>
    </w:p>
    <w:p w14:paraId="6843D92E" w14:textId="77777777" w:rsidR="00B37F05" w:rsidRPr="00D06E2E" w:rsidRDefault="00B37F05" w:rsidP="00B37F05">
      <w:pPr>
        <w:pStyle w:val="NoSpacing"/>
        <w:jc w:val="center"/>
        <w:rPr>
          <w:rFonts w:ascii="Book Antiqua" w:hAnsi="Book Antiqua"/>
          <w:sz w:val="24"/>
          <w:szCs w:val="24"/>
          <w:lang w:val="sr-Latn-RS"/>
        </w:rPr>
      </w:pPr>
      <w:r w:rsidRPr="00D06E2E">
        <w:rPr>
          <w:rFonts w:ascii="Book Antiqua" w:hAnsi="Book Antiqua"/>
          <w:sz w:val="24"/>
          <w:szCs w:val="24"/>
          <w:lang w:val="sr-Latn-RS"/>
        </w:rPr>
        <w:t>PROPOSALS FOR THE IMPROVEMENT OF THE STATUS OF CITIZENS</w:t>
      </w:r>
    </w:p>
    <w:p w14:paraId="0DEFBA5E" w14:textId="77777777" w:rsidR="00B37F05" w:rsidRPr="00D06E2E" w:rsidRDefault="00B37F05" w:rsidP="00B37F05">
      <w:pPr>
        <w:pStyle w:val="NoSpacing"/>
        <w:jc w:val="center"/>
        <w:rPr>
          <w:rFonts w:ascii="Book Antiqua" w:hAnsi="Book Antiqua"/>
          <w:sz w:val="24"/>
          <w:szCs w:val="24"/>
          <w:lang w:val="sr-Latn-RS"/>
        </w:rPr>
      </w:pPr>
      <w:r w:rsidRPr="00D06E2E">
        <w:rPr>
          <w:rFonts w:ascii="Book Antiqua" w:hAnsi="Book Antiqua"/>
          <w:sz w:val="24"/>
          <w:szCs w:val="24"/>
          <w:lang w:val="sr-Latn-RS"/>
        </w:rPr>
        <w:t>IN RELATION TO ADMINISTRATIVE AUTHORITIES</w:t>
      </w:r>
    </w:p>
    <w:p w14:paraId="40CD56E7" w14:textId="77777777" w:rsidR="00B37F05" w:rsidRPr="00D06E2E" w:rsidRDefault="00B37F05" w:rsidP="00B37F05">
      <w:pPr>
        <w:pStyle w:val="Numeracija2"/>
        <w:numPr>
          <w:ilvl w:val="0"/>
          <w:numId w:val="37"/>
        </w:numPr>
        <w:ind w:left="426" w:hanging="426"/>
        <w:rPr>
          <w:lang w:val="sr-Latn-RS"/>
        </w:rPr>
      </w:pPr>
      <w:r w:rsidRPr="00D06E2E">
        <w:rPr>
          <w:b/>
          <w:lang w:val="sr-Latn-RS"/>
        </w:rPr>
        <w:t xml:space="preserve">The Ministry of Construction, Transport and Infrastructure </w:t>
      </w:r>
      <w:r w:rsidRPr="00D06E2E">
        <w:rPr>
          <w:lang w:val="sr-Latn-RS"/>
        </w:rPr>
        <w:t>should provide sufficient financial resources in the budgets at all levels of government for the administrative execution of decisions on the demolition of illegal structures;</w:t>
      </w:r>
    </w:p>
    <w:p w14:paraId="208BC2F2" w14:textId="77777777" w:rsidR="00B37F05" w:rsidRPr="00D06E2E" w:rsidRDefault="00B37F05" w:rsidP="00B37F05">
      <w:pPr>
        <w:pStyle w:val="Numeracija2"/>
        <w:numPr>
          <w:ilvl w:val="0"/>
          <w:numId w:val="37"/>
        </w:numPr>
        <w:ind w:left="426" w:hanging="426"/>
        <w:rPr>
          <w:lang w:val="sr-Latn-RS"/>
        </w:rPr>
      </w:pPr>
      <w:r w:rsidRPr="00D06E2E">
        <w:rPr>
          <w:b/>
          <w:lang w:val="sr-Latn-RS"/>
        </w:rPr>
        <w:t xml:space="preserve">The Ministry of Construction, Transport and Infrastructure </w:t>
      </w:r>
      <w:r w:rsidRPr="00D06E2E">
        <w:rPr>
          <w:lang w:val="sr-Latn-RS"/>
        </w:rPr>
        <w:t>should, when conducting administrative supervision over construction inspection tasks entrusted to local self-governments, apply all mechanisms available by law to eliminate situations caused by improper and illegal actions or non-action of lower level construction inspections;</w:t>
      </w:r>
    </w:p>
    <w:p w14:paraId="2CC28E63" w14:textId="77777777" w:rsidR="00B37F05" w:rsidRPr="00D06E2E" w:rsidRDefault="00B37F05" w:rsidP="00B37F05">
      <w:pPr>
        <w:pStyle w:val="Numeracija2"/>
        <w:numPr>
          <w:ilvl w:val="0"/>
          <w:numId w:val="37"/>
        </w:numPr>
        <w:ind w:left="426" w:hanging="426"/>
        <w:rPr>
          <w:lang w:val="sr-Latn-RS"/>
        </w:rPr>
      </w:pPr>
      <w:r w:rsidRPr="00D06E2E">
        <w:rPr>
          <w:b/>
          <w:lang w:val="sr-Latn-RS"/>
        </w:rPr>
        <w:lastRenderedPageBreak/>
        <w:t xml:space="preserve">Local self-government units, </w:t>
      </w:r>
      <w:r w:rsidRPr="00D06E2E">
        <w:rPr>
          <w:lang w:val="sr-Latn-RS"/>
        </w:rPr>
        <w:t>and especially the city of Belgrade, should, when approving the budget, provide a sufficient amount of funds for the administrative execution of decisions on the demolition of illegally built buildings;</w:t>
      </w:r>
    </w:p>
    <w:p w14:paraId="3EDD48F4" w14:textId="77777777" w:rsidR="00B37F05" w:rsidRPr="00D06E2E" w:rsidRDefault="00B37F05" w:rsidP="00B37F05">
      <w:pPr>
        <w:pStyle w:val="Numeracija2"/>
        <w:numPr>
          <w:ilvl w:val="0"/>
          <w:numId w:val="37"/>
        </w:numPr>
        <w:ind w:left="426" w:hanging="426"/>
        <w:rPr>
          <w:lang w:val="sr-Latn-RS"/>
        </w:rPr>
      </w:pPr>
      <w:r w:rsidRPr="00D06E2E">
        <w:rPr>
          <w:b/>
          <w:lang w:val="sr-Latn-RS"/>
        </w:rPr>
        <w:t xml:space="preserve">Local self-government units </w:t>
      </w:r>
      <w:r w:rsidRPr="00D06E2E">
        <w:rPr>
          <w:lang w:val="sr-Latn-RS"/>
        </w:rPr>
        <w:t>should, in order to implement their own decisions more efficiently, consider the possibility of establishing public companies that would also deal with enforcement of decisions within their activities, i.e. in cases where there are already public companies that meet the legal, personnel and technical requirements for enforcement implementation of decisions, to entrust them with the execution of these tasks;</w:t>
      </w:r>
    </w:p>
    <w:p w14:paraId="4A447C13" w14:textId="77777777" w:rsidR="00B37F05" w:rsidRPr="00D06E2E" w:rsidRDefault="00B37F05" w:rsidP="00B37F05">
      <w:pPr>
        <w:pStyle w:val="ListParagraph"/>
        <w:numPr>
          <w:ilvl w:val="0"/>
          <w:numId w:val="29"/>
        </w:numPr>
        <w:ind w:left="426" w:hanging="426"/>
        <w:rPr>
          <w:lang w:val="sr-Latn-RS"/>
        </w:rPr>
      </w:pPr>
      <w:r w:rsidRPr="00D06E2E">
        <w:rPr>
          <w:b/>
          <w:lang w:val="sr-Latn-RS"/>
        </w:rPr>
        <w:t xml:space="preserve">Local self-government authorities </w:t>
      </w:r>
      <w:r w:rsidRPr="00D06E2E">
        <w:rPr>
          <w:lang w:val="sr-Latn-RS"/>
        </w:rPr>
        <w:t>responsible for legalizing buildings should carefully consider each submission that contains a specific request and a reasoned response to the same instructions in accordance with the principles of good administration and guided by the provisions of the Law on General Administrative Procedure;</w:t>
      </w:r>
    </w:p>
    <w:p w14:paraId="4058D106" w14:textId="77777777" w:rsidR="00B37F05" w:rsidRPr="00D06E2E" w:rsidRDefault="00B37F05" w:rsidP="00B37F05">
      <w:pPr>
        <w:pStyle w:val="ListParagraph"/>
        <w:numPr>
          <w:ilvl w:val="0"/>
          <w:numId w:val="29"/>
        </w:numPr>
        <w:ind w:left="426" w:hanging="426"/>
        <w:rPr>
          <w:b/>
          <w:lang w:val="sr-Latn-RS"/>
        </w:rPr>
      </w:pPr>
      <w:r w:rsidRPr="00D06E2E">
        <w:rPr>
          <w:b/>
          <w:lang w:val="sr-Latn-RS"/>
        </w:rPr>
        <w:t xml:space="preserve">Authors of planning documents </w:t>
      </w:r>
      <w:r w:rsidRPr="00D06E2E">
        <w:rPr>
          <w:lang w:val="sr-Latn-RS"/>
        </w:rPr>
        <w:t>should ensure that citizens in each phase of the preparation of planning documents are timely and adequately informed about the essential importance of certain planning decisions and their consequences for the environment in which they will be implemented.</w:t>
      </w:r>
    </w:p>
    <w:p w14:paraId="2A57B124" w14:textId="77777777" w:rsidR="00B37F05" w:rsidRPr="00D06E2E" w:rsidRDefault="00B37F05" w:rsidP="00B37F05">
      <w:pPr>
        <w:pStyle w:val="ListParagraph"/>
        <w:numPr>
          <w:ilvl w:val="0"/>
          <w:numId w:val="29"/>
        </w:numPr>
        <w:ind w:left="426" w:hanging="426"/>
        <w:rPr>
          <w:lang w:val="sr-Latn-RS"/>
        </w:rPr>
      </w:pPr>
      <w:r w:rsidRPr="00D06E2E">
        <w:rPr>
          <w:b/>
          <w:lang w:val="sr-Latn-RS"/>
        </w:rPr>
        <w:t xml:space="preserve">The Ministry of Environmental Protection </w:t>
      </w:r>
      <w:r w:rsidRPr="00D06E2E">
        <w:rPr>
          <w:lang w:val="sr-Latn-RS"/>
        </w:rPr>
        <w:t>should provide financial support to local self-government units in carrying out entrusted tasks in the field of environmental protection;</w:t>
      </w:r>
    </w:p>
    <w:p w14:paraId="01338361" w14:textId="77777777" w:rsidR="00B37F05" w:rsidRPr="00D06E2E" w:rsidRDefault="00B37F05" w:rsidP="00B37F05">
      <w:pPr>
        <w:pStyle w:val="ListParagraph"/>
        <w:numPr>
          <w:ilvl w:val="0"/>
          <w:numId w:val="29"/>
        </w:numPr>
        <w:ind w:left="426" w:hanging="426"/>
        <w:rPr>
          <w:lang w:val="sr-Latn-RS"/>
        </w:rPr>
      </w:pPr>
      <w:r w:rsidRPr="00D06E2E">
        <w:rPr>
          <w:b/>
          <w:lang w:val="sr-Latn-RS"/>
        </w:rPr>
        <w:t xml:space="preserve">The Ministry of Environmental Protection </w:t>
      </w:r>
      <w:r w:rsidRPr="00D06E2E">
        <w:rPr>
          <w:lang w:val="sr-Latn-RS"/>
        </w:rPr>
        <w:t>should establish a more efficient system of supervision over the performance of entrusted tasks of inspection supervision in the field of environmental protection by local self-government units;</w:t>
      </w:r>
    </w:p>
    <w:p w14:paraId="3043D6CA" w14:textId="77777777" w:rsidR="00B37F05" w:rsidRPr="00D06E2E" w:rsidRDefault="00B37F05" w:rsidP="00B37F05">
      <w:pPr>
        <w:pStyle w:val="ListParagraph"/>
        <w:numPr>
          <w:ilvl w:val="0"/>
          <w:numId w:val="29"/>
        </w:numPr>
        <w:ind w:left="426" w:hanging="426"/>
        <w:rPr>
          <w:lang w:val="sr-Latn-RS"/>
        </w:rPr>
      </w:pPr>
      <w:r w:rsidRPr="00D06E2E">
        <w:rPr>
          <w:b/>
          <w:lang w:val="sr-Latn-RS"/>
        </w:rPr>
        <w:t xml:space="preserve">The Ministry of Environmental Protection, </w:t>
      </w:r>
      <w:r w:rsidRPr="00D06E2E">
        <w:rPr>
          <w:lang w:val="sr-Latn-RS"/>
        </w:rPr>
        <w:t>as the supervisory authority over the implementation of the Law on Air Protection, should take all available measures against local self-government units that have not yet adopted air quality plans and short-term action plans;</w:t>
      </w:r>
    </w:p>
    <w:p w14:paraId="3593BFDA" w14:textId="77777777" w:rsidR="00B37F05" w:rsidRPr="00D06E2E" w:rsidRDefault="00B37F05" w:rsidP="00B37F05">
      <w:pPr>
        <w:pStyle w:val="ListParagraph"/>
        <w:numPr>
          <w:ilvl w:val="0"/>
          <w:numId w:val="29"/>
        </w:numPr>
        <w:ind w:left="426" w:hanging="426"/>
        <w:rPr>
          <w:lang w:val="sr-Latn-RS"/>
        </w:rPr>
      </w:pPr>
      <w:r w:rsidRPr="00D06E2E">
        <w:rPr>
          <w:b/>
          <w:lang w:val="sr-Latn-RS"/>
        </w:rPr>
        <w:t xml:space="preserve">Local self-government units </w:t>
      </w:r>
      <w:r w:rsidRPr="00D06E2E">
        <w:rPr>
          <w:lang w:val="sr-Latn-RS"/>
        </w:rPr>
        <w:t>should carry out the tasks of inspection supervision in the field of environmental protection with the objective established by law, and by precise determination of the factual situation, preventive action and the imposition of measures, ensure the legality and safety of business operations and actions of the supervised subjects and prevent and eliminate harmful consequences according to the law and other goods, rights and interests protected by regulation;</w:t>
      </w:r>
    </w:p>
    <w:p w14:paraId="0033E395" w14:textId="77777777" w:rsidR="00B37F05" w:rsidRPr="00D06E2E" w:rsidRDefault="00B37F05" w:rsidP="00B37F05">
      <w:pPr>
        <w:pStyle w:val="ListParagraph"/>
        <w:numPr>
          <w:ilvl w:val="0"/>
          <w:numId w:val="29"/>
        </w:numPr>
        <w:ind w:left="426" w:hanging="426"/>
        <w:rPr>
          <w:lang w:val="sr-Latn-RS"/>
        </w:rPr>
      </w:pPr>
      <w:r w:rsidRPr="00D06E2E">
        <w:rPr>
          <w:b/>
          <w:lang w:val="sr-Latn-RS"/>
        </w:rPr>
        <w:t xml:space="preserve">Local self-government units </w:t>
      </w:r>
      <w:r w:rsidRPr="00D06E2E">
        <w:rPr>
          <w:lang w:val="sr-Latn-RS"/>
        </w:rPr>
        <w:t>should, through joint inspection supervision in all cases provided for by law, establish more adequate cooperation of their inspection bodies, as well as cooperation with other inspection bodies, especially in a situation where there is an increased risk and when the same subject was treated by several inspections;</w:t>
      </w:r>
    </w:p>
    <w:p w14:paraId="61AE6A99" w14:textId="77777777" w:rsidR="00B37F05" w:rsidRPr="00D06E2E" w:rsidRDefault="00B37F05" w:rsidP="00B37F05">
      <w:pPr>
        <w:pStyle w:val="ListParagraph"/>
        <w:numPr>
          <w:ilvl w:val="0"/>
          <w:numId w:val="29"/>
        </w:numPr>
        <w:ind w:left="426" w:hanging="426"/>
        <w:rPr>
          <w:lang w:val="sr-Latn-RS"/>
        </w:rPr>
      </w:pPr>
      <w:r w:rsidRPr="00D06E2E">
        <w:rPr>
          <w:b/>
          <w:lang w:val="sr-Latn-RS"/>
        </w:rPr>
        <w:t>Local self-government units</w:t>
      </w:r>
      <w:r w:rsidRPr="00D06E2E">
        <w:rPr>
          <w:lang w:val="sr-Latn-RS"/>
        </w:rPr>
        <w:t>, in the procedures for issuing building permits for parts of the project, should take into account the opinions of the Ministry of Environmental Protection, which indicate the importance of a systematic approach to all segments of the project, which there is a presumption that it will have negative consequences for the environment;</w:t>
      </w:r>
    </w:p>
    <w:p w14:paraId="7B3C5482" w14:textId="77777777" w:rsidR="00B37F05" w:rsidRPr="00D06E2E" w:rsidRDefault="00B37F05" w:rsidP="00B37F05">
      <w:pPr>
        <w:pStyle w:val="ListParagraph"/>
        <w:numPr>
          <w:ilvl w:val="0"/>
          <w:numId w:val="29"/>
        </w:numPr>
        <w:ind w:left="426" w:hanging="426"/>
        <w:rPr>
          <w:lang w:val="sr-Latn-RS"/>
        </w:rPr>
      </w:pPr>
      <w:r w:rsidRPr="00D06E2E">
        <w:rPr>
          <w:b/>
          <w:lang w:val="sr-Latn-RS"/>
        </w:rPr>
        <w:t xml:space="preserve">Local self-government units </w:t>
      </w:r>
      <w:r w:rsidRPr="00D06E2E">
        <w:rPr>
          <w:lang w:val="sr-Latn-RS"/>
        </w:rPr>
        <w:t xml:space="preserve">that have not yet done so should take advantage of the legal opportunity to regulate more closely the conditions for arranging and equipping catering establishments, which relate to the arrangement and equipping of devices for the removal of smoke, steam and odors, as well as other unpleasant odors, through a special act. , as </w:t>
      </w:r>
      <w:r w:rsidRPr="00D06E2E">
        <w:rPr>
          <w:lang w:val="sr-Latn-RS"/>
        </w:rPr>
        <w:lastRenderedPageBreak/>
        <w:t>well as the conditions in the catering facility located in the residential building, taking care to ensure effective protection of the environment from these harmful effects;</w:t>
      </w:r>
    </w:p>
    <w:p w14:paraId="54830127" w14:textId="77777777" w:rsidR="00B37F05" w:rsidRPr="00D06E2E" w:rsidRDefault="00B37F05" w:rsidP="00B37F05">
      <w:pPr>
        <w:pStyle w:val="ListParagraph"/>
        <w:numPr>
          <w:ilvl w:val="0"/>
          <w:numId w:val="27"/>
        </w:numPr>
        <w:ind w:left="426" w:hanging="426"/>
        <w:rPr>
          <w:lang w:val="sr-Latn-RS"/>
        </w:rPr>
      </w:pPr>
      <w:r w:rsidRPr="00D06E2E">
        <w:rPr>
          <w:b/>
          <w:lang w:val="sr-Latn-RS"/>
        </w:rPr>
        <w:t xml:space="preserve">Local self-government units </w:t>
      </w:r>
      <w:r w:rsidRPr="00D06E2E">
        <w:rPr>
          <w:lang w:val="sr-Latn-RS"/>
        </w:rPr>
        <w:t>that have not yet done so should make decisions on how to control the level of noise from catering establishments in their territory, as well as take all other measures in order to establish more effective inspection supervision in this area;</w:t>
      </w:r>
    </w:p>
    <w:p w14:paraId="40D00DCF" w14:textId="77777777" w:rsidR="00B37F05" w:rsidRPr="00D06E2E" w:rsidRDefault="00B37F05" w:rsidP="00B37F05">
      <w:pPr>
        <w:pStyle w:val="ListParagraph"/>
        <w:numPr>
          <w:ilvl w:val="0"/>
          <w:numId w:val="27"/>
        </w:numPr>
        <w:ind w:left="426" w:hanging="426"/>
        <w:rPr>
          <w:rFonts w:eastAsia="Times New Roman" w:cs="Times New Roman"/>
          <w:lang w:val="sr-Latn-RS"/>
        </w:rPr>
      </w:pPr>
      <w:r w:rsidRPr="00D06E2E">
        <w:rPr>
          <w:b/>
          <w:lang w:val="sr-Latn-RS"/>
        </w:rPr>
        <w:t xml:space="preserve">Local self-government units </w:t>
      </w:r>
      <w:r w:rsidRPr="00D06E2E">
        <w:rPr>
          <w:lang w:val="sr-Latn-RS"/>
        </w:rPr>
        <w:t>that have a legal obligation, and have not yet done so, should adopt air quality plans and short-term action plans;</w:t>
      </w:r>
    </w:p>
    <w:p w14:paraId="08AE9379" w14:textId="77777777" w:rsidR="00B37F05" w:rsidRPr="00D06E2E" w:rsidRDefault="00B37F05" w:rsidP="00B37F05">
      <w:pPr>
        <w:pStyle w:val="ListParagraph"/>
        <w:numPr>
          <w:ilvl w:val="0"/>
          <w:numId w:val="27"/>
        </w:numPr>
        <w:ind w:left="426" w:hanging="426"/>
        <w:rPr>
          <w:rFonts w:eastAsia="Times New Roman" w:cs="Times New Roman"/>
          <w:lang w:val="sr-Latn-RS"/>
        </w:rPr>
      </w:pPr>
      <w:r w:rsidRPr="00D06E2E">
        <w:rPr>
          <w:rFonts w:eastAsia="Times New Roman" w:cs="Times New Roman"/>
          <w:b/>
          <w:lang w:val="sr-Latn-RS"/>
        </w:rPr>
        <w:t xml:space="preserve">Joint-stock company “Elektroprivreda Srbije” </w:t>
      </w:r>
      <w:r w:rsidRPr="00D06E2E">
        <w:rPr>
          <w:rFonts w:eastAsia="Times New Roman" w:cs="Times New Roman"/>
          <w:lang w:val="sr-Latn-RS"/>
        </w:rPr>
        <w:t>Belgrade should improve the procedures and the existing electronic system used in the work in order to ensure consistent and legal delivery of warnings to its users before the suspension of electricity supply and initiation of the procedure for suspension of electricity supply due to unpaid obligations;</w:t>
      </w:r>
    </w:p>
    <w:p w14:paraId="2C5C3132" w14:textId="77777777" w:rsidR="00B37F05" w:rsidRPr="00D06E2E" w:rsidRDefault="00B37F05" w:rsidP="00B37F05">
      <w:pPr>
        <w:pStyle w:val="ListParagraph"/>
        <w:numPr>
          <w:ilvl w:val="0"/>
          <w:numId w:val="27"/>
        </w:numPr>
        <w:ind w:left="426" w:hanging="426"/>
        <w:rPr>
          <w:rFonts w:eastAsia="Times New Roman" w:cs="Times New Roman"/>
          <w:lang w:val="sr-Latn-RS"/>
        </w:rPr>
      </w:pPr>
      <w:r w:rsidRPr="00D06E2E">
        <w:rPr>
          <w:rFonts w:eastAsia="Times New Roman" w:cs="Times New Roman"/>
          <w:b/>
          <w:lang w:val="sr-Latn-RS"/>
        </w:rPr>
        <w:t xml:space="preserve">“Elektrodistribucija Srbije” l.l.c. Belgrade </w:t>
      </w:r>
      <w:r w:rsidRPr="00D06E2E">
        <w:rPr>
          <w:rFonts w:eastAsia="Times New Roman" w:cs="Times New Roman"/>
          <w:lang w:val="sr-Latn-RS"/>
        </w:rPr>
        <w:t>should ensure timely action on decisions on connection approval;</w:t>
      </w:r>
    </w:p>
    <w:p w14:paraId="67D81365" w14:textId="77777777" w:rsidR="00B37F05" w:rsidRPr="00D06E2E" w:rsidRDefault="00B37F05" w:rsidP="00B37F05">
      <w:pPr>
        <w:pStyle w:val="ListParagraph"/>
        <w:numPr>
          <w:ilvl w:val="0"/>
          <w:numId w:val="27"/>
        </w:numPr>
        <w:ind w:left="426" w:hanging="426"/>
        <w:rPr>
          <w:rFonts w:eastAsia="Times New Roman" w:cs="Times New Roman"/>
          <w:lang w:val="sr-Latn-RS"/>
        </w:rPr>
      </w:pPr>
      <w:r w:rsidRPr="00D06E2E">
        <w:rPr>
          <w:rFonts w:eastAsia="Times New Roman" w:cs="Times New Roman"/>
          <w:b/>
          <w:lang w:val="sr-Latn-RS"/>
        </w:rPr>
        <w:t xml:space="preserve">The Ministry of Construction, Transport and Infrastructure </w:t>
      </w:r>
      <w:r w:rsidRPr="00D06E2E">
        <w:rPr>
          <w:rFonts w:eastAsia="Times New Roman" w:cs="Times New Roman"/>
          <w:lang w:val="sr-Latn-RS"/>
        </w:rPr>
        <w:t>should, in cooperation with the Republic Geodetic Institute, ensure the strengthening of its personnel and organizational capacities;</w:t>
      </w:r>
    </w:p>
    <w:p w14:paraId="676CE76D" w14:textId="77777777" w:rsidR="00B37F05" w:rsidRPr="00D06E2E" w:rsidRDefault="00B37F05" w:rsidP="00B37F05">
      <w:pPr>
        <w:pStyle w:val="ListParagraph"/>
        <w:numPr>
          <w:ilvl w:val="0"/>
          <w:numId w:val="27"/>
        </w:numPr>
        <w:ind w:left="426" w:hanging="426"/>
        <w:rPr>
          <w:rFonts w:eastAsia="Book Antiqua"/>
          <w:lang w:val="sr-Latn-RS"/>
        </w:rPr>
      </w:pPr>
      <w:r w:rsidRPr="00D06E2E">
        <w:rPr>
          <w:rFonts w:eastAsia="Times New Roman" w:cs="Times New Roman"/>
          <w:b/>
          <w:lang w:val="sr-Latn-RS"/>
        </w:rPr>
        <w:t xml:space="preserve">The Republic Geodetic Institute </w:t>
      </w:r>
      <w:r w:rsidRPr="00D06E2E">
        <w:rPr>
          <w:rFonts w:eastAsia="Times New Roman" w:cs="Times New Roman"/>
          <w:lang w:val="sr-Latn-RS"/>
        </w:rPr>
        <w:t>should ensure greater availability of real estate cadastre services to citizens and timely handling of parties' requests and submitted complaints;</w:t>
      </w:r>
    </w:p>
    <w:p w14:paraId="57F7235A" w14:textId="77777777" w:rsidR="00B37F05" w:rsidRPr="00D06E2E" w:rsidRDefault="00B37F05" w:rsidP="00B37F05">
      <w:pPr>
        <w:pStyle w:val="ListParagraph"/>
        <w:numPr>
          <w:ilvl w:val="0"/>
          <w:numId w:val="27"/>
        </w:numPr>
        <w:spacing w:after="160"/>
        <w:ind w:left="426" w:hanging="426"/>
        <w:contextualSpacing/>
        <w:rPr>
          <w:lang w:val="sr-Latn-RS"/>
        </w:rPr>
      </w:pPr>
      <w:r w:rsidRPr="00D06E2E">
        <w:rPr>
          <w:b/>
          <w:lang w:val="sr-Latn-RS"/>
        </w:rPr>
        <w:t xml:space="preserve">The Ministry of Agriculture, Forestry and Water Management </w:t>
      </w:r>
      <w:r w:rsidRPr="00D06E2E">
        <w:rPr>
          <w:lang w:val="sr-Latn-RS"/>
        </w:rPr>
        <w:t>should take all necessary measures in order to resolve complaints within the time limit provided by law;</w:t>
      </w:r>
    </w:p>
    <w:p w14:paraId="3F141CF8" w14:textId="77777777" w:rsidR="00B37F05" w:rsidRPr="00D06E2E" w:rsidRDefault="00B37F05" w:rsidP="00B37F05">
      <w:pPr>
        <w:pStyle w:val="ListParagraph"/>
        <w:numPr>
          <w:ilvl w:val="0"/>
          <w:numId w:val="27"/>
        </w:numPr>
        <w:spacing w:after="160"/>
        <w:ind w:left="426" w:hanging="426"/>
        <w:contextualSpacing/>
        <w:rPr>
          <w:lang w:val="sr-Latn-RS"/>
        </w:rPr>
      </w:pPr>
      <w:r w:rsidRPr="00D06E2E">
        <w:rPr>
          <w:b/>
          <w:lang w:val="sr-Latn-RS"/>
        </w:rPr>
        <w:t xml:space="preserve">The Directorate for Agrarian Payments </w:t>
      </w:r>
      <w:r w:rsidRPr="00D06E2E">
        <w:rPr>
          <w:lang w:val="sr-Latn-RS"/>
        </w:rPr>
        <w:t>of the Ministry of Agriculture, Forestry and Water Management should provide the parties with decisions on determination of incentives, as well as the payment of incentives, and in a timely manner, while maintaining up-to-date records, enable the realization of the rights determined by the given decisions;</w:t>
      </w:r>
    </w:p>
    <w:p w14:paraId="01A837CE" w14:textId="77777777" w:rsidR="00B37F05" w:rsidRPr="00D06E2E" w:rsidRDefault="00B37F05" w:rsidP="00B37F05">
      <w:pPr>
        <w:pStyle w:val="ListParagraph"/>
        <w:numPr>
          <w:ilvl w:val="0"/>
          <w:numId w:val="27"/>
        </w:numPr>
        <w:ind w:left="426" w:hanging="426"/>
        <w:rPr>
          <w:rFonts w:eastAsia="Book Antiqua"/>
          <w:lang w:val="sr-Latn-RS"/>
        </w:rPr>
      </w:pPr>
      <w:r w:rsidRPr="00D06E2E">
        <w:rPr>
          <w:b/>
          <w:lang w:val="sr-Latn-RS"/>
        </w:rPr>
        <w:t>Local self-government units</w:t>
      </w:r>
      <w:r w:rsidRPr="00D06E2E">
        <w:rPr>
          <w:lang w:val="sr-Latn-RS"/>
        </w:rPr>
        <w:t>, in which not all consolidation procedures have been completed, should take all necessary measures to complete these procedures as soon as possible, respecting the rights and interests of citizens based on the law.</w:t>
      </w:r>
    </w:p>
    <w:p w14:paraId="2D7187EB" w14:textId="77777777" w:rsidR="00B37F05" w:rsidRPr="00D06E2E" w:rsidRDefault="00B37F05" w:rsidP="00B37F05">
      <w:pPr>
        <w:pStyle w:val="ListParagraph"/>
        <w:ind w:left="426"/>
        <w:contextualSpacing/>
        <w:rPr>
          <w:rFonts w:eastAsia="Book Antiqua"/>
          <w:lang w:val="sr-Latn-RS"/>
        </w:rPr>
      </w:pPr>
    </w:p>
    <w:p w14:paraId="7778110B" w14:textId="77777777" w:rsidR="00B37F05" w:rsidRPr="00D06E2E" w:rsidRDefault="00B37F05" w:rsidP="00B37F05">
      <w:pPr>
        <w:pStyle w:val="ListParagraph"/>
        <w:ind w:left="426"/>
        <w:contextualSpacing/>
        <w:rPr>
          <w:rFonts w:eastAsia="Book Antiqua"/>
          <w:lang w:val="sr-Latn-RS"/>
        </w:rPr>
      </w:pPr>
    </w:p>
    <w:p w14:paraId="5432D40F" w14:textId="77777777" w:rsidR="00B37F05" w:rsidRPr="00D06E2E" w:rsidRDefault="00B37F05" w:rsidP="00B37F05">
      <w:pPr>
        <w:pStyle w:val="ListParagraph"/>
        <w:ind w:left="426"/>
        <w:contextualSpacing/>
        <w:rPr>
          <w:rFonts w:eastAsia="Book Antiqua"/>
          <w:lang w:val="sr-Latn-RS"/>
        </w:rPr>
      </w:pPr>
    </w:p>
    <w:p w14:paraId="3CFE2BD3" w14:textId="77777777" w:rsidR="00B37F05" w:rsidRPr="00D06E2E" w:rsidRDefault="00B37F05" w:rsidP="00B37F05">
      <w:pPr>
        <w:pStyle w:val="ListParagraph"/>
        <w:ind w:left="426"/>
        <w:contextualSpacing/>
        <w:rPr>
          <w:rFonts w:eastAsia="Book Antiqua"/>
          <w:lang w:val="sr-Latn-RS"/>
        </w:rPr>
      </w:pPr>
    </w:p>
    <w:p w14:paraId="7DE41876" w14:textId="77777777" w:rsidR="00B37F05" w:rsidRPr="00D06E2E" w:rsidRDefault="00B37F05" w:rsidP="00B37F05">
      <w:pPr>
        <w:pStyle w:val="ListParagraph"/>
        <w:ind w:left="426"/>
        <w:contextualSpacing/>
        <w:rPr>
          <w:rFonts w:eastAsia="Book Antiqua"/>
          <w:lang w:val="sr-Latn-RS"/>
        </w:rPr>
      </w:pPr>
    </w:p>
    <w:p w14:paraId="328B6CC4" w14:textId="77777777" w:rsidR="00B37F05" w:rsidRPr="00D06E2E" w:rsidRDefault="00B37F05" w:rsidP="00B37F05">
      <w:pPr>
        <w:pStyle w:val="ListParagraph"/>
        <w:ind w:left="426"/>
        <w:contextualSpacing/>
        <w:rPr>
          <w:rFonts w:eastAsia="Book Antiqua"/>
          <w:lang w:val="sr-Latn-RS"/>
        </w:rPr>
      </w:pPr>
    </w:p>
    <w:p w14:paraId="29D86575" w14:textId="77777777" w:rsidR="00B37F05" w:rsidRPr="00D06E2E" w:rsidRDefault="00B37F05" w:rsidP="00B37F05">
      <w:pPr>
        <w:pStyle w:val="ListParagraph"/>
        <w:ind w:left="426"/>
        <w:contextualSpacing/>
        <w:rPr>
          <w:rFonts w:eastAsia="Book Antiqua"/>
          <w:lang w:val="sr-Latn-RS"/>
        </w:rPr>
      </w:pPr>
    </w:p>
    <w:p w14:paraId="6DB91391" w14:textId="77777777" w:rsidR="00B37F05" w:rsidRPr="00D06E2E" w:rsidRDefault="00B37F05" w:rsidP="00B37F05">
      <w:pPr>
        <w:spacing w:after="0"/>
        <w:jc w:val="left"/>
        <w:rPr>
          <w:rFonts w:eastAsia="Book Antiqua"/>
          <w:lang w:val="sr-Latn-RS"/>
        </w:rPr>
      </w:pPr>
      <w:r w:rsidRPr="00D06E2E">
        <w:rPr>
          <w:rFonts w:eastAsia="Book Antiqua"/>
          <w:lang w:val="sr-Latn-RS"/>
        </w:rPr>
        <w:br w:type="page"/>
      </w:r>
    </w:p>
    <w:p w14:paraId="70308840" w14:textId="77777777" w:rsidR="00B37F05" w:rsidRPr="00D06E2E" w:rsidRDefault="00B37F05" w:rsidP="00B37F05">
      <w:pPr>
        <w:pStyle w:val="Heading2"/>
        <w:spacing w:before="0" w:after="0"/>
        <w:rPr>
          <w:lang w:val="sr-Latn-RS"/>
        </w:rPr>
      </w:pPr>
      <w:r w:rsidRPr="00D06E2E">
        <w:rPr>
          <w:lang w:val="sr-Latn-RS"/>
        </w:rPr>
        <w:lastRenderedPageBreak/>
        <w:t>AREA OF SOCIAL AND CULTURAL RIGHTS</w:t>
      </w:r>
    </w:p>
    <w:p w14:paraId="10E7F2B8" w14:textId="77777777" w:rsidR="00B37F05" w:rsidRPr="00D06E2E" w:rsidRDefault="00B37F05" w:rsidP="00B37F05">
      <w:pPr>
        <w:spacing w:after="0"/>
        <w:rPr>
          <w:lang w:val="sr-Latn-RS"/>
        </w:rPr>
      </w:pPr>
    </w:p>
    <w:p w14:paraId="2D572CE0" w14:textId="77777777" w:rsidR="00B37F05" w:rsidRPr="00D06E2E" w:rsidRDefault="00B37F05" w:rsidP="00B37F05">
      <w:pPr>
        <w:jc w:val="center"/>
        <w:rPr>
          <w:sz w:val="24"/>
          <w:szCs w:val="24"/>
          <w:lang w:val="sr-Latn-RS"/>
        </w:rPr>
      </w:pPr>
      <w:bookmarkStart w:id="60" w:name="str_40"/>
      <w:bookmarkEnd w:id="60"/>
      <w:r w:rsidRPr="00D06E2E">
        <w:rPr>
          <w:sz w:val="24"/>
          <w:szCs w:val="24"/>
          <w:lang w:val="sr-Latn-RS"/>
        </w:rPr>
        <w:t>ACTIVITIES OF THE PROTECTOR OF CITIZENS</w:t>
      </w:r>
    </w:p>
    <w:p w14:paraId="0461516A" w14:textId="19692CBE" w:rsidR="00B37F05" w:rsidRPr="00D06E2E" w:rsidRDefault="00B37F05" w:rsidP="00B37F05">
      <w:pPr>
        <w:rPr>
          <w:b/>
          <w:lang w:val="sr-Latn-RS"/>
        </w:rPr>
      </w:pPr>
      <w:r w:rsidRPr="00D06E2E">
        <w:rPr>
          <w:b/>
          <w:lang w:val="sr-Latn-RS"/>
        </w:rPr>
        <w:t>Rights on the basis of labo</w:t>
      </w:r>
      <w:r w:rsidR="00EB67F5" w:rsidRPr="00D06E2E">
        <w:rPr>
          <w:b/>
          <w:lang w:val="sr-Latn-RS"/>
        </w:rPr>
        <w:t>u</w:t>
      </w:r>
      <w:r w:rsidRPr="00D06E2E">
        <w:rPr>
          <w:b/>
          <w:lang w:val="sr-Latn-RS"/>
        </w:rPr>
        <w:t>r</w:t>
      </w:r>
    </w:p>
    <w:p w14:paraId="247D004A" w14:textId="77777777" w:rsidR="00B37F05" w:rsidRPr="00D06E2E" w:rsidRDefault="00B37F05" w:rsidP="00B37F05">
      <w:pPr>
        <w:spacing w:before="120" w:after="0"/>
        <w:rPr>
          <w:lang w:val="sr-Latn-RS"/>
        </w:rPr>
      </w:pPr>
      <w:r w:rsidRPr="00D06E2E">
        <w:rPr>
          <w:lang w:val="sr-Latn-RS"/>
        </w:rPr>
        <w:t>In this reporting period, citizens complained most often about abuse at work, illegal termination of employment, overtime work, denial of the right to paid vacation, non-payment and irregular payment of wages, as well as non-payment of social security contributions. It is observed that employees do not sufficiently use existing legal opportunities for the protection of rights, i.e. employees do not have effective mechanisms to protect their rights, especially when it comes to monetary claims from the employment relationship, for which only judicial protection is provided. Due to the difficult financial situation they are in and the fear of losing their jobs, employees report their dissatisfaction most often only when they lose their jobs and when the exercise of their rights is possible only in court proceedings, which take a long time and assume material costs.</w:t>
      </w:r>
    </w:p>
    <w:p w14:paraId="6A80D3DF" w14:textId="257BAB6B" w:rsidR="00B37F05" w:rsidRPr="00D06E2E" w:rsidRDefault="00B37F05" w:rsidP="00B37F05">
      <w:pPr>
        <w:spacing w:before="120" w:after="0"/>
        <w:rPr>
          <w:lang w:val="sr-Latn-RS"/>
        </w:rPr>
      </w:pPr>
      <w:r w:rsidRPr="00D06E2E">
        <w:rPr>
          <w:lang w:val="sr-Latn-RS"/>
        </w:rPr>
        <w:t>Complaints about the actions of the labo</w:t>
      </w:r>
      <w:r w:rsidR="00EB67F5" w:rsidRPr="00D06E2E">
        <w:rPr>
          <w:lang w:val="sr-Latn-RS"/>
        </w:rPr>
        <w:t>u</w:t>
      </w:r>
      <w:r w:rsidRPr="00D06E2E">
        <w:rPr>
          <w:lang w:val="sr-Latn-RS"/>
        </w:rPr>
        <w:t>r inspectorate most often point to untimely actions, which is certainly influenced by the number of labor inspectors, which is not sufficient for the timely performance of work. A certain number of complaints refer to the irregular and illegal behavior of the National Employment Service, as well as to the behavior of the departmental Ministry of Labour, Employment, Veterans and Social Policy when supervising the work of the employment organization.</w:t>
      </w:r>
    </w:p>
    <w:p w14:paraId="6B4D0CAB" w14:textId="77777777" w:rsidR="00B37F05" w:rsidRPr="00D06E2E" w:rsidRDefault="00B37F05" w:rsidP="00B37F05">
      <w:pPr>
        <w:spacing w:before="120" w:after="0"/>
        <w:rPr>
          <w:lang w:val="sr-Latn-RS"/>
        </w:rPr>
      </w:pPr>
      <w:r w:rsidRPr="00D06E2E">
        <w:rPr>
          <w:lang w:val="sr-Latn-RS"/>
        </w:rPr>
        <w:t>After the initiation of the examination procedure of the work control of the Ministry of Labour, Employment, Veterans and Social Policy, and acting on a complaint in which dissatisfaction was expressed due to untimely supervision of the work of the National Employment Service during the implementation of the employment mediation procedure, the Protector of Citizens established that during of supervising the work of the National Employment Service, the Ministry of Labour, Employment, Veterans and Social Policy acted irregularly and illegally because, without a detailed and comprehensive determination of the relevant facts, it assessed that there were no omissions in the work of the said service during employment mediation when the need for employment from the employer did not publish on the official website. The Protector of Citizens also determined that the Application for Employment Need form, as an integral part of the Rulebook that regulates the content of data and the way of keeping records in the field of employment, is not in accordance with the Law on Employment and Unemployment Insurance</w:t>
      </w:r>
      <w:r w:rsidRPr="00D06E2E">
        <w:rPr>
          <w:rStyle w:val="FootnoteReference"/>
          <w:lang w:val="sr-Latn-RS"/>
        </w:rPr>
        <w:footnoteReference w:id="172"/>
      </w:r>
      <w:r w:rsidRPr="00D06E2E">
        <w:rPr>
          <w:lang w:val="sr-Latn-RS"/>
        </w:rPr>
        <w:t>.</w:t>
      </w:r>
    </w:p>
    <w:p w14:paraId="05EBE33A" w14:textId="77777777" w:rsidR="00B37F05" w:rsidRPr="00D06E2E" w:rsidRDefault="00B37F05" w:rsidP="00B37F05">
      <w:pPr>
        <w:spacing w:before="120"/>
        <w:rPr>
          <w:lang w:val="sr-Latn-RS"/>
        </w:rPr>
      </w:pPr>
      <w:r w:rsidRPr="00D06E2E">
        <w:rPr>
          <w:lang w:val="sr-Latn-RS"/>
        </w:rPr>
        <w:t>The Protector of Citizens sent a report on the case with recommendations</w:t>
      </w:r>
      <w:r w:rsidRPr="00D06E2E">
        <w:rPr>
          <w:rStyle w:val="FootnoteReference"/>
          <w:lang w:val="sr-Latn-RS"/>
        </w:rPr>
        <w:footnoteReference w:id="173"/>
      </w:r>
      <w:r w:rsidRPr="00D06E2E">
        <w:rPr>
          <w:lang w:val="sr-Latn-RS"/>
        </w:rPr>
        <w:t xml:space="preserve"> to the Ministry of Labour, Employment, Veterans and Social Policy to, in the future, when supervising the work of the National Employment Service, establish the facts in a comprehensive and detailed manner and in a situation where it is determined that the said service's actions were irregular and illegal, take measures prescribed by law. The Ministry of Labour, Employment, Veterans and Social Policy was also recommended to ensure that the Rulebook on the closer content of data and the manner of keeping records in the field of employment is harmonized with the Law on Employment and Unemployment Insurance. The recommendations were acted upon.</w:t>
      </w:r>
    </w:p>
    <w:p w14:paraId="4578D926" w14:textId="77777777" w:rsidR="00B37F05" w:rsidRPr="00D06E2E" w:rsidRDefault="00B37F05" w:rsidP="00B37F05">
      <w:pPr>
        <w:rPr>
          <w:lang w:val="sr-Latn-RS"/>
        </w:rPr>
      </w:pPr>
      <w:r w:rsidRPr="00D06E2E">
        <w:rPr>
          <w:lang w:val="sr-Latn-RS"/>
        </w:rPr>
        <w:t xml:space="preserve">Acting on the complaint of the geodetic organization, which pointed out the untimely actions of the Republic Geodetic Institute when deciding on the appeal against the decision by which the geodetic organization was prohibited from working, the Protector of Citizens established </w:t>
      </w:r>
      <w:r w:rsidRPr="00D06E2E">
        <w:rPr>
          <w:lang w:val="sr-Latn-RS"/>
        </w:rPr>
        <w:lastRenderedPageBreak/>
        <w:t>that the Republic Geodetic Institute violated the basic principles and legal provisions because on the complaint filed by the complainant on 17 December, 2021, a decision was not made until the end of the investigative procedure by the Protector of Citizens, that is, even after 17 months since the complaint was submitted. In this way, the Republic Geodetic Institute violated the rights and legal interests of the complainant, and made it impossible for the geodetic organization's right to work to be decided within the deadline provided by law. Bearing in mind the aforementioned omissions, the Protector of Citizens sent a report on the case with a recommendation</w:t>
      </w:r>
      <w:r w:rsidRPr="00D06E2E">
        <w:rPr>
          <w:rStyle w:val="FootnoteReference"/>
          <w:lang w:val="sr-Latn-RS"/>
        </w:rPr>
        <w:footnoteReference w:id="174"/>
      </w:r>
      <w:r w:rsidRPr="00D06E2E">
        <w:rPr>
          <w:lang w:val="sr-Latn-RS"/>
        </w:rPr>
        <w:t xml:space="preserve"> to the Republic Geodetic Institute to decide on and make a decision based on the law without delay. This recommendation was not acted upon.</w:t>
      </w:r>
    </w:p>
    <w:p w14:paraId="482F5FAB" w14:textId="77777777" w:rsidR="00B37F05" w:rsidRPr="00D06E2E" w:rsidRDefault="00B37F05" w:rsidP="00B37F05">
      <w:pPr>
        <w:spacing w:before="120" w:after="0"/>
        <w:rPr>
          <w:lang w:val="sr-Latn-RS"/>
        </w:rPr>
      </w:pPr>
      <w:r w:rsidRPr="00D06E2E">
        <w:rPr>
          <w:lang w:val="sr-Latn-RS"/>
        </w:rPr>
        <w:t>Acting on a complaint about the work of the head of the Municipal Administration of the Municipality of Rača and the Appeal Commission of the Municipality of Rača due to the violation of rights based on work, the Protector of Citizens established that, when passing the decision by which it decided on the right of the complainant to work, the Appeal Commission of the Municipality of Rača did not act on binding objections and according to the legal concepts of the Administrative Court and in that way acted illegally and irregularly and violated the complainant's right to a correct and legally based decision. The Protector of Citizens recommended that the Appeal Commission of the Municipality of Rača, by applying the appropriate legal means, invalidate its decision and make a new, law-based decision, adhering in all respects to the legal understandings and binding remarks of the Administrative Court. The recommendation was not acted upon</w:t>
      </w:r>
      <w:r w:rsidRPr="00D06E2E">
        <w:rPr>
          <w:rStyle w:val="FootnoteReference"/>
          <w:lang w:val="sr-Latn-RS"/>
        </w:rPr>
        <w:footnoteReference w:id="175"/>
      </w:r>
      <w:r w:rsidRPr="00D06E2E">
        <w:rPr>
          <w:lang w:val="sr-Latn-RS"/>
        </w:rPr>
        <w:t>.</w:t>
      </w:r>
    </w:p>
    <w:p w14:paraId="5C760D4B" w14:textId="77777777" w:rsidR="00B37F05" w:rsidRPr="00D06E2E" w:rsidRDefault="00B37F05" w:rsidP="00B37F05">
      <w:pPr>
        <w:spacing w:after="0"/>
        <w:rPr>
          <w:rFonts w:eastAsia="Times New Roman" w:cs="Arial"/>
          <w:b/>
          <w:lang w:val="sr-Latn-RS"/>
        </w:rPr>
      </w:pPr>
    </w:p>
    <w:p w14:paraId="37E8DED9" w14:textId="77777777" w:rsidR="00B37F05" w:rsidRPr="00D06E2E" w:rsidRDefault="00B37F05" w:rsidP="00B37F05">
      <w:pPr>
        <w:rPr>
          <w:rFonts w:eastAsia="Times New Roman" w:cs="Arial"/>
          <w:b/>
          <w:lang w:val="sr-Latn-RS"/>
        </w:rPr>
      </w:pPr>
      <w:r w:rsidRPr="00D06E2E">
        <w:rPr>
          <w:rFonts w:eastAsia="Times New Roman" w:cs="Arial"/>
          <w:b/>
          <w:lang w:val="sr-Latn-RS"/>
        </w:rPr>
        <w:t>Pension and Disability Insurance</w:t>
      </w:r>
    </w:p>
    <w:p w14:paraId="7BB9F42F" w14:textId="77777777" w:rsidR="00B37F05" w:rsidRPr="00D06E2E" w:rsidRDefault="00B37F05" w:rsidP="00B37F05">
      <w:pPr>
        <w:spacing w:before="120" w:after="0"/>
        <w:rPr>
          <w:lang w:val="sr-Latn-RS"/>
        </w:rPr>
      </w:pPr>
      <w:r w:rsidRPr="00D06E2E">
        <w:rPr>
          <w:lang w:val="sr-Latn-RS"/>
        </w:rPr>
        <w:t>Complaints from the field of pension and disability insurance also in this reporting period point to untimely actions of the Pension and Disability Insurance Fund (hereinafter referred to as the PDI Fund) with regard to submitted requests for exercising the right to a pension, requests for the issuance of various certificates on data from pension and disability insurance and appeals to first instance decisions. A major problem that citizens face is the lack of data on earnings and paid contributions for pension and disability insurance in the registry of the PDI Fund, as well as the non-submission of necessary forms to the PDI Fund by employers even in cases where contributions have been paid, as a result of which impossibility of realizing the right to a pension or to a pension in the final amount.</w:t>
      </w:r>
    </w:p>
    <w:p w14:paraId="27D9A89C" w14:textId="77777777" w:rsidR="00B37F05" w:rsidRPr="00D06E2E" w:rsidRDefault="00B37F05" w:rsidP="00B37F05">
      <w:pPr>
        <w:spacing w:before="120" w:after="0"/>
        <w:rPr>
          <w:lang w:val="sr-Latn-RS"/>
        </w:rPr>
      </w:pPr>
      <w:r w:rsidRPr="00D06E2E">
        <w:rPr>
          <w:lang w:val="sr-Latn-RS"/>
        </w:rPr>
        <w:t>For certain periods of insurance, employers did not pay citizens contributions for pension and disability insurance, and competent control authorities did not undertake the measures provided for by law, such as initiating misdemeanor proceedings against negligent employers or controlling the payment of contributions, as a result of which citizens bear the consequences. The PDI Fund directs citizens to contact their former employers in order to obtain the necessary evidence. A special problem arises when employers are no longer active, i.e. when they are deleted from the register.</w:t>
      </w:r>
    </w:p>
    <w:p w14:paraId="6426341F" w14:textId="77777777" w:rsidR="00B37F05" w:rsidRPr="00D06E2E" w:rsidRDefault="00B37F05" w:rsidP="00B37F05">
      <w:pPr>
        <w:spacing w:before="120" w:after="0"/>
        <w:rPr>
          <w:lang w:val="sr-Latn-RS"/>
        </w:rPr>
      </w:pPr>
      <w:r w:rsidRPr="00D06E2E">
        <w:rPr>
          <w:lang w:val="sr-Latn-RS"/>
        </w:rPr>
        <w:t xml:space="preserve">Considering that the mentioned problem of determining the length of insurance has the consequence of the impossibility of exercising the right to a pension or the amount thereof, the Protector of Citizens, exercising his intermediary powers through cooperation with the bodies of the Tax Administration, historical archives, the National Bank, i.e. the Treasury, has </w:t>
      </w:r>
      <w:r w:rsidRPr="00D06E2E">
        <w:rPr>
          <w:lang w:val="sr-Latn-RS"/>
        </w:rPr>
        <w:lastRenderedPageBreak/>
        <w:t>tried to ensure information, that is, to contribute to the determination of seniority for periods that were not entered in the register of the PDI Fund.</w:t>
      </w:r>
    </w:p>
    <w:p w14:paraId="28AA8618" w14:textId="77777777" w:rsidR="00B37F05" w:rsidRPr="00D06E2E" w:rsidRDefault="00B37F05" w:rsidP="00B37F05">
      <w:pPr>
        <w:spacing w:before="120"/>
        <w:rPr>
          <w:lang w:val="sr-Latn-RS"/>
        </w:rPr>
      </w:pPr>
      <w:r w:rsidRPr="00D06E2E">
        <w:rPr>
          <w:lang w:val="sr-Latn-RS"/>
        </w:rPr>
        <w:t>Acting on citizens' complaints related to the realization of rights from pension and disability insurance, the Protector of Citizens established that during the calculation and payment of pensions to citizens, the PDI Fund corrects its own omissions in work and eliminates their consequences by obliging citizens to refund the overpaid amount. With this behavior, the PDI Fund violates the principles of fairness and legal certainty.</w:t>
      </w:r>
    </w:p>
    <w:p w14:paraId="30E711B9" w14:textId="6D070EAA" w:rsidR="00B37F05" w:rsidRPr="00D06E2E" w:rsidRDefault="00B37F05" w:rsidP="00B37F05">
      <w:pPr>
        <w:spacing w:after="0"/>
        <w:rPr>
          <w:lang w:val="sr-Latn-RS"/>
        </w:rPr>
      </w:pPr>
      <w:r w:rsidRPr="00D06E2E">
        <w:rPr>
          <w:lang w:val="sr-Latn-RS"/>
        </w:rPr>
        <w:t>In previous reporting periods, the Protector of Citizens made recommendations to the PDI Fund to eliminate the shortcomings in the work of PDI Fund officials, which have a negative impact on the rights and interests of citizens, as quickly as possible. However, even in 2023, the Protector of Citizens received complaints from citizens who, due to an omission in the work of the PDI Fund, were paid a pension amount that was subsequently, very often after several years, determined to be wrongly determined, even though it was paid on the basis of final and enforceable decisions. In such cases, the PDI Fund asked pensioners to return the so-called overpaid pension amounts, the amounts of which accumulated due to the passage of time, thereby putting pension beneficiaries in a very unfavorable financial position. When asked by the Protector of Citizens about the reasons for the omission that led to the overpayment, as well as about the measures taken against the official who made the omission, the PDI Fund replied that, given the passage of time, it is not possible to comment on the aforementioned from the committed omission to the moment of knowledge.</w:t>
      </w:r>
    </w:p>
    <w:p w14:paraId="2B9FB93B" w14:textId="77777777" w:rsidR="00B37F05" w:rsidRPr="00D06E2E" w:rsidRDefault="00B37F05" w:rsidP="00B37F05">
      <w:pPr>
        <w:spacing w:after="0"/>
        <w:rPr>
          <w:sz w:val="10"/>
          <w:szCs w:val="10"/>
          <w:lang w:val="sr-Latn-RS"/>
        </w:rPr>
      </w:pPr>
    </w:p>
    <w:p w14:paraId="2991C9CD" w14:textId="77777777" w:rsidR="00B37F05" w:rsidRPr="00D06E2E" w:rsidRDefault="00B37F05" w:rsidP="00B37F05">
      <w:pPr>
        <w:spacing w:after="0"/>
        <w:rPr>
          <w:lang w:val="sr-Latn-RS"/>
        </w:rPr>
      </w:pPr>
      <w:r w:rsidRPr="00D06E2E">
        <w:rPr>
          <w:lang w:val="sr-Latn-RS"/>
        </w:rPr>
        <w:t>A certain number of complaints also refer to the PDI Fund's non-compliance with the binding instructions of the Administrative Court. Acting on a complaint in which it was pointed out that the PDI Fund did not act according to the Judgment of the Administrative Court which annulled the decision of the Directorate of the PDI Fund and in the retrial passed a new decision in accordance with the legal understandings and binding remarks of the Administrative Court, the Protector of Citizens after the investigation procedure was completed found that the PDI Fund Directorate did not act according to the binding objections and legal understandings of the Administrative Court when making the decision and thus acted illegally and irregularly and violated the complainant's right to have his request decided in accordance with the law. The Protector of Citizens recommended that the PDI Fund, by applying the appropriate legal means, invalidate its decision and make a new one, adhering in all respects to the legal understandings and binding remarks of the Administrative Court. This recommendation was not acted upon</w:t>
      </w:r>
      <w:r w:rsidRPr="00D06E2E">
        <w:rPr>
          <w:rStyle w:val="FootnoteReference"/>
          <w:lang w:val="sr-Latn-RS"/>
        </w:rPr>
        <w:footnoteReference w:id="176"/>
      </w:r>
      <w:r w:rsidRPr="00D06E2E">
        <w:rPr>
          <w:lang w:val="sr-Latn-RS"/>
        </w:rPr>
        <w:t>.</w:t>
      </w:r>
    </w:p>
    <w:p w14:paraId="58F78E3F" w14:textId="77777777" w:rsidR="00B37F05" w:rsidRPr="00D06E2E" w:rsidRDefault="00B37F05" w:rsidP="00B37F05">
      <w:pPr>
        <w:spacing w:after="0"/>
        <w:rPr>
          <w:rFonts w:eastAsia="Times New Roman" w:cs="Arial"/>
          <w:b/>
          <w:lang w:val="sr-Latn-RS"/>
        </w:rPr>
      </w:pPr>
    </w:p>
    <w:p w14:paraId="2C18D962" w14:textId="77777777" w:rsidR="00B37F05" w:rsidRPr="00D06E2E" w:rsidRDefault="00B37F05" w:rsidP="00B37F05">
      <w:pPr>
        <w:rPr>
          <w:rFonts w:eastAsia="Times New Roman" w:cs="Arial"/>
          <w:b/>
          <w:lang w:val="sr-Latn-RS"/>
        </w:rPr>
      </w:pPr>
      <w:r w:rsidRPr="00D06E2E">
        <w:rPr>
          <w:rFonts w:eastAsia="Times New Roman" w:cs="Arial"/>
          <w:b/>
          <w:lang w:val="sr-Latn-RS"/>
        </w:rPr>
        <w:t>Education</w:t>
      </w:r>
    </w:p>
    <w:p w14:paraId="50585DEA" w14:textId="77777777" w:rsidR="00B37F05" w:rsidRPr="00D06E2E" w:rsidRDefault="00B37F05" w:rsidP="00B37F05">
      <w:pPr>
        <w:rPr>
          <w:lang w:val="sr-Latn-RS"/>
        </w:rPr>
      </w:pPr>
      <w:r w:rsidRPr="00D06E2E">
        <w:rPr>
          <w:lang w:val="sr-Latn-RS"/>
        </w:rPr>
        <w:t>In the reporting period in the field of education, the Protector of Citizens received a number of complaints from citizens who pointed to the violation of rights from the employment service in educational institutions and, in connection with that, dissatisfaction with the handling of reports and the outcome of the inspection procedure by the Educational Inspection of the Ministry of Education. With regard to the aforementioned complaint allegations, the Protector of Citizens established the aforementioned facts in the examination procedure for assessing the legality and regularity of the work of the Ministry of Education, and the Ministry of Education eliminated these irregularities.</w:t>
      </w:r>
    </w:p>
    <w:p w14:paraId="6917C7A0" w14:textId="0908F366" w:rsidR="00B37F05" w:rsidRPr="00D06E2E" w:rsidRDefault="00B37F05" w:rsidP="00B37F05">
      <w:pPr>
        <w:rPr>
          <w:lang w:val="sr-Latn-RS"/>
        </w:rPr>
      </w:pPr>
      <w:r w:rsidRPr="00D06E2E">
        <w:rPr>
          <w:lang w:val="sr-Latn-RS"/>
        </w:rPr>
        <w:t xml:space="preserve">Citizens complained about the “administrative silence” both by the Ministry of Education and by educational and scientific institutions. Acting on citizens' complaints, the Protector of </w:t>
      </w:r>
      <w:r w:rsidRPr="00D06E2E">
        <w:rPr>
          <w:lang w:val="sr-Latn-RS"/>
        </w:rPr>
        <w:lastRenderedPageBreak/>
        <w:t>Citizens determined that the Ministry of Education does not respond to citizens' requests and that citizens receive answers to their requests only after the Protector of Citizens initiates an investigation.</w:t>
      </w:r>
    </w:p>
    <w:p w14:paraId="50523B5C" w14:textId="49FBFE3C" w:rsidR="00B37F05" w:rsidRPr="00D06E2E" w:rsidRDefault="00B37F05" w:rsidP="00B37F05">
      <w:pPr>
        <w:rPr>
          <w:lang w:val="sr-Latn-RS"/>
        </w:rPr>
      </w:pPr>
      <w:r w:rsidRPr="00D06E2E">
        <w:rPr>
          <w:lang w:val="sr-Latn-RS"/>
        </w:rPr>
        <w:t>Acting on a complaint that pointed out the irregular and illegal work of the Faculty of Philosophy of the University of Novi Sad in connection with the submitted application for the position of academic associate, the Protector of Citizens determined in the examination procedure that the Ministry of Education and the Provincial Secretariat for Higher Education and Scientific Research of the Autonomous province of Vojvodina declared incompetent to act on the complainant's report. Having established irregular and illegal behavior, the Protector of Citizens drew up a report on the case with a recommendation to the Ministry of Education and the Provincial Secretariat for Higher Education and Scientific Research of the Autonomous Province of Vojvodina</w:t>
      </w:r>
      <w:r w:rsidR="008D0EA7" w:rsidRPr="00D06E2E">
        <w:rPr>
          <w:rStyle w:val="FootnoteReference"/>
          <w:lang w:val="sr-Latn-RS"/>
        </w:rPr>
        <w:footnoteReference w:id="177"/>
      </w:r>
      <w:r w:rsidRPr="00D06E2E">
        <w:rPr>
          <w:lang w:val="sr-Latn-RS"/>
        </w:rPr>
        <w:t xml:space="preserve"> to take measures and actions within their jurisdiction in mutual cooperation in order to determine whether the Faculty of Philosophy of the University in Novi Sad acted lawfully and properly according to the complainant's request for selection to the position of academic associate and informed her about it. The recommendation was not acted upon.</w:t>
      </w:r>
    </w:p>
    <w:p w14:paraId="7DBC2A62" w14:textId="325DD47F" w:rsidR="00B37F05" w:rsidRPr="00D06E2E" w:rsidRDefault="00B37F05" w:rsidP="00B37F05">
      <w:pPr>
        <w:rPr>
          <w:lang w:val="sr-Latn-RS"/>
        </w:rPr>
      </w:pPr>
      <w:r w:rsidRPr="00D06E2E">
        <w:rPr>
          <w:lang w:val="sr-Latn-RS"/>
        </w:rPr>
        <w:t>During the reporting period the Protector of Citizens established that the principal of the Lipljan Agricultural School in Lepina did not act in accordance with the measure ordered by the Educational Inspection to eliminate illegality regarding the fulfillment of the requirements of employees for teaching school subjects, which caused harmful consequences in terms of the students' right to quality educational work. The Educational Inspection informed the Minister of Education about this, in order to take the measures prescribed by Article 128, Paragraph 7, Items 9 and 14 of the Law on the Basics of the Educational System</w:t>
      </w:r>
      <w:r w:rsidR="008D0EA7" w:rsidRPr="00D06E2E">
        <w:rPr>
          <w:rStyle w:val="FootnoteReference"/>
          <w:lang w:val="sr-Latn-RS"/>
        </w:rPr>
        <w:footnoteReference w:id="178"/>
      </w:r>
      <w:r w:rsidRPr="00D06E2E">
        <w:rPr>
          <w:lang w:val="sr-Latn-RS"/>
        </w:rPr>
        <w:t>. The Ministry of Education  informed the Protector of Citizens that the procedure to establish the facts of the illegal behavior of the principal of the Agricultural School was ongoing but without results, as a result of which the P</w:t>
      </w:r>
      <w:r w:rsidR="008D0EA7" w:rsidRPr="00D06E2E">
        <w:rPr>
          <w:lang w:val="sr-Latn-RS"/>
        </w:rPr>
        <w:t>rotector of Citizens drew up the R</w:t>
      </w:r>
      <w:r w:rsidRPr="00D06E2E">
        <w:rPr>
          <w:lang w:val="sr-Latn-RS"/>
        </w:rPr>
        <w:t>eport on the case</w:t>
      </w:r>
      <w:r w:rsidR="008D0EA7" w:rsidRPr="00D06E2E">
        <w:rPr>
          <w:rStyle w:val="FootnoteReference"/>
          <w:lang w:val="sr-Latn-RS"/>
        </w:rPr>
        <w:footnoteReference w:id="179"/>
      </w:r>
      <w:r w:rsidRPr="00D06E2E">
        <w:rPr>
          <w:lang w:val="sr-Latn-RS"/>
        </w:rPr>
        <w:t xml:space="preserve"> with a recommendation to the Ministry of Education to establish the facts of the circumstances of the illegal behavior of the principal of the Agricultural School and take appropriate measures in accordance with the law. The Ministry of Education acted upon the recommendation.</w:t>
      </w:r>
    </w:p>
    <w:p w14:paraId="36B2FC5F" w14:textId="77777777" w:rsidR="00B37F05" w:rsidRPr="00D06E2E" w:rsidRDefault="00B37F05" w:rsidP="00B37F05">
      <w:pPr>
        <w:rPr>
          <w:lang w:val="sr-Latn-RS"/>
        </w:rPr>
      </w:pPr>
      <w:r w:rsidRPr="00D06E2E">
        <w:rPr>
          <w:lang w:val="sr-Latn-RS"/>
        </w:rPr>
        <w:t>In this reporting period, the Protector of Citizens determined that the director of the Grammar School in Čačak did not comply with the measure of the Educational Inspection of the City Administration for Inspection Supervision of the City of Čačak, which ordered the removal of illegality regarding the filling of the vacant job position - history teacher. The Educational Inspection informed the Minister of Education about the aforementioned, as well as the fact that the conditions for the dismissal of the principal of the Grammar School in Čačak and the appointment of an acting principal have been met. The Ministry of Education informed the Protector of Citizens that the procedure to establish the facts of the illegal conduct of the principal of the Grammar School in Čačak was ongoing, but without results, as a result of which the Protector of Citizens drew up a report on the case with a recommendation</w:t>
      </w:r>
      <w:r w:rsidRPr="00D06E2E">
        <w:rPr>
          <w:vertAlign w:val="superscript"/>
          <w:lang w:val="sr-Latn-RS"/>
        </w:rPr>
        <w:footnoteReference w:id="180"/>
      </w:r>
      <w:r w:rsidRPr="00D06E2E">
        <w:rPr>
          <w:lang w:val="sr-Latn-RS"/>
        </w:rPr>
        <w:t xml:space="preserve"> to the Ministry of Education to establish the facts of the circumstances of the illegal actions of the principal of the Grammar School in Čačak and undertake appropriate measures in accordance with the law. The Ministry of Education acted on the recommendation. </w:t>
      </w:r>
    </w:p>
    <w:p w14:paraId="0B888B47" w14:textId="77777777" w:rsidR="00B37F05" w:rsidRPr="00D06E2E" w:rsidRDefault="00B37F05" w:rsidP="00B37F05">
      <w:pPr>
        <w:rPr>
          <w:lang w:val="sr-Latn-RS"/>
        </w:rPr>
      </w:pPr>
      <w:r w:rsidRPr="00D06E2E">
        <w:rPr>
          <w:lang w:val="sr-Latn-RS"/>
        </w:rPr>
        <w:t xml:space="preserve">Acting on a citizen's complaint in which he expressed his dissatisfaction with the behavior of the Economic and Trade School of Gnjilane, because it did not respond to his application for employment based on the decision of the National Employment Service, the Protector of </w:t>
      </w:r>
      <w:r w:rsidRPr="00D06E2E">
        <w:rPr>
          <w:lang w:val="sr-Latn-RS"/>
        </w:rPr>
        <w:lastRenderedPageBreak/>
        <w:t>Citizens established that the Economic and Trade School did not submit to the Protector of Citizens a statement on the complaints. Accordingly, the Protector of Citizens sent a report on the case with recommendations that the School of Economics and Trade in Gnjilane undertake all necessary actions in order to respond to the complainant's request as soon as possible and to inform the complainant about this, as well as to promptly act on the requests of the Protector of Citizens in future work, submits complete, precise and specific answers, supported by appropriate documentation as confirmation of the information provided, because any other action is treated as a violation of the legal provisions on mandatory cooperation with the Protector of Citizens. A case report with a recommendation is due for action.</w:t>
      </w:r>
    </w:p>
    <w:p w14:paraId="1053D034" w14:textId="77777777" w:rsidR="00B37F05" w:rsidRPr="00D06E2E" w:rsidRDefault="00B37F05" w:rsidP="00B37F05">
      <w:pPr>
        <w:rPr>
          <w:lang w:val="sr-Latn-RS"/>
        </w:rPr>
      </w:pPr>
      <w:r w:rsidRPr="00D06E2E">
        <w:rPr>
          <w:lang w:val="sr-Latn-RS"/>
        </w:rPr>
        <w:t>In the procedure for a complaint against the work of the Subotica Music School, the Protector of Citizens found that this institution did not act according to the ruling of the Administrative Court even after submitting two requests for the execution of the ruling, which violated the rights of the complainant as a participant in the conducted competition for the selection of the principal of that school. In order to eliminate the observed irregularity, the Protector of Citizens sent a report on the case with a recommendation</w:t>
      </w:r>
      <w:r w:rsidRPr="00D06E2E">
        <w:rPr>
          <w:rStyle w:val="FootnoteReference"/>
          <w:lang w:val="sr-Latn-RS"/>
        </w:rPr>
        <w:footnoteReference w:id="181"/>
      </w:r>
      <w:r w:rsidRPr="00D06E2E">
        <w:rPr>
          <w:lang w:val="sr-Latn-RS"/>
        </w:rPr>
        <w:t xml:space="preserve"> to the Subotica Music School to act according to the ruling of the Administrative Court, so that the School Board of that school will adopt a new and legally based decision on the selection of the principal, adhering to the court's remarks expressed in the said ruling. Music School Subotica acted on the recommendation.</w:t>
      </w:r>
    </w:p>
    <w:p w14:paraId="7A671136" w14:textId="77777777" w:rsidR="00B37F05" w:rsidRPr="00D06E2E" w:rsidRDefault="00B37F05" w:rsidP="00B37F05">
      <w:pPr>
        <w:pStyle w:val="CommentText"/>
        <w:spacing w:after="0" w:line="240" w:lineRule="auto"/>
        <w:jc w:val="both"/>
        <w:rPr>
          <w:rFonts w:ascii="Book Antiqua" w:hAnsi="Book Antiqua"/>
          <w:sz w:val="22"/>
          <w:szCs w:val="22"/>
          <w:lang w:val="sr-Latn-RS"/>
        </w:rPr>
      </w:pPr>
      <w:r w:rsidRPr="00D06E2E">
        <w:rPr>
          <w:rFonts w:ascii="Book Antiqua" w:hAnsi="Book Antiqua"/>
          <w:sz w:val="22"/>
          <w:szCs w:val="22"/>
          <w:lang w:val="sr-Latn-RS"/>
        </w:rPr>
        <w:t>In connection with the opinion</w:t>
      </w:r>
      <w:r w:rsidRPr="00D06E2E">
        <w:rPr>
          <w:rStyle w:val="FootnoteReference"/>
          <w:shd w:val="clear" w:color="auto" w:fill="FFFFFF"/>
          <w:lang w:val="sr-Latn-RS"/>
        </w:rPr>
        <w:footnoteReference w:id="182"/>
      </w:r>
      <w:r w:rsidRPr="00D06E2E">
        <w:rPr>
          <w:rFonts w:ascii="Book Antiqua" w:hAnsi="Book Antiqua"/>
          <w:sz w:val="22"/>
          <w:szCs w:val="22"/>
          <w:lang w:val="sr-Latn-RS"/>
        </w:rPr>
        <w:t xml:space="preserve"> sent to the Ministry of Education and the Ministry of Labour, Employment, Veterans and Social Policy in order to resolve the issue of the jurisdiction of these bodies in the procedure for reports due to the illegal work of the Commission for scoring employees whose work has ceased to be necessary, the Ministry of Education informed the Protector of Citizens that negotiations are underway with the Labour Inspectorate in order to determine the competence for supervising the implementation of the Special Collective Agreement for employees in primary and secondary schools and student dormitories.</w:t>
      </w:r>
    </w:p>
    <w:p w14:paraId="5F0C38E8" w14:textId="77777777" w:rsidR="00B37F05" w:rsidRPr="00D06E2E" w:rsidRDefault="00B37F05" w:rsidP="00B37F05">
      <w:pPr>
        <w:pStyle w:val="CommentText"/>
        <w:spacing w:after="0" w:line="240" w:lineRule="auto"/>
        <w:jc w:val="both"/>
        <w:rPr>
          <w:rFonts w:ascii="Book Antiqua" w:hAnsi="Book Antiqua"/>
          <w:lang w:val="sr-Latn-RS"/>
        </w:rPr>
      </w:pPr>
    </w:p>
    <w:p w14:paraId="72EFF285" w14:textId="77777777" w:rsidR="00B37F05" w:rsidRPr="00D06E2E" w:rsidRDefault="00B37F05" w:rsidP="00B37F05">
      <w:pPr>
        <w:rPr>
          <w:b/>
          <w:lang w:val="sr-Latn-RS"/>
        </w:rPr>
      </w:pPr>
      <w:r w:rsidRPr="00D06E2E">
        <w:rPr>
          <w:b/>
          <w:lang w:val="sr-Latn-RS"/>
        </w:rPr>
        <w:t>Socal protection</w:t>
      </w:r>
    </w:p>
    <w:p w14:paraId="7A37DB23" w14:textId="77777777" w:rsidR="00B37F05" w:rsidRPr="00D06E2E" w:rsidRDefault="00B37F05" w:rsidP="00B37F05">
      <w:pPr>
        <w:rPr>
          <w:lang w:val="sr-Latn-RS"/>
        </w:rPr>
      </w:pPr>
      <w:r w:rsidRPr="00D06E2E">
        <w:rPr>
          <w:lang w:val="sr-Latn-RS"/>
        </w:rPr>
        <w:t>During 2023, the largest number of complaints from the field of social protection, as before, related to untimely actions of social protection institutions when deciding on requests for exercising rights from the field of social protection, i.e. the Ministry of Labour, Employment, Veterans and Social Policy deciding on appeals and complaints about the behavior of employees in social welfare institutions.</w:t>
      </w:r>
    </w:p>
    <w:p w14:paraId="4BDED39C" w14:textId="77777777" w:rsidR="00B37F05" w:rsidRPr="00D06E2E" w:rsidRDefault="00B37F05" w:rsidP="00B37F05">
      <w:pPr>
        <w:rPr>
          <w:lang w:val="sr-Latn-RS"/>
        </w:rPr>
      </w:pPr>
      <w:r w:rsidRPr="00D06E2E">
        <w:rPr>
          <w:lang w:val="sr-Latn-RS"/>
        </w:rPr>
        <w:t>In this reporting period, the Protector of Citizens also faced the problems of employees in the field of social protection. Complaints pointing to inadequate and poor working conditions, lack of employees, poor organization of work, i.e. violations of the rights of employees in the field of social protection, which threaten the very position of beneficiaries of social protection rights and services, were mostly submitted by unions of social protection employees.</w:t>
      </w:r>
    </w:p>
    <w:p w14:paraId="3E68F84A" w14:textId="77777777" w:rsidR="00B37F05" w:rsidRPr="00D06E2E" w:rsidRDefault="00B37F05" w:rsidP="00B37F05">
      <w:pPr>
        <w:rPr>
          <w:lang w:val="sr-Latn-RS"/>
        </w:rPr>
      </w:pPr>
      <w:r w:rsidRPr="00D06E2E">
        <w:rPr>
          <w:lang w:val="sr-Latn-RS"/>
        </w:rPr>
        <w:t>Acting on the aforementioned complaints, the Protector of Citizens initiated control procedures of the Ministry of Labour, Employment, Veterans and Social Policy and the Ministry of Family Care and Demography, which are ongoing.</w:t>
      </w:r>
    </w:p>
    <w:p w14:paraId="5C0A08F2" w14:textId="77777777" w:rsidR="00B37F05" w:rsidRPr="00D06E2E" w:rsidRDefault="00B37F05" w:rsidP="00B37F05">
      <w:pPr>
        <w:rPr>
          <w:lang w:val="sr-Latn-RS"/>
        </w:rPr>
      </w:pPr>
      <w:r w:rsidRPr="00D06E2E">
        <w:rPr>
          <w:lang w:val="sr-Latn-RS"/>
        </w:rPr>
        <w:t xml:space="preserve">The Protector of Citizens also observed that the decisions of social protection institutions that decide on rights in the field of social protection are unclear, typical and unreasoned. Namely, although the formal-legal solutions contain explanations, the statements in them do not </w:t>
      </w:r>
      <w:r w:rsidRPr="00D06E2E">
        <w:rPr>
          <w:lang w:val="sr-Latn-RS"/>
        </w:rPr>
        <w:lastRenderedPageBreak/>
        <w:t>provide enough information about what facts were established and in what way, that is, on the basis of which evidence, which is why they are often incomprehensible to the parties.</w:t>
      </w:r>
    </w:p>
    <w:p w14:paraId="0806127F" w14:textId="77777777" w:rsidR="00B37F05" w:rsidRPr="00D06E2E" w:rsidRDefault="00B37F05" w:rsidP="00B37F05">
      <w:pPr>
        <w:spacing w:after="0"/>
        <w:rPr>
          <w:lang w:val="sr-Latn-RS"/>
        </w:rPr>
      </w:pPr>
      <w:r w:rsidRPr="00D06E2E">
        <w:rPr>
          <w:lang w:val="sr-Latn-RS"/>
        </w:rPr>
        <w:t>Acting on a complaint about the work of the Secretariat for Social Protection of the City Administration of the City of Belgrade, which acted as a second-level authority in the matter of exercising the right to financial social assistance, after the investigation procedure, the Protector of Citizens established that the Secretariat for Social Protection of the City Administration of the City of Belgrade in the decision-making process acted improperly and illegally on the complainant's complaint when he assessed that the first-instance authority made a correct and legally-based decision, bearing in mind that the first-instance authority did not establish all relevant facts when making its decision, nor did it explain its decision in a clear and legally prescribed manner.</w:t>
      </w:r>
    </w:p>
    <w:p w14:paraId="6C0038CC" w14:textId="77777777" w:rsidR="00B37F05" w:rsidRPr="00D06E2E" w:rsidRDefault="00B37F05" w:rsidP="00B37F05">
      <w:pPr>
        <w:spacing w:after="0"/>
        <w:rPr>
          <w:sz w:val="10"/>
          <w:szCs w:val="10"/>
          <w:lang w:val="sr-Latn-RS"/>
        </w:rPr>
      </w:pPr>
    </w:p>
    <w:p w14:paraId="5F8FDFD2" w14:textId="77777777" w:rsidR="00B37F05" w:rsidRPr="00D06E2E" w:rsidRDefault="00B37F05" w:rsidP="00B37F05">
      <w:pPr>
        <w:spacing w:after="0"/>
        <w:rPr>
          <w:lang w:val="sr-Latn-RS"/>
        </w:rPr>
      </w:pPr>
      <w:r w:rsidRPr="00D06E2E">
        <w:rPr>
          <w:lang w:val="sr-Latn-RS"/>
        </w:rPr>
        <w:t>The Protector of Citizens recommended the Secretariat for Social Protection to, by applying the appropriate extraordinary legal means, invalidate its decision and make a new decision based on the law, while pointing out to the first-instance authority the obligation to establish all the facts when making the decision and explain its decision clearly and the manner prescribed by law. By the end of the reporting period, the deadline for acting on the sent recommendation</w:t>
      </w:r>
      <w:r w:rsidRPr="00D06E2E">
        <w:rPr>
          <w:rStyle w:val="FootnoteReference"/>
          <w:lang w:val="sr-Latn-RS"/>
        </w:rPr>
        <w:footnoteReference w:id="183"/>
      </w:r>
      <w:r w:rsidRPr="00D06E2E" w:rsidDel="001724CD">
        <w:rPr>
          <w:rStyle w:val="FootnoteReference"/>
          <w:lang w:val="sr-Latn-RS"/>
        </w:rPr>
        <w:t xml:space="preserve"> </w:t>
      </w:r>
      <w:r w:rsidRPr="00D06E2E">
        <w:rPr>
          <w:lang w:val="sr-Latn-RS"/>
        </w:rPr>
        <w:t xml:space="preserve"> has not expired.</w:t>
      </w:r>
    </w:p>
    <w:p w14:paraId="2D8A62EB" w14:textId="77777777" w:rsidR="00B37F05" w:rsidRPr="00D06E2E" w:rsidRDefault="00B37F05" w:rsidP="00B37F05">
      <w:pPr>
        <w:spacing w:after="0"/>
        <w:rPr>
          <w:rFonts w:eastAsia="Times New Roman" w:cs="Arial"/>
          <w:b/>
          <w:lang w:val="sr-Latn-RS"/>
        </w:rPr>
      </w:pPr>
    </w:p>
    <w:p w14:paraId="31018CDE" w14:textId="77777777" w:rsidR="00B37F05" w:rsidRPr="00D06E2E" w:rsidRDefault="00B37F05" w:rsidP="00B37F05">
      <w:pPr>
        <w:contextualSpacing/>
        <w:jc w:val="center"/>
        <w:rPr>
          <w:sz w:val="24"/>
          <w:szCs w:val="24"/>
          <w:lang w:val="sr-Latn-RS"/>
        </w:rPr>
      </w:pPr>
      <w:r w:rsidRPr="00D06E2E">
        <w:rPr>
          <w:sz w:val="24"/>
          <w:szCs w:val="24"/>
          <w:lang w:val="sr-Latn-RS"/>
        </w:rPr>
        <w:t>PROPOSALS FOR THE IMPROVEMENT OF THE STATUS OF</w:t>
      </w:r>
    </w:p>
    <w:p w14:paraId="2385DCAB" w14:textId="77777777" w:rsidR="00B37F05" w:rsidRPr="00D06E2E" w:rsidRDefault="00B37F05" w:rsidP="00B37F05">
      <w:pPr>
        <w:contextualSpacing/>
        <w:jc w:val="center"/>
        <w:rPr>
          <w:sz w:val="24"/>
          <w:szCs w:val="24"/>
          <w:lang w:val="sr-Latn-RS"/>
        </w:rPr>
      </w:pPr>
      <w:r w:rsidRPr="00D06E2E">
        <w:rPr>
          <w:sz w:val="24"/>
          <w:szCs w:val="24"/>
          <w:lang w:val="sr-Latn-RS"/>
        </w:rPr>
        <w:t>CITIZENS IN RELATION TO ADMINISTRATIVE AUTHORITIES</w:t>
      </w:r>
    </w:p>
    <w:p w14:paraId="616F528D" w14:textId="77777777" w:rsidR="00B37F05" w:rsidRPr="00D06E2E" w:rsidRDefault="00B37F05" w:rsidP="00B37F05">
      <w:pPr>
        <w:pStyle w:val="ListParagraph"/>
        <w:numPr>
          <w:ilvl w:val="0"/>
          <w:numId w:val="33"/>
        </w:numPr>
        <w:tabs>
          <w:tab w:val="left" w:pos="426"/>
        </w:tabs>
        <w:spacing w:line="276" w:lineRule="auto"/>
        <w:ind w:left="426" w:hanging="426"/>
        <w:rPr>
          <w:lang w:val="sr-Latn-RS"/>
        </w:rPr>
      </w:pPr>
      <w:r w:rsidRPr="00D06E2E">
        <w:rPr>
          <w:b/>
          <w:lang w:val="sr-Latn-RS"/>
        </w:rPr>
        <w:t xml:space="preserve">The Ministry of Labour, Employment, Veterans and Social Policy </w:t>
      </w:r>
      <w:r w:rsidRPr="00D06E2E">
        <w:rPr>
          <w:lang w:val="sr-Latn-RS"/>
        </w:rPr>
        <w:t>should conduct a constant social dialogue with representatives of employees and employers in order to create conditions for dignified work;</w:t>
      </w:r>
    </w:p>
    <w:p w14:paraId="06BEE18A" w14:textId="77777777" w:rsidR="00B37F05" w:rsidRPr="00D06E2E" w:rsidRDefault="00B37F05" w:rsidP="00B37F05">
      <w:pPr>
        <w:pStyle w:val="ListParagraph"/>
        <w:numPr>
          <w:ilvl w:val="0"/>
          <w:numId w:val="33"/>
        </w:numPr>
        <w:tabs>
          <w:tab w:val="left" w:pos="426"/>
        </w:tabs>
        <w:spacing w:line="276" w:lineRule="auto"/>
        <w:ind w:left="426" w:hanging="426"/>
        <w:rPr>
          <w:b/>
          <w:lang w:val="sr-Latn-RS"/>
        </w:rPr>
      </w:pPr>
      <w:r w:rsidRPr="00D06E2E">
        <w:rPr>
          <w:b/>
          <w:lang w:val="sr-Latn-RS"/>
        </w:rPr>
        <w:t>The Ministry of Labour, Employment, Veterans and Social Policy</w:t>
      </w:r>
      <w:r w:rsidRPr="00D06E2E">
        <w:rPr>
          <w:lang w:val="sr-Latn-RS"/>
        </w:rPr>
        <w:t>, in cooperation with all relevant factors, should ensure timely and efficient supervision of the implementation of regulations governing the field of work and labour relations;</w:t>
      </w:r>
    </w:p>
    <w:p w14:paraId="63DF1757" w14:textId="77777777" w:rsidR="00B37F05" w:rsidRPr="00D06E2E" w:rsidRDefault="00B37F05" w:rsidP="00B37F05">
      <w:pPr>
        <w:pStyle w:val="ListParagraph"/>
        <w:numPr>
          <w:ilvl w:val="0"/>
          <w:numId w:val="33"/>
        </w:numPr>
        <w:tabs>
          <w:tab w:val="left" w:pos="426"/>
        </w:tabs>
        <w:spacing w:line="276" w:lineRule="auto"/>
        <w:ind w:left="426" w:hanging="426"/>
        <w:rPr>
          <w:lang w:val="sr-Latn-RS"/>
        </w:rPr>
      </w:pPr>
      <w:r w:rsidRPr="00D06E2E">
        <w:rPr>
          <w:b/>
          <w:lang w:val="sr-Latn-RS"/>
        </w:rPr>
        <w:t>The Ministry of Labor, Employment, Veterans and Social Policy</w:t>
      </w:r>
      <w:r w:rsidRPr="00D06E2E">
        <w:rPr>
          <w:lang w:val="sr-Latn-RS"/>
        </w:rPr>
        <w:t>, in cooperation with all relevant factors, should increase the number of labour inspectors;</w:t>
      </w:r>
    </w:p>
    <w:p w14:paraId="008F44E4" w14:textId="77777777" w:rsidR="00B37F05" w:rsidRPr="00D06E2E" w:rsidRDefault="00B37F05" w:rsidP="00B37F05">
      <w:pPr>
        <w:pStyle w:val="ListParagraph"/>
        <w:numPr>
          <w:ilvl w:val="0"/>
          <w:numId w:val="33"/>
        </w:numPr>
        <w:tabs>
          <w:tab w:val="left" w:pos="426"/>
        </w:tabs>
        <w:spacing w:line="276" w:lineRule="auto"/>
        <w:ind w:left="426" w:hanging="426"/>
        <w:rPr>
          <w:lang w:val="sr-Latn-RS"/>
        </w:rPr>
      </w:pPr>
      <w:r w:rsidRPr="00D06E2E">
        <w:rPr>
          <w:b/>
          <w:lang w:val="sr-Latn-RS"/>
        </w:rPr>
        <w:t>The Ministry of Labour, Employment, Veterans and Social Policy</w:t>
      </w:r>
      <w:r w:rsidRPr="00D06E2E">
        <w:rPr>
          <w:lang w:val="sr-Latn-RS"/>
        </w:rPr>
        <w:t>, in cooperation with all relevant factors, should ensure the most effective, efficient and better cooperation between the Republic Fund for Pension and Disability Insurance, the Tax Administration and the Labour Inspectorate with the aim of protecting employees and timely payment of wages and contributions for mandatory social insurance to employees;</w:t>
      </w:r>
    </w:p>
    <w:p w14:paraId="1352A1F8" w14:textId="77777777" w:rsidR="00B37F05" w:rsidRPr="00D06E2E" w:rsidRDefault="00B37F05" w:rsidP="00B37F05">
      <w:pPr>
        <w:pStyle w:val="ListParagraph"/>
        <w:numPr>
          <w:ilvl w:val="0"/>
          <w:numId w:val="32"/>
        </w:numPr>
        <w:spacing w:line="276" w:lineRule="auto"/>
        <w:ind w:left="426" w:hanging="426"/>
        <w:contextualSpacing/>
        <w:rPr>
          <w:lang w:val="sr-Latn-RS"/>
        </w:rPr>
      </w:pPr>
      <w:r w:rsidRPr="00D06E2E">
        <w:rPr>
          <w:b/>
          <w:lang w:val="sr-Latn-RS"/>
        </w:rPr>
        <w:t xml:space="preserve">The PDI Fund </w:t>
      </w:r>
      <w:r w:rsidRPr="00D06E2E">
        <w:rPr>
          <w:lang w:val="sr-Latn-RS"/>
        </w:rPr>
        <w:t>should keep orderly and up-to-date registry records and timely check the accuracy of the data entered in applications for registry records, in the manner provided by law;</w:t>
      </w:r>
    </w:p>
    <w:p w14:paraId="641C50FA" w14:textId="77777777" w:rsidR="00B37F05" w:rsidRPr="00D06E2E" w:rsidRDefault="00B37F05" w:rsidP="00B37F05">
      <w:pPr>
        <w:pStyle w:val="ListParagraph"/>
        <w:numPr>
          <w:ilvl w:val="0"/>
          <w:numId w:val="32"/>
        </w:numPr>
        <w:spacing w:line="276" w:lineRule="auto"/>
        <w:ind w:left="426" w:hanging="426"/>
        <w:contextualSpacing/>
        <w:rPr>
          <w:lang w:val="sr-Latn-RS"/>
        </w:rPr>
      </w:pPr>
      <w:r w:rsidRPr="00D06E2E">
        <w:rPr>
          <w:b/>
          <w:lang w:val="sr-Latn-RS"/>
        </w:rPr>
        <w:t xml:space="preserve">The PDI Fund </w:t>
      </w:r>
      <w:r w:rsidRPr="00D06E2E">
        <w:rPr>
          <w:lang w:val="sr-Latn-RS"/>
        </w:rPr>
        <w:t>should decide on requests and appeals within the deadline prescribed by law;</w:t>
      </w:r>
    </w:p>
    <w:p w14:paraId="2D5B80C4" w14:textId="77777777" w:rsidR="00B37F05" w:rsidRPr="00D06E2E" w:rsidRDefault="00B37F05" w:rsidP="00B37F05">
      <w:pPr>
        <w:pStyle w:val="ListParagraph"/>
        <w:numPr>
          <w:ilvl w:val="0"/>
          <w:numId w:val="32"/>
        </w:numPr>
        <w:spacing w:line="276" w:lineRule="auto"/>
        <w:ind w:left="426" w:hanging="426"/>
        <w:contextualSpacing/>
        <w:rPr>
          <w:lang w:val="sr-Latn-RS"/>
        </w:rPr>
      </w:pPr>
      <w:r w:rsidRPr="00D06E2E">
        <w:rPr>
          <w:b/>
          <w:lang w:val="sr-Latn-RS"/>
        </w:rPr>
        <w:t xml:space="preserve">The PDI Fund </w:t>
      </w:r>
      <w:r w:rsidRPr="00D06E2E">
        <w:rPr>
          <w:lang w:val="sr-Latn-RS"/>
        </w:rPr>
        <w:t>should eliminate shortcomings in the work of Fund officials as quickly as possible;</w:t>
      </w:r>
    </w:p>
    <w:p w14:paraId="2A67BD9D" w14:textId="77777777" w:rsidR="00B37F05" w:rsidRPr="00D06E2E" w:rsidRDefault="00B37F05" w:rsidP="00B37F05">
      <w:pPr>
        <w:pStyle w:val="ListParagraph"/>
        <w:numPr>
          <w:ilvl w:val="0"/>
          <w:numId w:val="32"/>
        </w:numPr>
        <w:spacing w:line="276" w:lineRule="auto"/>
        <w:ind w:left="426" w:hanging="426"/>
        <w:contextualSpacing/>
        <w:rPr>
          <w:lang w:val="sr-Latn-RS"/>
        </w:rPr>
      </w:pPr>
      <w:r w:rsidRPr="00D06E2E">
        <w:rPr>
          <w:b/>
          <w:lang w:val="sr-Latn-RS"/>
        </w:rPr>
        <w:t xml:space="preserve">The PDI Fund </w:t>
      </w:r>
      <w:r w:rsidRPr="00D06E2E">
        <w:rPr>
          <w:lang w:val="sr-Latn-RS"/>
        </w:rPr>
        <w:t xml:space="preserve">should keep copies of the case file in the event that the proceedings are initiated before the Administrative Court, in order to proceed unhindered by the requests </w:t>
      </w:r>
      <w:r w:rsidRPr="00D06E2E">
        <w:rPr>
          <w:lang w:val="sr-Latn-RS"/>
        </w:rPr>
        <w:lastRenderedPageBreak/>
        <w:t>of the complainants, enable the further conduct of the proceedings and legally prescribed cooperation with the Protector of Citizens;</w:t>
      </w:r>
    </w:p>
    <w:p w14:paraId="68E204C7" w14:textId="77777777" w:rsidR="00B37F05" w:rsidRPr="00D06E2E" w:rsidRDefault="00B37F05" w:rsidP="00B37F05">
      <w:pPr>
        <w:pStyle w:val="ListParagraph"/>
        <w:numPr>
          <w:ilvl w:val="0"/>
          <w:numId w:val="32"/>
        </w:numPr>
        <w:spacing w:line="276" w:lineRule="auto"/>
        <w:ind w:left="426" w:hanging="426"/>
        <w:contextualSpacing/>
        <w:rPr>
          <w:lang w:val="sr-Latn-RS"/>
        </w:rPr>
      </w:pPr>
      <w:r w:rsidRPr="00D06E2E">
        <w:rPr>
          <w:b/>
          <w:lang w:val="sr-Latn-RS"/>
        </w:rPr>
        <w:t xml:space="preserve">The PDI Fund </w:t>
      </w:r>
      <w:r w:rsidRPr="00D06E2E">
        <w:rPr>
          <w:lang w:val="sr-Latn-RS"/>
        </w:rPr>
        <w:t>should act on the judgments of the Administrative Court in a timely manner and in accordance with legal understandings and binding objections;</w:t>
      </w:r>
    </w:p>
    <w:p w14:paraId="41DE30D7" w14:textId="77777777" w:rsidR="00B37F05" w:rsidRPr="00D06E2E" w:rsidRDefault="00B37F05" w:rsidP="00B37F05">
      <w:pPr>
        <w:pStyle w:val="ListParagraph"/>
        <w:numPr>
          <w:ilvl w:val="0"/>
          <w:numId w:val="32"/>
        </w:numPr>
        <w:spacing w:line="276" w:lineRule="auto"/>
        <w:ind w:left="426" w:hanging="426"/>
        <w:contextualSpacing/>
        <w:rPr>
          <w:lang w:val="sr-Latn-RS"/>
        </w:rPr>
      </w:pPr>
      <w:r w:rsidRPr="00D06E2E">
        <w:rPr>
          <w:b/>
          <w:lang w:val="sr-Latn-RS"/>
        </w:rPr>
        <w:t xml:space="preserve">The Ministry of Education, Science and Technological Development </w:t>
      </w:r>
      <w:r w:rsidRPr="00D06E2E">
        <w:rPr>
          <w:lang w:val="sr-Latn-RS"/>
        </w:rPr>
        <w:t>should act in a timely manner and in accordance with the law on every request submitted by citizens;</w:t>
      </w:r>
    </w:p>
    <w:p w14:paraId="04048D30" w14:textId="77777777" w:rsidR="00B37F05" w:rsidRPr="00D06E2E" w:rsidRDefault="00B37F05" w:rsidP="00B37F05">
      <w:pPr>
        <w:pStyle w:val="ListParagraph"/>
        <w:numPr>
          <w:ilvl w:val="0"/>
          <w:numId w:val="32"/>
        </w:numPr>
        <w:spacing w:line="276" w:lineRule="auto"/>
        <w:ind w:left="426" w:hanging="426"/>
        <w:contextualSpacing/>
        <w:rPr>
          <w:lang w:val="sr-Latn-RS"/>
        </w:rPr>
      </w:pPr>
      <w:r w:rsidRPr="00D06E2E">
        <w:rPr>
          <w:b/>
          <w:lang w:val="sr-Latn-RS"/>
        </w:rPr>
        <w:t xml:space="preserve">The Ministry of Labour, Employment, Veterans and Social Policy </w:t>
      </w:r>
      <w:r w:rsidRPr="00D06E2E">
        <w:rPr>
          <w:lang w:val="sr-Latn-RS"/>
        </w:rPr>
        <w:t>should, in cooperation with relevant factors, ensure an adequate number of employees in social protection institutions;</w:t>
      </w:r>
    </w:p>
    <w:p w14:paraId="3DA91F30" w14:textId="77777777" w:rsidR="00B37F05" w:rsidRPr="00D06E2E" w:rsidRDefault="00B37F05" w:rsidP="00B37F05">
      <w:pPr>
        <w:pStyle w:val="ListParagraph"/>
        <w:numPr>
          <w:ilvl w:val="0"/>
          <w:numId w:val="32"/>
        </w:numPr>
        <w:spacing w:line="276" w:lineRule="auto"/>
        <w:ind w:left="426" w:hanging="426"/>
        <w:contextualSpacing/>
        <w:rPr>
          <w:lang w:val="sr-Latn-RS"/>
        </w:rPr>
      </w:pPr>
      <w:r w:rsidRPr="00D06E2E">
        <w:rPr>
          <w:b/>
          <w:lang w:val="sr-Latn-RS"/>
        </w:rPr>
        <w:t xml:space="preserve">The Ministry of Labour, Employment, Veterans and Social Policy </w:t>
      </w:r>
      <w:r w:rsidRPr="00D06E2E">
        <w:rPr>
          <w:lang w:val="sr-Latn-RS"/>
        </w:rPr>
        <w:t>should, in cooperation with relevant factors, provide training and professional development for employees;</w:t>
      </w:r>
    </w:p>
    <w:p w14:paraId="1C1E497C" w14:textId="77777777" w:rsidR="00B37F05" w:rsidRPr="00D06E2E" w:rsidRDefault="00B37F05" w:rsidP="00B37F05">
      <w:pPr>
        <w:pStyle w:val="ListParagraph"/>
        <w:numPr>
          <w:ilvl w:val="0"/>
          <w:numId w:val="32"/>
        </w:numPr>
        <w:spacing w:line="276" w:lineRule="auto"/>
        <w:ind w:left="426" w:hanging="426"/>
        <w:contextualSpacing/>
        <w:rPr>
          <w:lang w:val="sr-Latn-RS"/>
        </w:rPr>
      </w:pPr>
      <w:r w:rsidRPr="00D06E2E">
        <w:rPr>
          <w:b/>
          <w:lang w:val="sr-Latn-RS"/>
        </w:rPr>
        <w:t xml:space="preserve">The Ministry of Labour, Employment, Veterans and Social Policy </w:t>
      </w:r>
      <w:r w:rsidRPr="00D06E2E">
        <w:rPr>
          <w:lang w:val="sr-Latn-RS"/>
        </w:rPr>
        <w:t>should improve the working conditions of employees so that they can exercise all rights based on work that are guaranteed to them by law;</w:t>
      </w:r>
    </w:p>
    <w:p w14:paraId="50F5D3BE" w14:textId="77777777" w:rsidR="00B37F05" w:rsidRPr="00D06E2E" w:rsidRDefault="00B37F05" w:rsidP="00B37F05">
      <w:pPr>
        <w:pStyle w:val="ListParagraph"/>
        <w:numPr>
          <w:ilvl w:val="0"/>
          <w:numId w:val="32"/>
        </w:numPr>
        <w:spacing w:line="276" w:lineRule="auto"/>
        <w:ind w:left="426" w:hanging="426"/>
        <w:contextualSpacing/>
        <w:rPr>
          <w:lang w:val="sr-Latn-RS"/>
        </w:rPr>
      </w:pPr>
      <w:r w:rsidRPr="00D06E2E">
        <w:rPr>
          <w:b/>
          <w:lang w:val="sr-Latn-RS"/>
        </w:rPr>
        <w:t xml:space="preserve">The Ministry of Labor, Employment, Veterans and Social Policy </w:t>
      </w:r>
      <w:r w:rsidRPr="00D06E2E">
        <w:rPr>
          <w:lang w:val="sr-Latn-RS"/>
        </w:rPr>
        <w:t>should, in cooperation with the directors of social welfare institutions, improve the quality of work in social welfare institutions and ensure that decisions are made in a timely manner and that they are clear and reasoned.</w:t>
      </w:r>
    </w:p>
    <w:p w14:paraId="01C8F49F" w14:textId="77777777" w:rsidR="00B37F05" w:rsidRPr="00D06E2E" w:rsidRDefault="00B37F05" w:rsidP="00B37F05">
      <w:pPr>
        <w:spacing w:after="0"/>
        <w:rPr>
          <w:b/>
          <w:lang w:val="sr-Latn-RS"/>
        </w:rPr>
      </w:pPr>
    </w:p>
    <w:p w14:paraId="155D2E03" w14:textId="77777777" w:rsidR="00B37F05" w:rsidRPr="00D06E2E" w:rsidRDefault="00B37F05" w:rsidP="00B37F05">
      <w:pPr>
        <w:spacing w:after="0"/>
        <w:jc w:val="left"/>
        <w:rPr>
          <w:b/>
          <w:lang w:val="sr-Latn-RS"/>
        </w:rPr>
      </w:pPr>
      <w:r w:rsidRPr="00D06E2E">
        <w:rPr>
          <w:b/>
          <w:lang w:val="sr-Latn-RS"/>
        </w:rPr>
        <w:br w:type="page"/>
      </w:r>
    </w:p>
    <w:p w14:paraId="32BAF00D" w14:textId="77777777" w:rsidR="00B37F05" w:rsidRPr="00D06E2E" w:rsidRDefault="00B37F05" w:rsidP="00B37F05">
      <w:pPr>
        <w:pStyle w:val="Heading1"/>
        <w:rPr>
          <w:lang w:val="sr-Latn-RS"/>
        </w:rPr>
      </w:pPr>
      <w:r w:rsidRPr="00D06E2E">
        <w:rPr>
          <w:lang w:val="sr-Latn-RS"/>
        </w:rPr>
        <w:lastRenderedPageBreak/>
        <w:t>SECTOR FOR THE RECEPTION OF CITIZENS</w:t>
      </w:r>
    </w:p>
    <w:p w14:paraId="4897EDBA" w14:textId="77777777" w:rsidR="00B37F05" w:rsidRPr="00D06E2E" w:rsidRDefault="00B37F05" w:rsidP="00B37F05">
      <w:pPr>
        <w:rPr>
          <w:lang w:val="sr-Latn-RS"/>
        </w:rPr>
      </w:pPr>
      <w:r w:rsidRPr="00D06E2E">
        <w:rPr>
          <w:lang w:val="sr-Latn-RS"/>
        </w:rPr>
        <w:t>In this reporting period, 10,559 citizens approached the Protector of Citizens, of which 1,674 citizens were accepted for an interview, while 8,885 conversations were held with citizens over the phone, of which 300 conversations were held through the hotline, which is available to citizens every working day from 16:00 to 22:00, on weekends and on holidays, which are non-working days. When it comes to complaints, the Department for Reception of Citizens received 1,012 complaints during the reporting period, of which work was completed on all received complaints. In addition to receptions performed by employees of the Department for Reception of Citizens, the Protector of Citizens, Zoran Pašalić, M.Sc., received citizens every Friday of the week at the scheduled time on the basis of submitted requests for admission.</w:t>
      </w:r>
    </w:p>
    <w:p w14:paraId="0787CB98" w14:textId="77777777" w:rsidR="00B37F05" w:rsidRPr="00D06E2E" w:rsidRDefault="00B37F05" w:rsidP="00B37F05">
      <w:pPr>
        <w:spacing w:before="120" w:after="0"/>
        <w:rPr>
          <w:lang w:val="sr-Latn-RS"/>
        </w:rPr>
      </w:pPr>
      <w:r w:rsidRPr="00D06E2E">
        <w:rPr>
          <w:lang w:val="sr-Latn-RS"/>
        </w:rPr>
        <w:t>On the occasion of the tragedy that occurred at the “Vladislav Ribnikar” Elementary School in Belgrade, the Protector of Citizens opened two telephone lines in order to support the families of the victims, teachers and students who need help and support. Also, the telephone line was open 24 hours a day for violations of voting rights, i.e. the right to vote in the parliamentary, provincial and local elections in 65 municipalities and cities, including Belgrade, which were held on December 17, 2023.</w:t>
      </w:r>
    </w:p>
    <w:p w14:paraId="7F9A4395" w14:textId="77777777" w:rsidR="00B37F05" w:rsidRPr="00D06E2E" w:rsidRDefault="00B37F05" w:rsidP="00B37F05">
      <w:pPr>
        <w:spacing w:before="120" w:after="0"/>
        <w:rPr>
          <w:lang w:val="sr-Latn-RS"/>
        </w:rPr>
      </w:pPr>
      <w:r w:rsidRPr="00D06E2E">
        <w:rPr>
          <w:lang w:val="sr-Latn-RS"/>
        </w:rPr>
        <w:t xml:space="preserve">Based on the analysis of citizens' addresses to the Protector of Citizens by telephone, as well as during interviews, it was noted that citizens most often complained about the work of local self-government units. The problems are mainly related to non-action or untimely action of the inspection bodies of local self-government units on the submitted requests of citizens. In addition, citizens expressed dissatisfaction with the work of local public companies, pointing out that the services were not provided with quality, and that due to unpaid one or two bills, local public companies initiate enforcement proceedings through public executors, which doubles the costs of the enforcement proceedings in relation to the principal debt. </w:t>
      </w:r>
    </w:p>
    <w:p w14:paraId="5C1FA243" w14:textId="77777777" w:rsidR="00B37F05" w:rsidRPr="00D06E2E" w:rsidRDefault="00B37F05" w:rsidP="00B37F05">
      <w:pPr>
        <w:spacing w:before="120" w:after="0"/>
        <w:rPr>
          <w:lang w:val="sr-Latn-RS"/>
        </w:rPr>
      </w:pPr>
      <w:r w:rsidRPr="00D06E2E">
        <w:rPr>
          <w:lang w:val="sr-Latn-RS"/>
        </w:rPr>
        <w:t>In addition to the inadequate actions of the authorities of the local self-government units, in a large number of telephone calls, citizens pointed to the work of the courts, both because of the unreasonably long conduct of court proceedings and because of dissatisfaction with the court decision. A large number of citizens complained to the Protector of Citizens about the work of public enforcement officers. Dissatisfaction of citizens with the work of public enforcement officers is reflected in the fact that the enforcement procedure is carried out without the orderly delivery of the decision on enforcement, as well as due to the high tariff of public enforcement officers, which increases costs for citizens.</w:t>
      </w:r>
    </w:p>
    <w:p w14:paraId="44A0DD59" w14:textId="77777777" w:rsidR="00B37F05" w:rsidRPr="00D06E2E" w:rsidRDefault="00B37F05" w:rsidP="00B37F05">
      <w:pPr>
        <w:spacing w:before="120" w:after="0"/>
        <w:rPr>
          <w:lang w:val="sr-Latn-RS"/>
        </w:rPr>
      </w:pPr>
      <w:r w:rsidRPr="00D06E2E">
        <w:rPr>
          <w:lang w:val="sr-Latn-RS"/>
        </w:rPr>
        <w:t>Also in this reporting period, citizens indicated by telephone or directly coming to the office of the Protector of Citizens the non-decision of the centers for social work within the legal deadline on the submitted request for exercising the right to social assistance, as well as their dissatisfaction with the decision made by the centers for social work on the submitted request. Also, the problems of a large number of citizens relate to the non-action or ineffective action of centers for social work upon reporting that a child does not see a parent according to a certain model of seeing.</w:t>
      </w:r>
    </w:p>
    <w:p w14:paraId="6A588695" w14:textId="77777777" w:rsidR="00B37F05" w:rsidRPr="00D06E2E" w:rsidRDefault="00B37F05" w:rsidP="00B37F05">
      <w:pPr>
        <w:spacing w:before="120" w:after="0"/>
        <w:rPr>
          <w:lang w:val="sr-Latn-RS"/>
        </w:rPr>
      </w:pPr>
      <w:r w:rsidRPr="00D06E2E">
        <w:rPr>
          <w:lang w:val="sr-Latn-RS"/>
        </w:rPr>
        <w:t>Other addresses from citizens pointed to the work of the Republic Fund for Pension and Disability Insurance due to the failure to make a decision within the legal deadline on the submitted request for exercising the right to a pension, the provision of inadequate health care by health institutions, then the problem of social protection, as well as the violation of rights from the field of employment. The cases of violation of rights from the employment relationship related to the impossibility of establishing an employment relationship for an indefinite period with private employers, violation of the right to working hours, the right to annual leave and the jubilee award.</w:t>
      </w:r>
    </w:p>
    <w:p w14:paraId="612FE781" w14:textId="77777777" w:rsidR="00B37F05" w:rsidRPr="00D06E2E" w:rsidRDefault="00B37F05" w:rsidP="00B37F05">
      <w:pPr>
        <w:spacing w:before="120" w:after="0"/>
        <w:rPr>
          <w:lang w:val="sr-Latn-RS"/>
        </w:rPr>
      </w:pPr>
      <w:r w:rsidRPr="00D06E2E">
        <w:rPr>
          <w:lang w:val="sr-Latn-RS"/>
        </w:rPr>
        <w:lastRenderedPageBreak/>
        <w:t>Telephone and direct appeals from citizens pointed to the improper and illegal actions of the medical committee of the National Health Insurance Fund in the process of making an assessment and determining the length of temporary incapacity for work. In addition, the convicted persons indicated in their phone calls the violation of the right to health care and adequate prison accommodation. A large number of phone calls from citizens were recorded, in which violations of rights in the field of consumer protection were pointed out.</w:t>
      </w:r>
    </w:p>
    <w:p w14:paraId="05D136DA" w14:textId="77777777" w:rsidR="00B37F05" w:rsidRPr="00D06E2E" w:rsidRDefault="00B37F05" w:rsidP="00B37F05">
      <w:pPr>
        <w:spacing w:before="120" w:after="0"/>
        <w:rPr>
          <w:lang w:val="sr-Latn-RS"/>
        </w:rPr>
      </w:pPr>
      <w:r w:rsidRPr="00D06E2E">
        <w:rPr>
          <w:lang w:val="sr-Latn-RS"/>
        </w:rPr>
        <w:t>Analyzing these addresses, it is concluded that citizens in this reporting period mostly indicated the violation and the impossibility of realizing economic and social rights, property rights, as well as the violation of civil rights.</w:t>
      </w:r>
    </w:p>
    <w:p w14:paraId="46320DC1" w14:textId="77777777" w:rsidR="00B37F05" w:rsidRPr="00D06E2E" w:rsidRDefault="00B37F05" w:rsidP="00B37F05">
      <w:pPr>
        <w:spacing w:before="120" w:after="0"/>
        <w:rPr>
          <w:lang w:val="sr-Latn-RS"/>
        </w:rPr>
      </w:pPr>
      <w:r w:rsidRPr="00D06E2E">
        <w:rPr>
          <w:lang w:val="sr-Latn-RS"/>
        </w:rPr>
        <w:t>On the basis of citizens' oral indications of violations and difficulties in exercising the above-mentioned rights, the Department for the Reception of Citizens, on the basis of an expert assessment in each specific case, directed citizens to submit a complaint to the Protector of Citizens, to initiate administrative proceedings for the exercise of rights or to file a complaint with the competent authority indicating the possibility of contacting the Protector of Citizens, depending on the outcome of the initiated procedure, or the citizens are directed to contact the competent authorities.</w:t>
      </w:r>
    </w:p>
    <w:p w14:paraId="094686AC" w14:textId="77777777" w:rsidR="00B37F05" w:rsidRPr="00D06E2E" w:rsidRDefault="00B37F05" w:rsidP="00B37F05">
      <w:pPr>
        <w:spacing w:before="120" w:after="0"/>
        <w:rPr>
          <w:lang w:val="sr-Latn-RS"/>
        </w:rPr>
      </w:pPr>
      <w:r w:rsidRPr="00D06E2E">
        <w:rPr>
          <w:lang w:val="sr-Latn-RS"/>
        </w:rPr>
        <w:t>In cases where it was established that there was an obvious violation of human and minority rights, which was reported to the Citizens' Reception Department most often outside of regular working hours, the Department for the Reception of Citizens notified the Protector of Citizens, Zoran Pašalić, M.Sc. as soon as possible. The Protector of Citizens took urgent action within his jurisdiction in order to eliminate the omission that caused the violation of rights and to prevent irreparable damage. The mentioned cases related to the violation of the right to health care. The same procedure was followed if an obvious violation of rights was pointed out via regular telephone or during the reception of citizens.</w:t>
      </w:r>
    </w:p>
    <w:p w14:paraId="71A93AFD" w14:textId="77777777" w:rsidR="00B37F05" w:rsidRPr="00D06E2E" w:rsidRDefault="00B37F05" w:rsidP="00B37F05">
      <w:pPr>
        <w:spacing w:before="120" w:after="0"/>
        <w:rPr>
          <w:lang w:val="sr-Latn-RS"/>
        </w:rPr>
      </w:pPr>
      <w:r w:rsidRPr="00D06E2E">
        <w:rPr>
          <w:lang w:val="sr-Latn-RS"/>
        </w:rPr>
        <w:t>Complaints were most often rejected due to unused legal remedies before administrative authorities and lack of competence, while other complaints were assigned to the competent sectors for work after the requested and submitted supplement.</w:t>
      </w:r>
    </w:p>
    <w:p w14:paraId="0448F932" w14:textId="77777777" w:rsidR="00B37F05" w:rsidRPr="00D06E2E" w:rsidRDefault="00B37F05" w:rsidP="00B37F05">
      <w:pPr>
        <w:spacing w:before="120" w:after="0"/>
        <w:rPr>
          <w:lang w:val="sr-Latn-RS"/>
        </w:rPr>
      </w:pPr>
      <w:r w:rsidRPr="00D06E2E">
        <w:rPr>
          <w:lang w:val="sr-Latn-RS"/>
        </w:rPr>
        <w:t>Complaints from the field of labour relations most often related to the violation of the right to work with private employers, i.e. to the duration of the employment service for a certain period of time longer than prescribed by law, violation of the right to earnings, as well as to the termination of the employment service. Complaints also pointed to abuse at work. Employed pregnant women and those on maternity leave also addressed due to the delay in the payment of salary benefits during temporary incapacity for work, as well as the failure to submit medical documentation to the Republic Health Insurance Fund by the employer.</w:t>
      </w:r>
    </w:p>
    <w:p w14:paraId="7E8C9B3F" w14:textId="77777777" w:rsidR="00B37F05" w:rsidRPr="00D06E2E" w:rsidRDefault="00B37F05" w:rsidP="00B37F05">
      <w:pPr>
        <w:spacing w:before="120" w:after="0"/>
        <w:rPr>
          <w:lang w:val="sr-Latn-RS"/>
        </w:rPr>
      </w:pPr>
      <w:r w:rsidRPr="00D06E2E">
        <w:rPr>
          <w:lang w:val="sr-Latn-RS"/>
        </w:rPr>
        <w:t>When it comes to exercising rights from employment in the public sector, the complaints pointed to the irregularity of the conduct of the selection procedure in the higher education institution, as well as the non-action of the inspection bodies upon reporting the irregularities and illegality of the conducted procedure.</w:t>
      </w:r>
    </w:p>
    <w:p w14:paraId="732CC6E8" w14:textId="77777777" w:rsidR="00B37F05" w:rsidRPr="00D06E2E" w:rsidRDefault="00B37F05" w:rsidP="00B37F05">
      <w:pPr>
        <w:spacing w:before="120" w:after="0"/>
        <w:rPr>
          <w:lang w:val="sr-Latn-RS"/>
        </w:rPr>
      </w:pPr>
      <w:r w:rsidRPr="00D06E2E">
        <w:rPr>
          <w:lang w:val="sr-Latn-RS"/>
        </w:rPr>
        <w:t xml:space="preserve">The analysis of complaints from the field of labour relations has established that the Protector of Citizens is the first authority to whom an employee addresses due to a violation of rights, which indicates a high degree of trust in this independent state authority. In the mentioned cases of violation of labour rights, it was established that the complainants did not use the available legal means before the administrative authorities, i.e. they did not turn to the labour inspection, administrative or educational inspection, which is why the complaints were rejected and instructed that before turning to the Protector of Citizens they need to use the available legal means with the explanation that depending on the outcome of the proceedings </w:t>
      </w:r>
      <w:r w:rsidRPr="00D06E2E">
        <w:rPr>
          <w:lang w:val="sr-Latn-RS"/>
        </w:rPr>
        <w:lastRenderedPageBreak/>
        <w:t>before the inspection authorities or in cases of non-action by the inspection authorities, they can again turn to the Protector of Citizens.</w:t>
      </w:r>
    </w:p>
    <w:p w14:paraId="17D79869" w14:textId="77777777" w:rsidR="00B37F05" w:rsidRPr="00D06E2E" w:rsidRDefault="00B37F05" w:rsidP="00B37F05">
      <w:pPr>
        <w:spacing w:before="120" w:after="0"/>
        <w:rPr>
          <w:lang w:val="sr-Latn-RS"/>
        </w:rPr>
      </w:pPr>
      <w:r w:rsidRPr="00D06E2E">
        <w:rPr>
          <w:lang w:val="sr-Latn-RS"/>
        </w:rPr>
        <w:t>Complaints from the field of social protection pointed to the unreasonably long duration of the decision-making process for the submitted requests for the realization of the right to social assistance, as well as dissatisfaction with the decisions made, by which requests for the realization of the right to cash social assistance were rejected due to non-fulfillment of legal requirements. In most of these cases, the Protector of Citizens asked the complainants to supplement their complaints, and after submitting them, the complaint was assigned to the competent sector for further work. The complaints also indicated the difficult position of the complainants who are in a state of social need.</w:t>
      </w:r>
    </w:p>
    <w:p w14:paraId="44FEBDCD" w14:textId="77777777" w:rsidR="00B37F05" w:rsidRPr="00D06E2E" w:rsidRDefault="00B37F05" w:rsidP="00B37F05">
      <w:pPr>
        <w:spacing w:before="120" w:after="0"/>
        <w:rPr>
          <w:lang w:val="sr-Latn-RS"/>
        </w:rPr>
      </w:pPr>
      <w:r w:rsidRPr="00D06E2E">
        <w:rPr>
          <w:lang w:val="sr-Latn-RS"/>
        </w:rPr>
        <w:t>Complaints from the field of pension and disability insurance were submitted due to non-decision within the legal deadline on the submitted requests for exercising the right to a pension. In these cases, the complainants most often did not submit the necessary documentation, as a result of which they were asked to supplement the complaint for further action by the Protector of Citizens.</w:t>
      </w:r>
    </w:p>
    <w:p w14:paraId="7BC42A26" w14:textId="77777777" w:rsidR="00B37F05" w:rsidRPr="00D06E2E" w:rsidRDefault="00B37F05" w:rsidP="00B37F05">
      <w:pPr>
        <w:spacing w:before="120" w:after="0"/>
        <w:rPr>
          <w:lang w:val="sr-Latn-RS"/>
        </w:rPr>
      </w:pPr>
      <w:r w:rsidRPr="00D06E2E">
        <w:rPr>
          <w:lang w:val="sr-Latn-RS"/>
        </w:rPr>
        <w:t>Complaints in the field of the right to health were mainly related to the quality of the health service provided, problems in realizing the right to health insurance, as well as the incorrect behavior of a health worker or a health associate. In these cases, the applicants did not submit documentation related to the previous appeal to the health inspection and the National Health Insurance Fund, as a result of which the Protector of Citizens asked them to supplement their complaints for further action by the Protector of Citizens.</w:t>
      </w:r>
    </w:p>
    <w:p w14:paraId="2F91FB5A" w14:textId="77777777" w:rsidR="00B37F05" w:rsidRPr="00D06E2E" w:rsidRDefault="00B37F05" w:rsidP="00B37F05">
      <w:pPr>
        <w:spacing w:before="120" w:after="0"/>
        <w:rPr>
          <w:lang w:val="sr-Latn-RS"/>
        </w:rPr>
      </w:pPr>
      <w:r w:rsidRPr="00D06E2E">
        <w:rPr>
          <w:lang w:val="sr-Latn-RS"/>
        </w:rPr>
        <w:t>In this reporting period, a large number of received complaints related to the work of local self-government units was recorded. Citizens pointed out that the local self-government units do not solve problems of importance for the daily life of the residents, and the most common problems cited were the non-construction of the water supply network in remote areas of the local self-government unit, non-undertaking of road repair works, and non-maintenance of uncategorized roads and public areas. In most cases, the Protector of Citizens determined that the complainants had not previously addressed the local self-government unit or that the legal deadline for the authority's action had not expired, which is why the complaints were rejected, and the complainants were directed to first contact the competent local self-government unit before contacting the Protector of Citizens, or they were instructed that only after the deadline for the authority's action has expired, they can turn to the Protector of Citizens again.</w:t>
      </w:r>
    </w:p>
    <w:p w14:paraId="0E6475CE" w14:textId="77777777" w:rsidR="00B37F05" w:rsidRPr="00D06E2E" w:rsidRDefault="00B37F05" w:rsidP="00B37F05">
      <w:pPr>
        <w:spacing w:before="120" w:after="0"/>
        <w:rPr>
          <w:lang w:val="sr-Latn-RS"/>
        </w:rPr>
      </w:pPr>
      <w:r w:rsidRPr="00D06E2E">
        <w:rPr>
          <w:lang w:val="sr-Latn-RS"/>
        </w:rPr>
        <w:t>The complaints also pointed to the irregular and ineffective work of the communal militia following reports of violations of communal order in residential buildings. Citizens also expressed dissatisfaction with the work of local public companies that perform tasks of general interest. In such cases, complaints were forwarded to the local ombudsman. If the local ombudsman is not constituted in the local self-government unit, the complainants are instructed to contact the competent body of the local self-government unit with the instruction that they can contact the Protector of Citizens again if they do not receive a response from the local self-government unit body.</w:t>
      </w:r>
    </w:p>
    <w:p w14:paraId="3F08059A" w14:textId="77777777" w:rsidR="00B37F05" w:rsidRPr="00D06E2E" w:rsidRDefault="00B37F05" w:rsidP="00B37F05">
      <w:pPr>
        <w:spacing w:before="120" w:after="0"/>
        <w:rPr>
          <w:lang w:val="sr-Latn-RS"/>
        </w:rPr>
      </w:pPr>
      <w:r w:rsidRPr="00D06E2E">
        <w:rPr>
          <w:lang w:val="sr-Latn-RS"/>
        </w:rPr>
        <w:t>Citizens also complained about the non-action of the real estate cadastre office, i.e. due to the failure to make a decision within the legal deadline on the submitted requests, such as the request for the registration of property rights on real estate, the request for the correction of an error or the request to change the data in the real estate list due to the change. In these cases, it was established that the citizens simultaneously addressed the real estate cadastre service or that they did not submit relevant documentation with the complaint, which is why the complaints were dismissed due to unused available legal remedies or the citizens were asked to supplement the complaint.</w:t>
      </w:r>
    </w:p>
    <w:p w14:paraId="31CBAD67" w14:textId="77777777" w:rsidR="00B37F05" w:rsidRPr="00D06E2E" w:rsidRDefault="00B37F05" w:rsidP="00B37F05">
      <w:pPr>
        <w:spacing w:before="120" w:after="0"/>
        <w:rPr>
          <w:lang w:val="sr-Latn-RS"/>
        </w:rPr>
      </w:pPr>
      <w:r w:rsidRPr="00D06E2E">
        <w:rPr>
          <w:lang w:val="sr-Latn-RS"/>
        </w:rPr>
        <w:lastRenderedPageBreak/>
        <w:t>The Protector of Citizens received complaints about the work of the company “Elektrodistribucija Srbije” due to the failure to comply with the submitted requests and the inability to solve the problem of the debt.</w:t>
      </w:r>
    </w:p>
    <w:p w14:paraId="6DC814B1" w14:textId="77777777" w:rsidR="00B37F05" w:rsidRPr="00D06E2E" w:rsidRDefault="00B37F05" w:rsidP="00B37F05">
      <w:pPr>
        <w:spacing w:before="120" w:after="0"/>
        <w:rPr>
          <w:lang w:val="sr-Latn-RS"/>
        </w:rPr>
      </w:pPr>
      <w:r w:rsidRPr="00D06E2E">
        <w:rPr>
          <w:lang w:val="sr-Latn-RS"/>
        </w:rPr>
        <w:t>As in the previous reporting period, citizens also in 2023 submitted complaints to the Protector of Citizens in the area of customer rights protection, complaining about the work of companies due to the violation of the right to complain about products, the price of the services provided, the work of telecommunications operators, as well as the amount of the bill public utility companies for the services provided.</w:t>
      </w:r>
    </w:p>
    <w:p w14:paraId="2FCEC70F" w14:textId="77777777" w:rsidR="00B37F05" w:rsidRPr="00D06E2E" w:rsidRDefault="00B37F05" w:rsidP="00B37F05">
      <w:pPr>
        <w:spacing w:before="120" w:after="0"/>
        <w:rPr>
          <w:lang w:val="sr-Latn-RS"/>
        </w:rPr>
      </w:pPr>
      <w:r w:rsidRPr="00D06E2E">
        <w:rPr>
          <w:lang w:val="sr-Latn-RS"/>
        </w:rPr>
        <w:t>Complaints in the field of civil rights were mainly related to the work of the Ministry of Interior due to failure to act on the request for the return of a confiscated object, improper record keeping on the measure of prohibition of driving a motor vehicle, as well as due to the violation of the right to extend temporary stay. In these cases, a supplement to the complaint was requested, after which it was established that the complainants did not address the Ministry of Interior in writing and that there are no legal requirements for the action of the Protector of Citizens.</w:t>
      </w:r>
    </w:p>
    <w:p w14:paraId="2AB74E90" w14:textId="77777777" w:rsidR="00B37F05" w:rsidRPr="00D06E2E" w:rsidRDefault="00B37F05" w:rsidP="00B37F05">
      <w:pPr>
        <w:spacing w:before="120" w:after="0"/>
        <w:rPr>
          <w:lang w:val="sr-Latn-RS"/>
        </w:rPr>
      </w:pPr>
      <w:r w:rsidRPr="00D06E2E">
        <w:rPr>
          <w:lang w:val="sr-Latn-RS"/>
        </w:rPr>
        <w:t>Also in this reporting period, citizens submitted complaints to the Protector of Citizens about the work of the court due to the length of the court proceedings, the violation of the right to a fair trial as well as the work of the prosecution. The aforementioned complaints were rejected due to lack of jurisdiction, with the instruction that the complainant in the specific case can turn to the Ministry of Justice. The Protector of Citizens also received complaints about the work of public enforcement officers due to the improper implementation of the enforcement procedure.</w:t>
      </w:r>
    </w:p>
    <w:p w14:paraId="554DA20F" w14:textId="77777777" w:rsidR="00B37F05" w:rsidRPr="00D06E2E" w:rsidRDefault="00B37F05" w:rsidP="00B37F05">
      <w:pPr>
        <w:spacing w:before="120" w:after="0"/>
        <w:rPr>
          <w:lang w:val="sr-Latn-RS"/>
        </w:rPr>
      </w:pPr>
      <w:r w:rsidRPr="00D06E2E">
        <w:rPr>
          <w:lang w:val="sr-Latn-RS"/>
        </w:rPr>
        <w:t>In addition to complaints, citizens addressed the Protector of Citizens with questions about how they can exercise their rights, to which they received answers in a short period of time.</w:t>
      </w:r>
    </w:p>
    <w:p w14:paraId="1E4EF8AF" w14:textId="77777777" w:rsidR="00B37F05" w:rsidRPr="00D06E2E" w:rsidRDefault="00B37F05" w:rsidP="00B37F05">
      <w:pPr>
        <w:spacing w:before="120" w:after="0"/>
        <w:rPr>
          <w:sz w:val="10"/>
          <w:szCs w:val="10"/>
          <w:lang w:val="sr-Latn-RS"/>
        </w:rPr>
      </w:pPr>
    </w:p>
    <w:p w14:paraId="56A7263E" w14:textId="77777777" w:rsidR="00B37F05" w:rsidRPr="00D06E2E" w:rsidRDefault="00B37F05" w:rsidP="00B37F05">
      <w:pPr>
        <w:rPr>
          <w:lang w:val="sr-Latn-RS"/>
        </w:rPr>
      </w:pPr>
      <w:r w:rsidRPr="00D06E2E">
        <w:rPr>
          <w:lang w:val="sr-Latn-RS"/>
        </w:rPr>
        <w:t>Citizens of the municipalities of Bujanovac, Preševo and Medveđa, who have the option of contacting the local offices, most often complained about the work of the inspection authorities due to the failure to act on citizens' reports, as well as the failure to make decisions within the legal deadline by the Real Estate Cadastre Service in Bujanovac and Preševo. There is also dissatisfaction with the work of health workers in the Health Center in Bujanovac and Preševo due to the violation of the right to respect the patient's time, the violation of rights based on work by private employers, as well as the problem of exercising rights from pension and disability insurance. Citizens of the municipalities of Bujanovac and Preševo also pointed to problems in obtaining free legal aid in these municipalities and to the lengthy conduct of court proceedings. Citizens were also dissatisfied with the work of local public companies due to non-maintenance of water pipes in the municipality of Bujanovac, difficulty in supplying water to populated areas in the municipality in the summer months, as well as the amount of electricity bills. Also, the citizens of these municipalities were not satisfied with the work of the police stations due to the passivation of residence addresses and problems with issuing personal documents.</w:t>
      </w:r>
    </w:p>
    <w:p w14:paraId="6572FC1A" w14:textId="77777777" w:rsidR="00B37F05" w:rsidRPr="00D06E2E" w:rsidRDefault="00B37F05" w:rsidP="00B37F05">
      <w:pPr>
        <w:pStyle w:val="Default"/>
        <w:jc w:val="both"/>
        <w:rPr>
          <w:rFonts w:ascii="Book Antiqua" w:hAnsi="Book Antiqua"/>
          <w:sz w:val="22"/>
          <w:szCs w:val="22"/>
          <w:lang w:val="sr-Latn-RS"/>
        </w:rPr>
      </w:pPr>
    </w:p>
    <w:p w14:paraId="073E5AA6" w14:textId="77777777" w:rsidR="00B37F05" w:rsidRPr="00D06E2E" w:rsidRDefault="00B37F05" w:rsidP="00B37F05">
      <w:pPr>
        <w:pStyle w:val="Default"/>
        <w:jc w:val="both"/>
        <w:rPr>
          <w:rFonts w:ascii="Book Antiqua" w:hAnsi="Book Antiqua"/>
          <w:sz w:val="22"/>
          <w:szCs w:val="22"/>
          <w:lang w:val="sr-Latn-RS"/>
        </w:rPr>
      </w:pPr>
    </w:p>
    <w:p w14:paraId="7E2846AD" w14:textId="77777777" w:rsidR="00B37F05" w:rsidRPr="00D06E2E" w:rsidRDefault="00B37F05" w:rsidP="00B37F05">
      <w:pPr>
        <w:pStyle w:val="Default"/>
        <w:jc w:val="both"/>
        <w:rPr>
          <w:rFonts w:ascii="Book Antiqua" w:hAnsi="Book Antiqua"/>
          <w:sz w:val="22"/>
          <w:szCs w:val="22"/>
          <w:lang w:val="sr-Latn-RS"/>
        </w:rPr>
      </w:pPr>
    </w:p>
    <w:p w14:paraId="6A2C59C6" w14:textId="77777777" w:rsidR="00B37F05" w:rsidRPr="00D06E2E" w:rsidRDefault="00B37F05" w:rsidP="00B37F05">
      <w:pPr>
        <w:pStyle w:val="Default"/>
        <w:jc w:val="both"/>
        <w:rPr>
          <w:rFonts w:ascii="Book Antiqua" w:hAnsi="Book Antiqua"/>
          <w:sz w:val="22"/>
          <w:szCs w:val="22"/>
          <w:lang w:val="sr-Latn-RS"/>
        </w:rPr>
      </w:pPr>
    </w:p>
    <w:p w14:paraId="427CF5BE" w14:textId="77777777" w:rsidR="00B37F05" w:rsidRPr="00D06E2E" w:rsidRDefault="00B37F05" w:rsidP="00B37F05">
      <w:pPr>
        <w:pStyle w:val="Default"/>
        <w:jc w:val="both"/>
        <w:rPr>
          <w:rFonts w:ascii="Book Antiqua" w:hAnsi="Book Antiqua"/>
          <w:sz w:val="22"/>
          <w:szCs w:val="22"/>
          <w:lang w:val="sr-Latn-RS"/>
        </w:rPr>
      </w:pPr>
    </w:p>
    <w:p w14:paraId="4EEC5AAE" w14:textId="77777777" w:rsidR="00B37F05" w:rsidRPr="00D06E2E" w:rsidRDefault="00B37F05" w:rsidP="00B37F05">
      <w:pPr>
        <w:pStyle w:val="Heading1"/>
        <w:rPr>
          <w:lang w:val="sr-Latn-RS"/>
        </w:rPr>
      </w:pPr>
      <w:r w:rsidRPr="00D06E2E">
        <w:rPr>
          <w:lang w:val="sr-Latn-RS"/>
        </w:rPr>
        <w:lastRenderedPageBreak/>
        <w:t>DEPARTMENT FOR EMERGENCY RESPONSES</w:t>
      </w:r>
    </w:p>
    <w:p w14:paraId="5C5FAB30" w14:textId="77777777" w:rsidR="00B37F05" w:rsidRPr="00D06E2E" w:rsidRDefault="00B37F05" w:rsidP="00B37F05">
      <w:pPr>
        <w:rPr>
          <w:rFonts w:cs="Times New Roman"/>
          <w:lang w:val="sr-Latn-RS"/>
        </w:rPr>
      </w:pPr>
      <w:r w:rsidRPr="00D06E2E">
        <w:rPr>
          <w:rFonts w:cs="Times New Roman"/>
          <w:lang w:val="sr-Latn-RS"/>
        </w:rPr>
        <w:t>On July 26, 2023, the National Assembly adopted the Law on Amendments to the Law on Legalization of Buildings, which will enable the owners of illegal buildings for which the legalization procedure is being conducted, temporarily, until the finalization of the legalization procedure, to connect to the infrastructure</w:t>
      </w:r>
      <w:r w:rsidRPr="00D06E2E">
        <w:rPr>
          <w:rStyle w:val="FootnoteReference"/>
          <w:rFonts w:cs="Times New Roman"/>
          <w:lang w:val="sr-Latn-RS"/>
        </w:rPr>
        <w:footnoteReference w:id="184"/>
      </w:r>
      <w:r w:rsidRPr="00D06E2E">
        <w:rPr>
          <w:rFonts w:cs="Times New Roman"/>
          <w:lang w:val="sr-Latn-RS"/>
        </w:rPr>
        <w:t>. This was done according to the legislative initiative of the Protector of Citizens</w:t>
      </w:r>
      <w:r w:rsidRPr="00D06E2E">
        <w:rPr>
          <w:rStyle w:val="FootnoteReference"/>
          <w:rFonts w:cs="Times New Roman"/>
          <w:lang w:val="sr-Latn-RS"/>
        </w:rPr>
        <w:footnoteReference w:id="185"/>
      </w:r>
      <w:r w:rsidRPr="00D06E2E">
        <w:rPr>
          <w:rFonts w:cs="Times New Roman"/>
          <w:lang w:val="sr-Latn-RS"/>
        </w:rPr>
        <w:t>.</w:t>
      </w:r>
    </w:p>
    <w:p w14:paraId="5D373271" w14:textId="77777777" w:rsidR="00B37F05" w:rsidRPr="00D06E2E" w:rsidRDefault="00B37F05" w:rsidP="00B37F05">
      <w:pPr>
        <w:rPr>
          <w:rFonts w:cs="Times New Roman"/>
          <w:lang w:val="sr-Latn-RS"/>
        </w:rPr>
      </w:pPr>
      <w:r w:rsidRPr="00D06E2E">
        <w:rPr>
          <w:rFonts w:cs="Times New Roman"/>
          <w:lang w:val="sr-Latn-RS"/>
        </w:rPr>
        <w:t>This independent state body expresses its satisfaction that it was acted upon by the initiative of the Protector of Citizens, bearing in mind that it is a violation of rights that affects a larger group of citizens, including particularly sensitive groups, and in this way the protection of citizens' rights to an adequate standard of living will be affected, as well as the establishment of an equal position of citizens who are in the same legal situation.</w:t>
      </w:r>
    </w:p>
    <w:p w14:paraId="2997095F" w14:textId="61CEA79C" w:rsidR="00B37F05" w:rsidRPr="00D06E2E" w:rsidRDefault="00B37F05" w:rsidP="00B37F05">
      <w:pPr>
        <w:rPr>
          <w:rFonts w:cs="Times New Roman"/>
          <w:lang w:val="sr-Latn-RS"/>
        </w:rPr>
      </w:pPr>
      <w:r w:rsidRPr="00D06E2E">
        <w:rPr>
          <w:rFonts w:cs="Times New Roman"/>
          <w:lang w:val="sr-Latn-RS"/>
        </w:rPr>
        <w:t>The work of the Department for Emergency Responses in 2023 was marked, among other things, by conducting proceedings on its own initiative in order to protect the rights of children, by acting on complaints about irregularities in the work of local self-governments related to the construction and maintenance of real estate, as well as by acting on complaints about work of the Republic Geodetic Institute for denying citizens the opportunity to communicate with the employees of the Real Estate Cadastre Services and the Departments for the Cadastre of Lines.</w:t>
      </w:r>
    </w:p>
    <w:p w14:paraId="224F3FB4" w14:textId="4E8FFD12" w:rsidR="00B37F05" w:rsidRPr="00D06E2E" w:rsidRDefault="00B37F05" w:rsidP="00B37F05">
      <w:pPr>
        <w:rPr>
          <w:rFonts w:cs="Times New Roman"/>
          <w:lang w:val="sr-Latn-RS"/>
        </w:rPr>
      </w:pPr>
      <w:r w:rsidRPr="00D06E2E">
        <w:rPr>
          <w:rFonts w:cs="Times New Roman"/>
          <w:lang w:val="sr-Latn-RS"/>
        </w:rPr>
        <w:t>In the field of social protection, a large number of proceedings were initiated on its own initiative, the focus of which was the rights of minors. In May 2023, the Protector of Citizens launched an examination procedure to assess the legality and regularity of the work of the Center for Social Work “Nova Crnja” based on information that a 13-year-old boy attacked and injured a woman and her minor child with a cold weapon in Radojevo</w:t>
      </w:r>
      <w:r w:rsidR="008D0EA7" w:rsidRPr="00D06E2E">
        <w:rPr>
          <w:rStyle w:val="FootnoteReference"/>
          <w:rFonts w:cs="Times New Roman"/>
          <w:lang w:val="sr-Latn-RS"/>
        </w:rPr>
        <w:footnoteReference w:id="186"/>
      </w:r>
      <w:r w:rsidRPr="00D06E2E">
        <w:rPr>
          <w:rFonts w:cs="Times New Roman"/>
          <w:lang w:val="sr-Latn-RS"/>
        </w:rPr>
        <w:t>.</w:t>
      </w:r>
    </w:p>
    <w:p w14:paraId="554BAD16" w14:textId="16185902" w:rsidR="00B37F05" w:rsidRPr="00D06E2E" w:rsidRDefault="00B37F05" w:rsidP="00B37F05">
      <w:pPr>
        <w:rPr>
          <w:rFonts w:cs="Times New Roman"/>
          <w:lang w:val="sr-Latn-RS"/>
        </w:rPr>
      </w:pPr>
      <w:r w:rsidRPr="00D06E2E">
        <w:rPr>
          <w:rFonts w:cs="Times New Roman"/>
          <w:lang w:val="sr-Latn-RS"/>
        </w:rPr>
        <w:t>During the investigation, the Protector of Citizens established that the family of the boy who committed the attack has been on the records of the guardianship authority for many years and that both parents were convicted of the crime of neglecting and abusing minors in relation to all the children of that family</w:t>
      </w:r>
      <w:r w:rsidRPr="00D06E2E">
        <w:rPr>
          <w:rStyle w:val="FootnoteReference"/>
          <w:rFonts w:cs="Times New Roman"/>
          <w:lang w:val="sr-Latn-RS"/>
        </w:rPr>
        <w:footnoteReference w:id="187"/>
      </w:r>
      <w:r w:rsidRPr="00D06E2E">
        <w:rPr>
          <w:rFonts w:cs="Times New Roman"/>
          <w:lang w:val="sr-Latn-RS"/>
        </w:rPr>
        <w:t>. For this reason, the Protector of Citizens requested the guardianship authority to initiate the procedure of deprivation of parental rights of both parents in relation to all children of that family. Furthermore, the Protector of Citizens agreed with the measures ordered to the Center for Social Work “Nova Crnja” after the inspectors of the Secretariat for Social Policy, Demography and Gender Equality of AP Vojvodina carried out expert supervision and requested the initiation of disciplinary proceedings against the case leader, supervisor and the entire of the professional team that acted in the cases of that family due to negligence and work contrary to the rules and norms of the profession. The Center for Social Work “Nova Crnja” acted on the recommendations of the Protector of Citizens.</w:t>
      </w:r>
    </w:p>
    <w:p w14:paraId="533C16E2" w14:textId="1B86F437" w:rsidR="00B37F05" w:rsidRPr="00D06E2E" w:rsidRDefault="00B37F05" w:rsidP="00B37F05">
      <w:pPr>
        <w:rPr>
          <w:rFonts w:cs="Times New Roman"/>
          <w:lang w:val="sr-Latn-RS"/>
        </w:rPr>
      </w:pPr>
      <w:r w:rsidRPr="00D06E2E">
        <w:rPr>
          <w:rFonts w:cs="Times New Roman"/>
          <w:lang w:val="sr-Latn-RS"/>
        </w:rPr>
        <w:t xml:space="preserve">The Protector of Citizens initiated an examination procedure to assess the legality and regularity of the work of the Center for Social Work Novi Bečej after learning that a fourteen-year-old child with developmental disabilities, who was in a foster family, jumped out of the </w:t>
      </w:r>
      <w:r w:rsidRPr="00D06E2E">
        <w:rPr>
          <w:rFonts w:cs="Times New Roman"/>
          <w:lang w:val="sr-Latn-RS"/>
        </w:rPr>
        <w:lastRenderedPageBreak/>
        <w:t>window of an apartment on the third floor and died</w:t>
      </w:r>
      <w:r w:rsidR="008D0EA7" w:rsidRPr="00D06E2E">
        <w:rPr>
          <w:rStyle w:val="FootnoteReference"/>
          <w:rFonts w:cs="Arial"/>
          <w:color w:val="000000"/>
          <w:spacing w:val="5"/>
          <w:shd w:val="clear" w:color="auto" w:fill="FFFFFF"/>
          <w:lang w:val="sr-Latn-RS"/>
        </w:rPr>
        <w:footnoteReference w:id="188"/>
      </w:r>
      <w:r w:rsidRPr="00D06E2E">
        <w:rPr>
          <w:rFonts w:cs="Times New Roman"/>
          <w:lang w:val="sr-Latn-RS"/>
        </w:rPr>
        <w:t xml:space="preserve">. According to the information provided by the media, the foster mother left a minor child with her friends while she was on vacation abroad. The aforementioned procedure was completed by submitting </w:t>
      </w:r>
      <w:r w:rsidR="008D0EA7" w:rsidRPr="00D06E2E">
        <w:rPr>
          <w:rFonts w:cs="Times New Roman"/>
          <w:lang w:val="sr-Latn-RS"/>
        </w:rPr>
        <w:t>the R</w:t>
      </w:r>
      <w:r w:rsidRPr="00D06E2E">
        <w:rPr>
          <w:rFonts w:cs="Times New Roman"/>
          <w:lang w:val="sr-Latn-RS"/>
        </w:rPr>
        <w:t>eport on the case with a recommendation</w:t>
      </w:r>
      <w:r w:rsidR="008D0EA7" w:rsidRPr="00D06E2E">
        <w:rPr>
          <w:shd w:val="clear" w:color="auto" w:fill="FFFFFF"/>
          <w:vertAlign w:val="superscript"/>
          <w:lang w:val="sr-Latn-RS"/>
        </w:rPr>
        <w:footnoteReference w:id="189"/>
      </w:r>
      <w:r w:rsidRPr="00D06E2E">
        <w:rPr>
          <w:rFonts w:cs="Times New Roman"/>
          <w:lang w:val="sr-Latn-RS"/>
        </w:rPr>
        <w:t xml:space="preserve"> in which it was requested to determine the responsibility of the case leader due to negligent work contrary to the rules and norms of the profession. It was established that the case leader had knowledge that the foster mother was planning to go on vacation and that he did not take steps to assess the needs of the minor child, assess the capacity of the person who will take care of the minor child while the foster mother is away, as well as the adequacy of space, accommodation and services that will be provided to the child in the absence of the foster mother. By doing so, the Center did not comply with the principles of the best interest of the beneficiary, timeliness of social protection and availability, which are prescribed in Art. 26 and 29 of the Law on Social Protection</w:t>
      </w:r>
      <w:r w:rsidR="008D0EA7" w:rsidRPr="00D06E2E">
        <w:rPr>
          <w:rStyle w:val="FootnoteReference"/>
          <w:rFonts w:cs="Arial"/>
          <w:color w:val="000000"/>
          <w:spacing w:val="5"/>
          <w:shd w:val="clear" w:color="auto" w:fill="FFFFFF"/>
          <w:lang w:val="sr-Latn-RS"/>
        </w:rPr>
        <w:footnoteReference w:id="190"/>
      </w:r>
      <w:r w:rsidRPr="00D06E2E">
        <w:rPr>
          <w:rFonts w:cs="Times New Roman"/>
          <w:lang w:val="sr-Latn-RS"/>
        </w:rPr>
        <w:t>. After receiving the statement of the guardianship body, the Protector of Citizens stated that the recommendation was acted upon.</w:t>
      </w:r>
    </w:p>
    <w:p w14:paraId="4346B98A" w14:textId="77777777" w:rsidR="00B37F05" w:rsidRPr="00D06E2E" w:rsidRDefault="00B37F05" w:rsidP="00B37F05">
      <w:pPr>
        <w:pStyle w:val="CommentText"/>
        <w:spacing w:after="120" w:line="240" w:lineRule="auto"/>
        <w:jc w:val="both"/>
        <w:rPr>
          <w:rFonts w:ascii="Book Antiqua" w:eastAsia="Calibri" w:hAnsi="Book Antiqua" w:cs="Book Antiqua"/>
          <w:sz w:val="22"/>
          <w:szCs w:val="22"/>
          <w:lang w:val="sr-Latn-RS"/>
        </w:rPr>
      </w:pPr>
      <w:r w:rsidRPr="00D06E2E">
        <w:rPr>
          <w:rFonts w:ascii="Book Antiqua" w:eastAsia="Calibri" w:hAnsi="Book Antiqua" w:cs="Book Antiqua"/>
          <w:sz w:val="22"/>
          <w:szCs w:val="22"/>
          <w:lang w:val="sr-Latn-RS"/>
        </w:rPr>
        <w:t>Acting on his own initiative, the Protector of Citizens launched an examination procedure to assess the legality and regularity of the work of the City Center for Social Work Belgrade, and after learning from the media that a child who does not have a specific personal name, as well as personal ID number</w:t>
      </w:r>
      <w:r w:rsidRPr="00D06E2E">
        <w:rPr>
          <w:rStyle w:val="FootnoteReference"/>
          <w:rFonts w:eastAsia="Calibri" w:cs="Times New Roman"/>
          <w:sz w:val="22"/>
          <w:szCs w:val="22"/>
          <w:lang w:val="sr-Latn-RS"/>
        </w:rPr>
        <w:footnoteReference w:id="191"/>
      </w:r>
      <w:r w:rsidRPr="00D06E2E">
        <w:rPr>
          <w:rFonts w:ascii="Book Antiqua" w:eastAsia="Calibri" w:hAnsi="Book Antiqua" w:cs="Book Antiqua"/>
          <w:sz w:val="22"/>
          <w:szCs w:val="22"/>
          <w:lang w:val="sr-Latn-RS"/>
        </w:rPr>
        <w:t>, was admitted to the University Children's Clinic “Tiršova”. When children are not given personal names within the legal term of 30 days from the date of birth, according to Art. 344, paragraph 4 of the Family Law</w:t>
      </w:r>
      <w:r w:rsidRPr="00D06E2E">
        <w:rPr>
          <w:rStyle w:val="FootnoteReference"/>
          <w:rFonts w:eastAsia="Calibri" w:cs="Times New Roman"/>
          <w:sz w:val="22"/>
          <w:szCs w:val="22"/>
          <w:lang w:val="sr-Latn-RS"/>
        </w:rPr>
        <w:footnoteReference w:id="192"/>
      </w:r>
      <w:r w:rsidRPr="00D06E2E">
        <w:rPr>
          <w:rFonts w:ascii="Book Antiqua" w:eastAsia="Calibri" w:hAnsi="Book Antiqua" w:cs="Book Antiqua"/>
          <w:sz w:val="22"/>
          <w:szCs w:val="22"/>
          <w:lang w:val="sr-Latn-RS"/>
        </w:rPr>
        <w:t>, and in connection with Art. 54 of the Law on Civil Registry</w:t>
      </w:r>
      <w:r w:rsidRPr="00D06E2E">
        <w:rPr>
          <w:rStyle w:val="FootnoteReference"/>
          <w:rFonts w:eastAsia="Calibri" w:cs="Times New Roman"/>
          <w:sz w:val="22"/>
          <w:szCs w:val="22"/>
          <w:lang w:val="sr-Latn-RS"/>
        </w:rPr>
        <w:footnoteReference w:id="193"/>
      </w:r>
      <w:r w:rsidRPr="00D06E2E">
        <w:rPr>
          <w:rFonts w:ascii="Book Antiqua" w:eastAsia="Calibri" w:hAnsi="Book Antiqua" w:cs="Book Antiqua"/>
          <w:sz w:val="22"/>
          <w:szCs w:val="22"/>
          <w:lang w:val="sr-Latn-RS"/>
        </w:rPr>
        <w:t>, the guardianship authority becomes competent to determine the personal name. That is why the Protector of Citizens, in the sent report on the case with recommendations, asked the City Center for Social Work in Belgrade, Čukarica department, to issue a report on the determination of children's personal names as soon as possible and forward them to the registry offices for the purpose of determining the personal ID number and for issuing birth certificate</w:t>
      </w:r>
      <w:r w:rsidRPr="00D06E2E">
        <w:rPr>
          <w:rStyle w:val="FootnoteReference"/>
          <w:rFonts w:eastAsia="Calibri" w:cs="Times New Roman"/>
          <w:sz w:val="22"/>
          <w:szCs w:val="22"/>
          <w:lang w:val="sr-Latn-RS"/>
        </w:rPr>
        <w:footnoteReference w:id="194"/>
      </w:r>
      <w:r w:rsidRPr="00D06E2E">
        <w:rPr>
          <w:rFonts w:ascii="Book Antiqua" w:eastAsia="Calibri" w:hAnsi="Book Antiqua" w:cs="Book Antiqua"/>
          <w:sz w:val="22"/>
          <w:szCs w:val="22"/>
          <w:lang w:val="sr-Latn-RS"/>
        </w:rPr>
        <w:t>. By the end of the reporting period, the deadline for acting on the recommendations sent has not expired.</w:t>
      </w:r>
    </w:p>
    <w:p w14:paraId="0B48AA05" w14:textId="77777777" w:rsidR="00B37F05" w:rsidRPr="00D06E2E" w:rsidRDefault="00B37F05" w:rsidP="00B37F05">
      <w:pPr>
        <w:rPr>
          <w:rFonts w:cs="Times New Roman"/>
          <w:lang w:val="sr-Latn-RS"/>
        </w:rPr>
      </w:pPr>
      <w:r w:rsidRPr="00D06E2E">
        <w:rPr>
          <w:rFonts w:cs="Times New Roman"/>
          <w:lang w:val="sr-Latn-RS"/>
        </w:rPr>
        <w:t>Based on media reports that one of the employees sexually harassed children at the "Poletarac" Preschool in Odžaci during their stay in the kindergarten, the Protector of Citizens, in a proceeding on his own initiative, established that the institution's pedagogical assistant, due to the inadequate organization of work in the preschool, was in violation of the provisions of the employment contract and the Rulebook on pedagogical assistants and andragogic assistants</w:t>
      </w:r>
      <w:r w:rsidRPr="00D06E2E">
        <w:rPr>
          <w:rStyle w:val="FootnoteReference"/>
          <w:rFonts w:cs="Times New Roman"/>
          <w:lang w:val="sr-Latn-RS"/>
        </w:rPr>
        <w:footnoteReference w:id="195"/>
      </w:r>
      <w:r w:rsidRPr="00D06E2E">
        <w:rPr>
          <w:rFonts w:cs="Times New Roman"/>
          <w:lang w:val="sr-Latn-RS"/>
        </w:rPr>
        <w:t>, he performed work and tasks for which he was not authorized, which resulted in a violation of the prohibition from Article 111 of the Law on the Basics of the Education and Training System</w:t>
      </w:r>
      <w:r w:rsidRPr="00D06E2E">
        <w:rPr>
          <w:rStyle w:val="FootnoteReference"/>
          <w:rFonts w:cs="Times New Roman"/>
          <w:lang w:val="sr-Latn-RS"/>
        </w:rPr>
        <w:footnoteReference w:id="196"/>
      </w:r>
      <w:r w:rsidRPr="00D06E2E">
        <w:rPr>
          <w:rFonts w:cs="Times New Roman"/>
          <w:lang w:val="sr-Latn-RS"/>
        </w:rPr>
        <w:t>. Recommendations were sent to the pre-school institution to implement and make a decision in the initiated disciplinary procedure as soon as possible and to take all necessary measures in order to establish the normal functioning of the institution, which were fully acted upon</w:t>
      </w:r>
      <w:r w:rsidRPr="00D06E2E">
        <w:rPr>
          <w:rStyle w:val="FootnoteReference"/>
          <w:rFonts w:cs="Times New Roman"/>
          <w:lang w:val="sr-Latn-RS"/>
        </w:rPr>
        <w:footnoteReference w:id="197"/>
      </w:r>
      <w:r w:rsidRPr="00D06E2E">
        <w:rPr>
          <w:rFonts w:cs="Times New Roman"/>
          <w:lang w:val="sr-Latn-RS"/>
        </w:rPr>
        <w:t>.</w:t>
      </w:r>
    </w:p>
    <w:p w14:paraId="7DAF2ED8" w14:textId="77777777" w:rsidR="00B37F05" w:rsidRPr="00D06E2E" w:rsidRDefault="00B37F05" w:rsidP="00B37F05">
      <w:pPr>
        <w:rPr>
          <w:rFonts w:cs="Times New Roman"/>
          <w:lang w:val="sr-Latn-RS"/>
        </w:rPr>
      </w:pPr>
      <w:r w:rsidRPr="00D06E2E">
        <w:rPr>
          <w:rFonts w:cs="Times New Roman"/>
          <w:lang w:val="sr-Latn-RS"/>
        </w:rPr>
        <w:lastRenderedPageBreak/>
        <w:t>When it comes to the area of local self-government, as in the previous reporting period, the Protector of Citizens, as a rule, had good cooperation with the local self-government authorities during the control procedures of their work in dealing with complaints that required an urgent response, but the said authorities still in some cases avoid acting on the recommendations sent after the control procedures have been carried out.</w:t>
      </w:r>
    </w:p>
    <w:p w14:paraId="44A51B0A" w14:textId="77777777" w:rsidR="00B37F05" w:rsidRPr="00D06E2E" w:rsidRDefault="00B37F05" w:rsidP="00B37F05">
      <w:pPr>
        <w:rPr>
          <w:rFonts w:cs="Times New Roman"/>
          <w:lang w:val="sr-Latn-RS"/>
        </w:rPr>
      </w:pPr>
      <w:r w:rsidRPr="00D06E2E">
        <w:rPr>
          <w:rFonts w:cs="Times New Roman"/>
          <w:lang w:val="sr-Latn-RS"/>
        </w:rPr>
        <w:t>Acting on a complaint against the work of the Secretariat for Inspection Affairs of the City Administration of the City of Belgrade, in which it was stated that the Public Utility Company “Beogradski vodovod i kanalizacija” (Belgrade Water Supply and Sewerage), acting on the order of the municipal inspector of the Secretariat for Inspection Affairs, without warning or any notification, turned off supply of water to the facility where the complainant lives, the Protector of Citizens found deficiencies in the work of the aforementioned public company, consisting in the disconnection of the water connection for the complainant's facility from the water supply network, without previously informing her of the planned disconnection</w:t>
      </w:r>
      <w:r w:rsidRPr="00D06E2E">
        <w:rPr>
          <w:rStyle w:val="FootnoteReference"/>
          <w:rFonts w:cs="Times New Roman"/>
          <w:lang w:val="sr-Latn-RS"/>
        </w:rPr>
        <w:footnoteReference w:id="198"/>
      </w:r>
      <w:r w:rsidRPr="00D06E2E">
        <w:rPr>
          <w:rFonts w:cs="Times New Roman"/>
          <w:lang w:val="sr-Latn-RS"/>
        </w:rPr>
        <w:t xml:space="preserve">. Acting on the recommendations of the Protector of Citizens to eliminate irregularities, the competent Disconnection Service of the Public Utility Company “Beogradski vodovod i kanalizacija” carried out the restoration of the water connection at the complainant's address. In the same control procedure, the Protector of Citizens found deficiencies in the work of the Secretariat for Inspection Affairs of the City Administration of the City of Belgrade, which consist in the failure to inform the complainant about the progress of the inspection supervision procedure over the work of the aforementioned public company, as well as the failure to provide the complainant with the decision by which it was decided to disconnect her water connection from water supply networks. Recommendations were sent to the Secretariat for Inspection, Supervision and Communication of the City Administration of the City of Belgrade to annul its decisions related to the disconnection of the complainant's building from the water supply network and to re-conduct the procedure of inspection supervision over the work of the Public Utility Company “Beogradski vodovod i kanalizacija”, during which the complainants will allow to get acquainted with the established factual situation, as well as to make a statement about it. The Secretariat for Inspection Affairs fully acted upon the recommendations sent. </w:t>
      </w:r>
    </w:p>
    <w:p w14:paraId="0D0B312B" w14:textId="77777777" w:rsidR="00B37F05" w:rsidRPr="00D06E2E" w:rsidRDefault="00B37F05" w:rsidP="00B37F05">
      <w:pPr>
        <w:rPr>
          <w:rFonts w:cs="Times New Roman"/>
          <w:lang w:val="sr-Latn-RS"/>
        </w:rPr>
      </w:pPr>
      <w:r w:rsidRPr="00D06E2E">
        <w:rPr>
          <w:rFonts w:cs="Times New Roman"/>
          <w:lang w:val="sr-Latn-RS"/>
        </w:rPr>
        <w:t>In the process of controlling the work of the Department for Urban Planning and Property Legal Affairs of the Municipal Administration of the Municipality of Čajetina, the Protector of Citizens established that the administrative authority acted untimely in the repeated procedure for issuing a building permit for the extension of a residential building in the populated place of Zlatibor, allowing more than a year to pass from passing the decision of the first-instance authority, which allows the repetition of the administrative procedure until the decision is made in the repeated procedure</w:t>
      </w:r>
      <w:r w:rsidRPr="00D06E2E">
        <w:rPr>
          <w:rStyle w:val="FootnoteReference"/>
          <w:rFonts w:cs="Times New Roman"/>
          <w:lang w:val="sr-Latn-RS"/>
        </w:rPr>
        <w:footnoteReference w:id="199"/>
      </w:r>
      <w:r w:rsidRPr="00D06E2E">
        <w:rPr>
          <w:rFonts w:cs="Times New Roman"/>
          <w:lang w:val="sr-Latn-RS"/>
        </w:rPr>
        <w:t>. The lack of timeliness in the actions of the Department of Urban Planning and Property Legal Affairs resulted in legal uncertainty and great property damage caused to the applicant for the issuance of a building permit. Recommendations were sent to the municipal administration of the municipality of Čajetina, which were acted upon.</w:t>
      </w:r>
    </w:p>
    <w:p w14:paraId="0169ECA2" w14:textId="77777777" w:rsidR="00B37F05" w:rsidRPr="00D06E2E" w:rsidRDefault="00B37F05" w:rsidP="00B37F05">
      <w:pPr>
        <w:rPr>
          <w:rFonts w:cs="Times New Roman"/>
          <w:lang w:val="sr-Latn-RS"/>
        </w:rPr>
      </w:pPr>
      <w:r w:rsidRPr="00D06E2E">
        <w:rPr>
          <w:rFonts w:cs="Times New Roman"/>
          <w:lang w:val="sr-Latn-RS"/>
        </w:rPr>
        <w:t>Acting on complaints in the field of construction and infrastructure, the Protector of Citizens noticed failures in the work of certain local self-governments, which are reflected in a gross violation of the provisions of Article 29, paragraph 4 of the Law on General Administrative Procedure</w:t>
      </w:r>
      <w:r w:rsidRPr="00D06E2E">
        <w:rPr>
          <w:rStyle w:val="FootnoteReference"/>
          <w:rFonts w:cs="Times New Roman"/>
          <w:lang w:val="sr-Latn-RS"/>
        </w:rPr>
        <w:footnoteReference w:id="200"/>
      </w:r>
      <w:r w:rsidRPr="00D06E2E">
        <w:rPr>
          <w:rFonts w:cs="Times New Roman"/>
          <w:lang w:val="sr-Latn-RS"/>
        </w:rPr>
        <w:t xml:space="preserve">. Although the aforementioned legal provision expressly stipulates that the authorities issue to the parties, upon oral or written request, certificates and other documents </w:t>
      </w:r>
      <w:r w:rsidRPr="00D06E2E">
        <w:rPr>
          <w:rFonts w:cs="Times New Roman"/>
          <w:lang w:val="sr-Latn-RS"/>
        </w:rPr>
        <w:lastRenderedPageBreak/>
        <w:t>(certificates, confirmations, etc.) about the facts of which they keep official records in accordance with the law, and as a rule, on the same day as the party submitted a request, and within eight days at the latest, i.e. that the party's request for the issuance of a certificate and other documents can be rejected by a decision, the City Administration for Construction of the City of Niš and the City Administration of the City of Belgrade did not issue the required certificate or pass a decision rejecting the party's request for by issuing the certificate, they only sent a notification that it is not possible to issue a certificate. By submitting a notification instead of a decision on the rejection of a request for the issuance of a certificate, citizens are denied the right to legal instruction, and thus the right to a legal remedy. Failure to make and submit a decision can mislead the applicant, who is an ignorant party, that he does not have the possibility to review the decision of the administrative body, first of all through regular, but also extraordinary legal means. In this regard, the Protector of Citizens sent a report on the case with recommendations to the City Administration for Construction of the City of Niš</w:t>
      </w:r>
      <w:r w:rsidRPr="00D06E2E">
        <w:rPr>
          <w:rStyle w:val="FootnoteReference"/>
          <w:rFonts w:cs="Times New Roman"/>
          <w:lang w:val="sr-Latn-RS"/>
        </w:rPr>
        <w:footnoteReference w:id="201"/>
      </w:r>
      <w:r w:rsidRPr="00D06E2E">
        <w:rPr>
          <w:rFonts w:cs="Times New Roman"/>
          <w:lang w:val="sr-Latn-RS"/>
        </w:rPr>
        <w:t xml:space="preserve"> and the City Administration of the City of Belgrade</w:t>
      </w:r>
      <w:r w:rsidRPr="00D06E2E">
        <w:rPr>
          <w:rStyle w:val="FootnoteReference"/>
          <w:rFonts w:cs="Times New Roman"/>
          <w:lang w:val="sr-Latn-RS"/>
        </w:rPr>
        <w:footnoteReference w:id="202"/>
      </w:r>
      <w:r w:rsidRPr="00D06E2E">
        <w:rPr>
          <w:rFonts w:cs="Times New Roman"/>
          <w:lang w:val="sr-Latn-RS"/>
        </w:rPr>
        <w:t>. In both cases, the competent authorities declared, without a relevant legal basis, that they would not act on the recommendations of the Protector of Citizens.</w:t>
      </w:r>
    </w:p>
    <w:p w14:paraId="57A7A432" w14:textId="77777777" w:rsidR="00B37F05" w:rsidRPr="00D06E2E" w:rsidRDefault="00B37F05" w:rsidP="00B37F05">
      <w:pPr>
        <w:rPr>
          <w:rFonts w:cs="Times New Roman"/>
          <w:lang w:val="sr-Latn-RS"/>
        </w:rPr>
      </w:pPr>
      <w:r w:rsidRPr="00D06E2E">
        <w:rPr>
          <w:rFonts w:cs="Times New Roman"/>
          <w:lang w:val="sr-Latn-RS"/>
        </w:rPr>
        <w:t>The recommendations of the Protector of Citizens were not acted upon in the procedure initiated following a complaint about the action of the City Administration of the City of Belgrade in accordance with the complainant's requests to solve the problem with the burst sewer pipe in the residential building where she lives in New Belgrade. After the control procedure was carried out, the Protector of Citizens determined that neither the City Municipality of New Belgrade, the Administration of the City Municipality, the Department for Inspection Affairs, the Department of Municipal Inspection nor the City of Belgrade, the City Administration of the City of Belgrade, the Secretariat for Inspection, Supervision and Communication, the Sector for Construction and Urban Planning inspection supervision did not undertake any activities to repair the burst sewer pipe in the complainant's residential building, despite the fact that the complainant addressed both administrative authorities, which is why the Protector of Citizens sent a report with a recommendation that the City Administration of the City of Belgrade organize the undertaking of all necessary works in order to prevent harmful consequences for people's life and health</w:t>
      </w:r>
      <w:r w:rsidRPr="00D06E2E">
        <w:rPr>
          <w:rStyle w:val="FootnoteReference"/>
          <w:rFonts w:cs="Times New Roman"/>
          <w:lang w:val="sr-Latn-RS"/>
        </w:rPr>
        <w:footnoteReference w:id="203"/>
      </w:r>
      <w:r w:rsidRPr="00D06E2E">
        <w:rPr>
          <w:rFonts w:cs="Times New Roman"/>
          <w:lang w:val="sr-Latn-RS"/>
        </w:rPr>
        <w:t>.</w:t>
      </w:r>
    </w:p>
    <w:p w14:paraId="5552E57C" w14:textId="77777777" w:rsidR="00B37F05" w:rsidRPr="00D06E2E" w:rsidRDefault="00B37F05" w:rsidP="00B37F05">
      <w:pPr>
        <w:rPr>
          <w:rFonts w:cs="Times New Roman"/>
          <w:lang w:val="sr-Latn-RS"/>
        </w:rPr>
      </w:pPr>
      <w:r w:rsidRPr="00D06E2E">
        <w:rPr>
          <w:rFonts w:cs="Times New Roman"/>
          <w:lang w:val="sr-Latn-RS"/>
        </w:rPr>
        <w:t>Also, the Protector of Citizens led the control procedure due to the failure of the Secretariat for Inspection, Supervision and Communication of the City Administration of the City of Belgrade to respond to a fire hazard report sent to him by the Department for Emergency Situations of the Ministry of Interior, which refers to a residential building on the territory of the City Čukarica municipality. Despite several urgencies, the Secretariat for Inspection, Supervision and Communication of the City Administration of the City of Belgrade did not submit the requested statement on the allegations of the complaint, which violated the obligation to cooperate with the Protector of Citizens. The Secretariat for Inspection, Supervision and Communication of the City Administration of the City of Belgrade was requested to carry out an inspection as soon as possible in order to determine whether there is a risk of a fire breaking out in the residential building in question, as well as to take urgent fire protection measures if the need arises</w:t>
      </w:r>
      <w:r w:rsidRPr="00D06E2E">
        <w:rPr>
          <w:rStyle w:val="FootnoteReference"/>
          <w:rFonts w:cs="Times New Roman"/>
          <w:lang w:val="sr-Latn-RS"/>
        </w:rPr>
        <w:footnoteReference w:id="204"/>
      </w:r>
      <w:r w:rsidRPr="00D06E2E">
        <w:rPr>
          <w:rFonts w:cs="Times New Roman"/>
          <w:lang w:val="sr-Latn-RS"/>
        </w:rPr>
        <w:t>. The Secretariat for Inspection, Supervision and Communication of the City Administration of the City of Belgrade did not act on the recommendations sent.</w:t>
      </w:r>
    </w:p>
    <w:p w14:paraId="683AAAC0" w14:textId="77777777" w:rsidR="00B37F05" w:rsidRPr="00D06E2E" w:rsidRDefault="00B37F05" w:rsidP="00B37F05">
      <w:pPr>
        <w:rPr>
          <w:rFonts w:cs="Times New Roman"/>
          <w:lang w:val="sr-Latn-RS"/>
        </w:rPr>
      </w:pPr>
      <w:r w:rsidRPr="00D06E2E">
        <w:rPr>
          <w:rFonts w:cs="Times New Roman"/>
          <w:lang w:val="sr-Latn-RS"/>
        </w:rPr>
        <w:lastRenderedPageBreak/>
        <w:t>When it comes to the real estate cadastre, in addition to the usual problems related to untimely and non-up-to-date actions of the real estate cadastre services, in 2023, in this area, in certain cases, the problem of communication with citizens appeared. Acting on the submitted complaint, the Protector of Citizens found deficiencies in the work of the Republic Geodetic Institute, which consisted in the adoption of an act which limited the possibility of oral communication between the parties to the proceedings and employees of the real estate cadastre services and the departments for the land cadastre, and that for such an act no appropriate legal basis was specified nor was it adopted in the form prescribed by law. In the report of the Protector of Citizens, the Institute was asked to annul the contested act</w:t>
      </w:r>
      <w:r w:rsidRPr="00D06E2E">
        <w:rPr>
          <w:rStyle w:val="FootnoteReference"/>
          <w:rFonts w:cs="Times New Roman"/>
          <w:lang w:val="sr-Latn-RS"/>
        </w:rPr>
        <w:footnoteReference w:id="205"/>
      </w:r>
      <w:r w:rsidRPr="00D06E2E">
        <w:rPr>
          <w:rFonts w:cs="Times New Roman"/>
          <w:lang w:val="sr-Latn-RS"/>
        </w:rPr>
        <w:t>. A recommendation was sent to the Director of the Republic Geodetic Institute that in the future, when adopting acts regulating the way of work, actions and behavior of employees in this state administration body, he should do so in the form of directives. It was also noted that it is necessary that the Republic Geodetic Institute, when passing acts regulating the way of work, actions and behavior of the Institute's employees, must always make sure that the mentioned regulations do not endanger or hinder the realization of the rights or legal interests of the parties in administrative proceedings conducted before this state administration body. The Republic Geodetic Institute fully complied with the recommendations sent.</w:t>
      </w:r>
    </w:p>
    <w:p w14:paraId="2DB56663" w14:textId="77777777" w:rsidR="00B37F05" w:rsidRPr="00D06E2E" w:rsidRDefault="00B37F05" w:rsidP="00B37F05">
      <w:pPr>
        <w:rPr>
          <w:rFonts w:cs="Times New Roman"/>
          <w:lang w:val="sr-Latn-RS"/>
        </w:rPr>
      </w:pPr>
      <w:r w:rsidRPr="00D06E2E">
        <w:rPr>
          <w:rFonts w:cs="Times New Roman"/>
          <w:lang w:val="sr-Latn-RS"/>
        </w:rPr>
        <w:t>When it comes to the area of internal affairs, the Protector of Citizens continued in the reporting period with the work control procedure initiated after receiving information about the unfavorable position and possible violation of the rights and freedoms of workers from Vietnam working on the construction of the “Linglong” tire processing factory in Zrenjanin. On the basis of information collected through direct supervision of the work of administrative authorities and from the obtained documentation, the Protector of Citizens published a report on the case with recommendations, in which he stated that he could not establish irregularities and illegalities in the acts and actions of the Ministry of Interior, the Ministry of Labour, Employment, Veterans and Social Policy and the Center for the Protection of Victims of Human Trafficking. However, given the established facts and circumstances regarding the living and working conditions of workers from Vietnam during their stay in the Republic of Serbia and the data on the number of workers from Vietnam who worked illegally on the territory of the Republic of Serbia for a certain period of time, and for which the responsible authorities took measures within their jurisdiction, the Protector of Citizens sent a report with recommendations to the aforementioned administrative authorities in order to improve their work and prevent similar situations in the future</w:t>
      </w:r>
      <w:r w:rsidRPr="00D06E2E">
        <w:rPr>
          <w:rStyle w:val="FootnoteReference"/>
          <w:rFonts w:cs="Times New Roman"/>
          <w:lang w:val="sr-Latn-RS"/>
        </w:rPr>
        <w:footnoteReference w:id="206"/>
      </w:r>
      <w:r w:rsidRPr="00D06E2E">
        <w:rPr>
          <w:rFonts w:cs="Times New Roman"/>
          <w:lang w:val="sr-Latn-RS"/>
        </w:rPr>
        <w:t>. The Protector of Citizens notes that the Ministry of Interior, the Ministry of Labour, Employment, Veterans and Social Policy and the Center for the Protection of Human Trafficking acted according to five recommendations sent, while this independent state body monitors the actions of the Ministry of Labour, Employment, Veterans and Social Policy according to one of the sent recommendations, which refers to strengthening the capacity and role of labour inspectors in the fight against human trafficking and the prevention of human trafficking for the purpose of labour exploitation.</w:t>
      </w:r>
    </w:p>
    <w:p w14:paraId="2325A741" w14:textId="77777777" w:rsidR="00B37F05" w:rsidRPr="00D06E2E" w:rsidRDefault="00B37F05" w:rsidP="00B37F05">
      <w:pPr>
        <w:rPr>
          <w:rFonts w:cs="Times New Roman"/>
          <w:lang w:val="sr-Latn-RS"/>
        </w:rPr>
      </w:pPr>
      <w:r w:rsidRPr="00D06E2E">
        <w:rPr>
          <w:rFonts w:cs="Times New Roman"/>
          <w:lang w:val="sr-Latn-RS"/>
        </w:rPr>
        <w:t xml:space="preserve">Acting on the basis of information received from several civil society organizations that police officers in Majdanpek are carrying out continuous physical and psychological torture against persons who are citizens of Majdanpek and activists of the local environmental movement due to suspicion of involvement in the incident on the Starica Mounting during which there was destruction equipment of a foreign investor and endangering the life of a worker from </w:t>
      </w:r>
      <w:r w:rsidRPr="00D06E2E">
        <w:rPr>
          <w:rFonts w:cs="Times New Roman"/>
          <w:lang w:val="sr-Latn-RS"/>
        </w:rPr>
        <w:lastRenderedPageBreak/>
        <w:t>China, the Protector of Citizens, on his own initiative, carried out immediate supervision of the work of the Ministry of Interior, the Police Directorate, the Bor Police Department, and the Majdanpek Police Station. Several deficiencies in the work were determined, the most serious of which was that police officers inflicted multiple physical injuries on one detained person during his stay at the police station in order to collect information from citizens</w:t>
      </w:r>
      <w:r w:rsidRPr="00D06E2E">
        <w:rPr>
          <w:rStyle w:val="FootnoteReference"/>
          <w:rFonts w:cs="Times New Roman"/>
          <w:lang w:val="sr-Latn-RS"/>
        </w:rPr>
        <w:footnoteReference w:id="207"/>
      </w:r>
      <w:r w:rsidRPr="00D06E2E">
        <w:rPr>
          <w:rFonts w:cs="Times New Roman"/>
          <w:lang w:val="sr-Latn-RS"/>
        </w:rPr>
        <w:t>. In addition, it was established that the police officers searched the apartment and other premises of another citizen in the presence of only one witness, although the Code of Criminal Procedure</w:t>
      </w:r>
      <w:r w:rsidRPr="00D06E2E">
        <w:rPr>
          <w:rStyle w:val="FootnoteReference"/>
          <w:rFonts w:cs="Times New Roman"/>
          <w:lang w:val="sr-Latn-RS"/>
        </w:rPr>
        <w:footnoteReference w:id="208"/>
      </w:r>
      <w:r w:rsidRPr="00D06E2E">
        <w:rPr>
          <w:rFonts w:cs="Times New Roman"/>
          <w:lang w:val="sr-Latn-RS"/>
        </w:rPr>
        <w:t xml:space="preserve"> expressly stipulates that the search must be attended by two adult citizens as witnesses and that the police officers attended the medical examinations of detained persons in the Health Center in Majdanpek and the General Hospital in Negotin, although they did not receive such a request from the doctor. Recommendations were sent to the Ministry of Interior, which were fully acted upon.</w:t>
      </w:r>
    </w:p>
    <w:p w14:paraId="768E206F" w14:textId="77777777" w:rsidR="00B37F05" w:rsidRPr="00D06E2E" w:rsidRDefault="00B37F05" w:rsidP="00B37F05">
      <w:pPr>
        <w:rPr>
          <w:rFonts w:cs="Times New Roman"/>
          <w:lang w:val="sr-Latn-RS"/>
        </w:rPr>
      </w:pPr>
      <w:r w:rsidRPr="00D06E2E">
        <w:rPr>
          <w:rFonts w:cs="Times New Roman"/>
          <w:lang w:val="sr-Latn-RS"/>
        </w:rPr>
        <w:t>In the field of education, the year 2023 was particularly challenging, which was reflected in the number of complaints that the Protector of Citizens received and which were dealt with without delay. Apart from the issue of safety in schools and preschool institutions and peer violence as primary problems, the Protector of Citizens also acted on complaints that parents pointed to the inadequate way of organizing and implementing recreational classes and excursions by schools. The control procedure over the work of the Ministry of Education indicated the existence of a systemic problem and the need for additional by-law regulation of this matter with intersectoral cooperation, with the aim of ensuring a greater degree of protection of the health and safety of children when organizing recreational classes and excursions. The procedure is still ongoing.</w:t>
      </w:r>
    </w:p>
    <w:p w14:paraId="457F2887" w14:textId="77777777" w:rsidR="00B37F05" w:rsidRPr="00D06E2E" w:rsidRDefault="00B37F05" w:rsidP="00B37F05">
      <w:pPr>
        <w:rPr>
          <w:rFonts w:cs="Times New Roman"/>
          <w:lang w:val="sr-Latn-RS"/>
        </w:rPr>
      </w:pPr>
      <w:r w:rsidRPr="00D06E2E">
        <w:rPr>
          <w:rFonts w:cs="Times New Roman"/>
          <w:lang w:val="sr-Latn-RS"/>
        </w:rPr>
        <w:t>Acting on a citizen's complaint about the work of the Ministry of Education, the Protector of Citizens determined that the educational inspectors, who were supervising the work of the Faculty of Medicine of the University of Belgrade, failed to investigate the allegations from the citizen's application that the exams in the subjects Microbiology and Clinical Microbiology were organized and conducted illegally i.e. incorrectly</w:t>
      </w:r>
      <w:r w:rsidRPr="00D06E2E">
        <w:rPr>
          <w:rStyle w:val="FootnoteReference"/>
          <w:rFonts w:cs="Times New Roman"/>
          <w:lang w:val="sr-Latn-RS"/>
        </w:rPr>
        <w:footnoteReference w:id="209"/>
      </w:r>
      <w:r w:rsidRPr="00D06E2E">
        <w:rPr>
          <w:rFonts w:cs="Times New Roman"/>
          <w:lang w:val="sr-Latn-RS"/>
        </w:rPr>
        <w:t>. In the recommendations sent to the Ministry of Education, it was requested to carry out a new inspection of the work of the Faculty of Medicine of the University of Belgrade in order to determine the circumstances of the organization and passing of examinations in the subjects of Microbiology and Clinical Microbiology, during the implementation of which the Republic's educational inspectors should pay particular attention to whether the examinations from the mentioned cases are carried out in accordance with the binding norms from articles 33-40 of the Rulebook on the organization and performance of integrated academic studies for obtaining the title of Doctor of Medicine. From the statements received, it follows that the Ministry of Education acted on the recommendations of the Protector of Citizens in the part that refers to the re-implementation of supervision over the work of the Faculty of Medicine of the University of Belgrade and informing the Protector of Citizens of the results of the supervision, but did not act on the recommendation related to the organization and conduct of examinations from the subjects Microbiology and Clinical Microbiology.</w:t>
      </w:r>
    </w:p>
    <w:p w14:paraId="3A429397" w14:textId="38799637" w:rsidR="00B37F05" w:rsidRPr="00D06E2E" w:rsidRDefault="00B37F05" w:rsidP="00B37F05">
      <w:pPr>
        <w:rPr>
          <w:rFonts w:cs="Times New Roman"/>
          <w:lang w:val="sr-Latn-RS"/>
        </w:rPr>
      </w:pPr>
      <w:r w:rsidRPr="00D06E2E">
        <w:rPr>
          <w:rFonts w:cs="Times New Roman"/>
          <w:lang w:val="sr-Latn-RS"/>
        </w:rPr>
        <w:t xml:space="preserve">In the field of construction and infrastructure, the Protector of Citizens acted on a complaint from a citizen who addressed the Ministry of Construction, Transport and Infrastructure, requesting that this authority take measures within its competence against the Joint-Stock Company for the Management of Public Railway Infrastructure “Infrastruktura železnice Srbije” (“Railway Infrastructure of Serbia”) because it unjustifiably rejected his request for </w:t>
      </w:r>
      <w:r w:rsidRPr="00D06E2E">
        <w:rPr>
          <w:rFonts w:cs="Times New Roman"/>
          <w:lang w:val="sr-Latn-RS"/>
        </w:rPr>
        <w:lastRenderedPageBreak/>
        <w:t>consent for the legalization of illegally built buildings in the protective railway belt. In the control procedure carried out, it was established that the Ministry of Construction, Transport and Infrastructure ignored the allegations of the complainant that many other legal entities and individuals received consent for the construction, i.e. the legalization of constructed facilities in the infrastructure zone on the territory of the city of Kraljevo, building in some cases facilities in the railway zone at less than five meters from the axis of the end tracks. The Protector of Citizens sent a report on the case with recommendations to the Ministry of Construction, Transport and Infrastructure, which was requested to supervise the work of the Joint-Stock Company for the Management of Public Railway Infrastructure "Railway Infrastructure of Serbia" through the Republic Inspectors for Railway Traffic, in order to determine whether it correctly applies the regulations for the railway, infrastructural and protective railway belt in the territory of the city of Kraljevo</w:t>
      </w:r>
      <w:r w:rsidR="00A02F87" w:rsidRPr="00D06E2E">
        <w:rPr>
          <w:rStyle w:val="FootnoteReference"/>
          <w:rFonts w:cs="Times New Roman"/>
          <w:lang w:val="sr-Latn-RS"/>
        </w:rPr>
        <w:footnoteReference w:id="210"/>
      </w:r>
      <w:r w:rsidRPr="00D06E2E">
        <w:rPr>
          <w:rFonts w:cs="Times New Roman"/>
          <w:lang w:val="sr-Latn-RS"/>
        </w:rPr>
        <w:t>. The Ministry did not act on the recommendations sent.</w:t>
      </w:r>
    </w:p>
    <w:p w14:paraId="2724EBD0" w14:textId="77777777" w:rsidR="00B37F05" w:rsidRPr="00D06E2E" w:rsidRDefault="00B37F05" w:rsidP="00B37F05">
      <w:pPr>
        <w:rPr>
          <w:lang w:val="sr-Latn-RS"/>
        </w:rPr>
      </w:pPr>
    </w:p>
    <w:p w14:paraId="4E7749E0" w14:textId="77777777" w:rsidR="00B37F05" w:rsidRPr="00D06E2E" w:rsidRDefault="00B37F05" w:rsidP="00B37F05">
      <w:pPr>
        <w:spacing w:after="0"/>
        <w:jc w:val="left"/>
        <w:rPr>
          <w:lang w:val="sr-Latn-RS"/>
        </w:rPr>
      </w:pPr>
      <w:r w:rsidRPr="00D06E2E">
        <w:rPr>
          <w:lang w:val="sr-Latn-RS"/>
        </w:rPr>
        <w:br w:type="page"/>
      </w:r>
    </w:p>
    <w:p w14:paraId="515A02DF" w14:textId="77777777" w:rsidR="00B37F05" w:rsidRPr="00D06E2E" w:rsidRDefault="00B37F05" w:rsidP="00B37F05">
      <w:pPr>
        <w:pStyle w:val="Heading1"/>
        <w:spacing w:before="0" w:after="0"/>
        <w:rPr>
          <w:caps w:val="0"/>
          <w:lang w:val="sr-Latn-RS"/>
        </w:rPr>
      </w:pPr>
      <w:r w:rsidRPr="00D06E2E">
        <w:rPr>
          <w:lang w:val="sr-Latn-RS"/>
        </w:rPr>
        <w:lastRenderedPageBreak/>
        <w:t>cooperation by the protector of citizens</w:t>
      </w:r>
    </w:p>
    <w:p w14:paraId="052CFF74" w14:textId="77777777" w:rsidR="00B37F05" w:rsidRPr="00D06E2E" w:rsidRDefault="00B37F05" w:rsidP="00B37F05">
      <w:pPr>
        <w:spacing w:after="0"/>
        <w:rPr>
          <w:lang w:val="sr-Latn-RS"/>
        </w:rPr>
      </w:pPr>
    </w:p>
    <w:p w14:paraId="2A50C1D6" w14:textId="77777777" w:rsidR="00B37F05" w:rsidRPr="00D06E2E" w:rsidRDefault="00B37F05" w:rsidP="00B37F05">
      <w:pPr>
        <w:pStyle w:val="Heading2"/>
        <w:spacing w:before="0"/>
        <w:rPr>
          <w:lang w:val="sr-Latn-RS"/>
        </w:rPr>
      </w:pPr>
      <w:r w:rsidRPr="00D06E2E">
        <w:rPr>
          <w:lang w:val="sr-Latn-RS"/>
        </w:rPr>
        <w:t>cooperation with the public authorities excluded from the oversight of the protector of citizens</w:t>
      </w:r>
    </w:p>
    <w:p w14:paraId="7728E729" w14:textId="77777777" w:rsidR="00B37F05" w:rsidRPr="00D06E2E" w:rsidRDefault="00B37F05" w:rsidP="00B37F05">
      <w:pPr>
        <w:spacing w:after="0"/>
        <w:rPr>
          <w:lang w:val="sr-Latn-RS"/>
        </w:rPr>
      </w:pPr>
      <w:r w:rsidRPr="00D06E2E">
        <w:rPr>
          <w:lang w:val="sr-Latn-RS"/>
        </w:rPr>
        <w:t>The National Assembly did not consider the Regular Annual Report of the Protector of Citizens for 2022 until the end of the reporting period.</w:t>
      </w:r>
    </w:p>
    <w:p w14:paraId="7739077A" w14:textId="77777777" w:rsidR="00B37F05" w:rsidRPr="00D06E2E" w:rsidRDefault="00B37F05" w:rsidP="00B37F05">
      <w:pPr>
        <w:spacing w:after="0"/>
        <w:rPr>
          <w:sz w:val="10"/>
          <w:szCs w:val="10"/>
          <w:lang w:val="sr-Latn-RS"/>
        </w:rPr>
      </w:pPr>
    </w:p>
    <w:p w14:paraId="61E0CFA0" w14:textId="77777777" w:rsidR="00B37F05" w:rsidRPr="00D06E2E" w:rsidRDefault="00B37F05" w:rsidP="00B37F05">
      <w:pPr>
        <w:spacing w:after="0"/>
        <w:rPr>
          <w:lang w:val="sr-Latn-RS"/>
        </w:rPr>
      </w:pPr>
      <w:r w:rsidRPr="00D06E2E">
        <w:rPr>
          <w:lang w:val="sr-Latn-RS"/>
        </w:rPr>
        <w:t>The regular annual report of the Protector of Citizens for 2021 was discussed at the Second Extraordinary Session of the National Assembly of the Republic of Serbia on February 24, 2023. On the day of voting, February 27, 2023, the National Assembly adopted the Proposed Conclusion regarding the consideration of the Regular Annual Report of the Protector of Citizens for 2021 submitted by the Committee for Justice, State Administration and Local Self-Government and the Committee on Human and Minority Rights and Gender Equality.</w:t>
      </w:r>
    </w:p>
    <w:p w14:paraId="088A1428" w14:textId="77777777" w:rsidR="00B37F05" w:rsidRPr="00D06E2E" w:rsidRDefault="00B37F05" w:rsidP="00B37F05">
      <w:pPr>
        <w:spacing w:after="0"/>
        <w:rPr>
          <w:lang w:val="sr-Latn-RS"/>
        </w:rPr>
      </w:pPr>
    </w:p>
    <w:p w14:paraId="3433ECA4" w14:textId="77777777" w:rsidR="00B37F05" w:rsidRPr="00D06E2E" w:rsidRDefault="00B37F05" w:rsidP="00B37F05">
      <w:pPr>
        <w:pStyle w:val="Heading2"/>
        <w:spacing w:before="0"/>
        <w:rPr>
          <w:lang w:val="sr-Latn-RS"/>
        </w:rPr>
      </w:pPr>
      <w:r w:rsidRPr="00D06E2E">
        <w:rPr>
          <w:lang w:val="sr-Latn-RS"/>
        </w:rPr>
        <w:t>international cooperation and projects</w:t>
      </w:r>
    </w:p>
    <w:p w14:paraId="470A2C90" w14:textId="77777777" w:rsidR="00B37F05" w:rsidRPr="00D06E2E" w:rsidRDefault="00B37F05" w:rsidP="00B37F05">
      <w:pPr>
        <w:rPr>
          <w:lang w:val="sr-Latn-RS"/>
        </w:rPr>
      </w:pPr>
      <w:r w:rsidRPr="00D06E2E">
        <w:rPr>
          <w:lang w:val="sr-Latn-RS"/>
        </w:rPr>
        <w:t>Since 2010, the Protector of Citizens has enjoyed the prestigious position of a national institution for human rights in the highest “A” status, which was also confirmed in October 2021, when the Accreditation Subcommittee of the Global Alliance of National Institutions for Human Rights reaccredited the Protector of Citizens as a national institution for human rights in “A” status.</w:t>
      </w:r>
    </w:p>
    <w:p w14:paraId="6C5C7A1C" w14:textId="77777777" w:rsidR="00B37F05" w:rsidRPr="00D06E2E" w:rsidRDefault="00B37F05" w:rsidP="00B37F05">
      <w:pPr>
        <w:rPr>
          <w:rFonts w:eastAsiaTheme="minorHAnsi" w:cstheme="minorBidi"/>
          <w:lang w:val="sr-Latn-RS"/>
        </w:rPr>
      </w:pPr>
      <w:r w:rsidRPr="00D06E2E">
        <w:rPr>
          <w:rFonts w:eastAsiaTheme="minorHAnsi" w:cstheme="minorBidi"/>
          <w:lang w:val="sr-Latn-RS"/>
        </w:rPr>
        <w:t>In accordance with its reputation and recognition in the international field of protection and promotion of human rights, the Protector of Citizens continued to maintain fruitful regional and international cooperation on a bilateral and multilateral level with relevant partners in the field of human rights protection as well as with representatives of international and regional organizations.</w:t>
      </w:r>
    </w:p>
    <w:p w14:paraId="32C5704B" w14:textId="77777777" w:rsidR="00B37F05" w:rsidRPr="00D06E2E" w:rsidRDefault="00B37F05" w:rsidP="00B37F05">
      <w:pPr>
        <w:rPr>
          <w:lang w:val="sr-Latn-RS"/>
        </w:rPr>
      </w:pPr>
      <w:r w:rsidRPr="00D06E2E">
        <w:rPr>
          <w:lang w:val="sr-Latn-RS"/>
        </w:rPr>
        <w:t>In addition to membership in the Global Alliance of National Human Rights Institutions (GANHRI), the Protector of Citizens is a member of the European Network of National Human Rights Institutions (ENNHRI), the International Ombudsman Institute (IOI), the Association of Mediterranean Ombudsmen (AOM), the European Network of Ombudsmen (ENO), the European Network of Ombudsmen for Children (ENOC), the Network of Ombudsmen for Children in South-East Europe (CRONSEE), the Network of Ombudsmen for Environmental Protection and the Eurasian Alliance of Ombudsmen (EOA).</w:t>
      </w:r>
    </w:p>
    <w:p w14:paraId="5B71CB48" w14:textId="77777777" w:rsidR="00B37F05" w:rsidRPr="00D06E2E" w:rsidRDefault="00B37F05" w:rsidP="00B37F05">
      <w:pPr>
        <w:rPr>
          <w:lang w:val="sr-Latn-RS"/>
        </w:rPr>
      </w:pPr>
      <w:r w:rsidRPr="00D06E2E">
        <w:rPr>
          <w:lang w:val="sr-Latn-RS"/>
        </w:rPr>
        <w:t>As a part of the activities of expert networks, the Protector of Citizens Zoran Pašalić, M.Sc. had the opportunity to introduce the members of the Eurasian Alliance of Ombudsmen to the protection of human rights in the field of healthcare and medical aid in the Republic of Serbia in October 2023, in an online format.</w:t>
      </w:r>
    </w:p>
    <w:p w14:paraId="3790616C" w14:textId="77777777" w:rsidR="00B37F05" w:rsidRPr="00D06E2E" w:rsidRDefault="00B37F05" w:rsidP="00B37F05">
      <w:pPr>
        <w:rPr>
          <w:lang w:val="sr-Latn-RS"/>
        </w:rPr>
      </w:pPr>
      <w:r w:rsidRPr="00D06E2E">
        <w:rPr>
          <w:lang w:val="sr-Latn-RS"/>
        </w:rPr>
        <w:t>Bearing in mind the increasing topicality of artificial intelligence and the challenges it brings in the sphere of human rights, in November 2023 the Protector of Citizens Zoran Pašalić, M.Sc. attended a conference dedicated to the use of artificial intelligence in public administration, migration and basic rights - ethical standards in public administration in the organization of the European Network of Ombudsmen. Through bilateral meetings on the sidelines of the conference, the Ombudsman spoke in particular about the potential abuses of artificial intelligence and the challenges facing national human rights institutions in this matter.</w:t>
      </w:r>
    </w:p>
    <w:p w14:paraId="38F64506" w14:textId="77777777" w:rsidR="00B37F05" w:rsidRPr="00D06E2E" w:rsidRDefault="00B37F05" w:rsidP="00B37F05">
      <w:pPr>
        <w:rPr>
          <w:lang w:val="sr-Latn-RS"/>
        </w:rPr>
      </w:pPr>
      <w:r w:rsidRPr="00D06E2E">
        <w:rPr>
          <w:lang w:val="sr-Latn-RS"/>
        </w:rPr>
        <w:t>At the international conference organized by the Ombudsman of the Republic of Turkey in January 2023, dedicated to the future of human rights in the 21</w:t>
      </w:r>
      <w:r w:rsidRPr="00D06E2E">
        <w:rPr>
          <w:vertAlign w:val="superscript"/>
          <w:lang w:val="sr-Latn-RS"/>
        </w:rPr>
        <w:t>st</w:t>
      </w:r>
      <w:r w:rsidRPr="00D06E2E">
        <w:rPr>
          <w:lang w:val="sr-Latn-RS"/>
        </w:rPr>
        <w:t xml:space="preserve"> century, the Protector of Citizens Zoran Pašalić, M.Sc. introduced numerous honorary representatives of ombudsman institutions to the work of the Protector of Citizens during the pandemic of the infectious </w:t>
      </w:r>
      <w:r w:rsidRPr="00D06E2E">
        <w:rPr>
          <w:lang w:val="sr-Latn-RS"/>
        </w:rPr>
        <w:lastRenderedPageBreak/>
        <w:t>disease COVID-19 in the field of protection human rights. During his visit to the Republic of Turkey, the Ombudsman held bilateral meetings dedicated to the protection of the rights of the citizens of the Republic of Serbia in the Republic of Turkey and vice versa, as well as the position of the Bosniak national minority in the Republic of Serbia and the general position of national minorities in the Republic of Turkey.</w:t>
      </w:r>
    </w:p>
    <w:p w14:paraId="5AC2DA62" w14:textId="77777777" w:rsidR="00B37F05" w:rsidRPr="00D06E2E" w:rsidRDefault="00B37F05" w:rsidP="00B37F05">
      <w:pPr>
        <w:rPr>
          <w:lang w:val="sr-Latn-RS"/>
        </w:rPr>
      </w:pPr>
      <w:r w:rsidRPr="00D06E2E">
        <w:rPr>
          <w:lang w:val="sr-Latn-RS"/>
        </w:rPr>
        <w:t>Attending an international conference on interaction and cooperation in the field of reliable protection of human rights and freedoms in the Republic of Uzbekistan, the Ombudsman spoke about femicide in the Republic of Serbia. The Protector of Citizens particularly emphasized that the concept of femicide does not correspond to the issue dealt with by this independent state body, starting from the definition of the distinguished feminist Diana Russell that femicide is the killing of a woman because she is a woman. The Protector of Citizens strives to deal with the causes that led to the murders in order to prevent them, stressing that the term uxoricide is more appropriate.</w:t>
      </w:r>
    </w:p>
    <w:p w14:paraId="51380F22" w14:textId="260C8F53" w:rsidR="00B37F05" w:rsidRPr="00D06E2E" w:rsidRDefault="00B37F05" w:rsidP="00B37F05">
      <w:pPr>
        <w:rPr>
          <w:lang w:val="sr-Latn-RS"/>
        </w:rPr>
      </w:pPr>
      <w:r w:rsidRPr="00D06E2E">
        <w:rPr>
          <w:lang w:val="sr-Latn-RS"/>
        </w:rPr>
        <w:t>The Protector of Citizens had the opportunity to present the experiences of the national institution f</w:t>
      </w:r>
      <w:r w:rsidR="00EB67F5" w:rsidRPr="00D06E2E">
        <w:rPr>
          <w:lang w:val="sr-Latn-RS"/>
        </w:rPr>
        <w:t>or human rights in the highest “A”</w:t>
      </w:r>
      <w:r w:rsidRPr="00D06E2E">
        <w:rPr>
          <w:lang w:val="sr-Latn-RS"/>
        </w:rPr>
        <w:t xml:space="preserve"> status, whose work he manages in preserving the right to a healthy environment at the international conference dedicated to the impact of human activities on the right to a healthy and adequate environment, which was held in the Kingdom of Bahrain, in September 2023. On the sidelines of the conference, the Protector of Citizens exchanged experiences with eminent interlocutors on the use of alternative energy sources as one of the key steps in environmental protection and realizing the right to a healthy environment.</w:t>
      </w:r>
    </w:p>
    <w:p w14:paraId="6EA9620B" w14:textId="77777777" w:rsidR="00B37F05" w:rsidRPr="00D06E2E" w:rsidRDefault="00B37F05" w:rsidP="00B37F05">
      <w:pPr>
        <w:rPr>
          <w:lang w:val="sr-Latn-RS"/>
        </w:rPr>
      </w:pPr>
      <w:r w:rsidRPr="00D06E2E">
        <w:rPr>
          <w:lang w:val="sr-Latn-RS"/>
        </w:rPr>
        <w:t>At the international conference dedicated to the role of the ombudsman in the world, which was held in Rome in September 2023, the Protector of Citizens spoke on the topic "Ombudsman, a bridge between citizens and local authorities". The Protector of Citizens particularly pointed out that every Friday of the month he personally receives citizens in order to get to know the problems they face in exercising their rights in direct communication.</w:t>
      </w:r>
    </w:p>
    <w:p w14:paraId="73232E4A" w14:textId="77777777" w:rsidR="00B37F05" w:rsidRPr="00D06E2E" w:rsidRDefault="00B37F05" w:rsidP="00B37F05">
      <w:pPr>
        <w:rPr>
          <w:lang w:val="sr-Latn-RS"/>
        </w:rPr>
      </w:pPr>
      <w:r w:rsidRPr="00D06E2E">
        <w:rPr>
          <w:lang w:val="sr-Latn-RS"/>
        </w:rPr>
        <w:t>At the invitation of the Commissioner for Human Rights of the Russian Federation, in October 2023, the Ombudsman gave an online presentation on the subject of the exchange of experiences and competences of the ombudsman in the protection of human rights. Close cooperation with the institution of the Commissioner for Human Rights of the Russian Federation was especially intensified after the signing of the Cooperation Agreement in 2018.</w:t>
      </w:r>
    </w:p>
    <w:p w14:paraId="27B3B51C" w14:textId="77777777" w:rsidR="00B37F05" w:rsidRPr="00D06E2E" w:rsidRDefault="00B37F05" w:rsidP="00B37F05">
      <w:pPr>
        <w:rPr>
          <w:lang w:val="sr-Latn-RS"/>
        </w:rPr>
      </w:pPr>
      <w:r w:rsidRPr="00D06E2E">
        <w:rPr>
          <w:lang w:val="sr-Latn-RS"/>
        </w:rPr>
        <w:t>In October 2023, the Protector of Citizens paid a working visit to the Kingdom of Bahrain, where he attended an international conference that discussed the effectiveness of ombudsmen within institutional work and their role in promoting respect for human rights. The Protector of Citizens had the opportunity to meet numerous fellow ombudsmen with the mandate and results of the work of the institution he manages, and who showed great interest, especially in the promotional activities carried out by the Protector of Citizens.</w:t>
      </w:r>
    </w:p>
    <w:p w14:paraId="3437C020" w14:textId="77777777" w:rsidR="00B37F05" w:rsidRPr="00D06E2E" w:rsidRDefault="00B37F05" w:rsidP="00B37F05">
      <w:pPr>
        <w:rPr>
          <w:lang w:val="sr-Latn-RS"/>
        </w:rPr>
      </w:pPr>
      <w:r w:rsidRPr="00D06E2E">
        <w:rPr>
          <w:lang w:val="sr-Latn-RS"/>
        </w:rPr>
        <w:t>At the end of October, an international conference entitled "The right to good governance: myth, aspiration or reality" was held in Malta, which was attended by the Protector of Citizens, having the opportunity to hear the experiences and observations of eminent speakers on the above-mentioned topic, which is of great importance for ombudsmen who controls public authorities also. From the discussion on the sidelines of the conference, the conclusion emerges that the public administration's failure to act on citizens' requests is a major problem faced by the citizens of numerous European countries.</w:t>
      </w:r>
    </w:p>
    <w:p w14:paraId="59D25401" w14:textId="77777777" w:rsidR="00B37F05" w:rsidRPr="00D06E2E" w:rsidRDefault="00B37F05" w:rsidP="00B37F05">
      <w:pPr>
        <w:rPr>
          <w:lang w:val="sr-Latn-RS"/>
        </w:rPr>
      </w:pPr>
      <w:r w:rsidRPr="00D06E2E">
        <w:rPr>
          <w:lang w:val="sr-Latn-RS"/>
        </w:rPr>
        <w:t xml:space="preserve">Taking into account that after the pandemic of the infectious disease COVID-19, the importance of mental health is increasingly discussed, the Protector of Citizens followed the international symposium and conference dedicated to autonomy in the protection of mental </w:t>
      </w:r>
      <w:r w:rsidRPr="00D06E2E">
        <w:rPr>
          <w:lang w:val="sr-Latn-RS"/>
        </w:rPr>
        <w:lastRenderedPageBreak/>
        <w:t>health, which was held in Latvia in November 2023. In addition to the impact of the pandemic of the infectious disease COVID-19 on mental health, the war environment in Europe as well as economic pressures were recognized in the bilateral meetings of the protector of citizens with relevant interlocutors as potential factors that can have an impact on mental health.</w:t>
      </w:r>
    </w:p>
    <w:p w14:paraId="74ED9608" w14:textId="77777777" w:rsidR="00B37F05" w:rsidRPr="00D06E2E" w:rsidRDefault="00B37F05" w:rsidP="00B37F05">
      <w:pPr>
        <w:rPr>
          <w:lang w:val="sr-Latn-RS"/>
        </w:rPr>
      </w:pPr>
      <w:r w:rsidRPr="00D06E2E">
        <w:rPr>
          <w:lang w:val="sr-Latn-RS"/>
        </w:rPr>
        <w:t>In December 2023, the Protector of Citizens spoke about the improvement of human rights, legal protection and the rule of law in the face of contemporary challenges in Europe at an international conference dedicated to building bridges in the protection and promotion of human rights organized by the Commissioner for Fundamental Rights of Hungary. In his presentation, the Protector of Citizens particularly focused on the war environment in Europe, economic pressures, the migrant crisis as well as the consequences of the pandemic of the infectious disease COVID-19 as challenges of significant impact for the rule of law on the European continent.</w:t>
      </w:r>
    </w:p>
    <w:p w14:paraId="59A1B1C8" w14:textId="77777777" w:rsidR="00B37F05" w:rsidRPr="00D06E2E" w:rsidRDefault="00B37F05" w:rsidP="00B37F05">
      <w:pPr>
        <w:rPr>
          <w:lang w:val="sr-Latn-RS"/>
        </w:rPr>
      </w:pPr>
      <w:r w:rsidRPr="00D06E2E">
        <w:rPr>
          <w:lang w:val="sr-Latn-RS"/>
        </w:rPr>
        <w:t>In order to encourage further cooperation at the bilateral level, the Protector of Citizens signed an Agreement on Cooperation with the Ombudsman of the Republic of Uzbekistan in February 2023, and with the Commissioner for the Administration and Protection of Human Rights of Cyprus in November. The signed agreements define the procedures and cooperation of the ombudsman in cases of violations of the rights and freedoms of citizens of the Republic of Serbia on the territory of Uzbekistan and Cyprus and citizens of these countries on the territory of the Republic of Serbia. The importance of these agreements is also reflected in the more efficient handling of complaints by the ombudsman and the more intensive development of further mutual cooperation.</w:t>
      </w:r>
    </w:p>
    <w:p w14:paraId="2B2E2FAE" w14:textId="77777777" w:rsidR="00B37F05" w:rsidRPr="00D06E2E" w:rsidRDefault="00B37F05" w:rsidP="00B37F05">
      <w:pPr>
        <w:rPr>
          <w:lang w:val="sr-Latn-RS"/>
        </w:rPr>
      </w:pPr>
      <w:r w:rsidRPr="00D06E2E">
        <w:rPr>
          <w:lang w:val="sr-Latn-RS"/>
        </w:rPr>
        <w:t>In order to further strengthen the successful bilateral cooperation with the Ombudsman for Human Rights of Bosnia and Herzegovina, the Ombudsman hosted the ombudsmen, Dr Jasminka Džumhur, Nives Jukić and Dr Nevenko Vranješ in November 2023. The very constructive meeting was devoted to the exchange of past experiences in the field of protection and improvement of human rights, as well as perspectives of future cooperation.</w:t>
      </w:r>
    </w:p>
    <w:p w14:paraId="25E800E0" w14:textId="77777777" w:rsidR="00B37F05" w:rsidRPr="00D06E2E" w:rsidRDefault="00B37F05" w:rsidP="00B37F05">
      <w:pPr>
        <w:rPr>
          <w:lang w:val="sr-Latn-RS"/>
        </w:rPr>
      </w:pPr>
      <w:r w:rsidRPr="00D06E2E">
        <w:rPr>
          <w:lang w:val="sr-Latn-RS"/>
        </w:rPr>
        <w:t>In November, the Protector of Citizens visited Italy, where a trilateral meeting dedicated to active citizenship, civil defense and human rights was held, i.e. Italy-Poland-Serbia dialogue. In addition to presenting the results of the institutions whose work they manage, the ombudsmen also discussed global challenges and their impact on the realization of human rights, as well as perspectives and models of further cooperation.</w:t>
      </w:r>
    </w:p>
    <w:p w14:paraId="507662F9" w14:textId="77777777" w:rsidR="00B37F05" w:rsidRPr="00D06E2E" w:rsidRDefault="00B37F05" w:rsidP="00B37F05">
      <w:pPr>
        <w:rPr>
          <w:lang w:val="sr-Latn-RS"/>
        </w:rPr>
      </w:pPr>
      <w:r w:rsidRPr="00D06E2E">
        <w:rPr>
          <w:lang w:val="sr-Latn-RS"/>
        </w:rPr>
        <w:t>As part of the continuation of cooperation with the Council of Europe, the Protector of Citizens held a meeting with the Commissioner for Human Rights of the Council of Europe Dunja Mijatović in March 2023, and in September 2023 he sent comments on her report after a working visit to the Republic of Serbia that was held in the period from March 13 to 17, 2023. In October 2023, the Protector of Citizens held a meeting with the co-rapporteur of the Monitoring Committee of the Parliamentary Assembly of the Council of Europe, where the activities of the Ombudsman in the field of human rights protection and institutional capacities were discussed.</w:t>
      </w:r>
    </w:p>
    <w:p w14:paraId="68BFBCE0" w14:textId="77777777" w:rsidR="00B37F05" w:rsidRPr="00D06E2E" w:rsidRDefault="00B37F05" w:rsidP="00B37F05">
      <w:pPr>
        <w:spacing w:after="0"/>
        <w:rPr>
          <w:lang w:val="sr-Latn-RS"/>
        </w:rPr>
      </w:pPr>
      <w:r w:rsidRPr="00D06E2E">
        <w:rPr>
          <w:lang w:val="sr-Latn-RS"/>
        </w:rPr>
        <w:t>In February 2023, the Protector of Citizens met with the director of the Office for Human Rights and Democratic Institutions (ODIHR), Matteo Mecacci, and in October with representatives of the ODIHR Mission to determine the need for organizing an observation mission for the parliamentary elections in the Republic of Serbia and at the beginning of December, a meeting was held with the head of the ODIHR Election Observation Mission, Albert Johnson.</w:t>
      </w:r>
    </w:p>
    <w:p w14:paraId="1EBDD616" w14:textId="77777777" w:rsidR="00B37F05" w:rsidRPr="00D06E2E" w:rsidRDefault="00B37F05" w:rsidP="00B37F05">
      <w:pPr>
        <w:spacing w:after="0"/>
        <w:rPr>
          <w:sz w:val="10"/>
          <w:szCs w:val="10"/>
          <w:lang w:val="sr-Latn-RS"/>
        </w:rPr>
      </w:pPr>
    </w:p>
    <w:p w14:paraId="73CAD55E" w14:textId="77777777" w:rsidR="00B37F05" w:rsidRPr="00D06E2E" w:rsidRDefault="00B37F05" w:rsidP="00B37F05">
      <w:pPr>
        <w:spacing w:after="0"/>
        <w:rPr>
          <w:lang w:val="sr-Latn-RS"/>
        </w:rPr>
      </w:pPr>
      <w:r w:rsidRPr="00D06E2E">
        <w:rPr>
          <w:lang w:val="sr-Latn-RS"/>
        </w:rPr>
        <w:t xml:space="preserve">In the reporting period, the Protector of Citizens submitted supplements for various reports of state bodies of the Republic of Serbia in the process of accession to the European Union, </w:t>
      </w:r>
      <w:r w:rsidRPr="00D06E2E">
        <w:rPr>
          <w:lang w:val="sr-Latn-RS"/>
        </w:rPr>
        <w:lastRenderedPageBreak/>
        <w:t>and he also submitted a supplement for the annual Report on the Rule of Law of the European Network of National Institutions for Human Rights.</w:t>
      </w:r>
    </w:p>
    <w:p w14:paraId="47686D03" w14:textId="77777777" w:rsidR="00B37F05" w:rsidRPr="00D06E2E" w:rsidRDefault="00B37F05" w:rsidP="00B37F05">
      <w:pPr>
        <w:spacing w:after="0"/>
        <w:rPr>
          <w:highlight w:val="yellow"/>
          <w:lang w:val="sr-Latn-RS"/>
        </w:rPr>
      </w:pPr>
    </w:p>
    <w:p w14:paraId="0C2ADB4B" w14:textId="77777777" w:rsidR="00B37F05" w:rsidRPr="00D06E2E" w:rsidRDefault="00B37F05" w:rsidP="00B37F05">
      <w:pPr>
        <w:jc w:val="center"/>
        <w:rPr>
          <w:bCs/>
          <w:sz w:val="24"/>
          <w:szCs w:val="24"/>
          <w:lang w:val="sr-Latn-RS"/>
        </w:rPr>
      </w:pPr>
      <w:r w:rsidRPr="00D06E2E">
        <w:rPr>
          <w:bCs/>
          <w:sz w:val="24"/>
          <w:szCs w:val="24"/>
          <w:lang w:val="sr-Latn-RS"/>
        </w:rPr>
        <w:t>PROJECTS</w:t>
      </w:r>
    </w:p>
    <w:p w14:paraId="632B7F7F" w14:textId="77777777" w:rsidR="00B37F05" w:rsidRPr="00D06E2E" w:rsidRDefault="00B37F05" w:rsidP="00B37F05">
      <w:pPr>
        <w:rPr>
          <w:lang w:val="sr-Latn-RS"/>
        </w:rPr>
      </w:pPr>
      <w:r w:rsidRPr="00D06E2E">
        <w:rPr>
          <w:lang w:val="sr-Latn-RS"/>
        </w:rPr>
        <w:t>In this reporting period the Protector of Citizens also participated in the implementation of the joint project of the Council of Europe and the European Union entitled “Horizontal Facility for the Western Balkans and Turkey”. More specifically, as part of the Promotion of Diversity and Equality in Serbia component, the Protector of Citizens published a Special Report on violence in schools</w:t>
      </w:r>
      <w:r w:rsidRPr="00D06E2E">
        <w:rPr>
          <w:rStyle w:val="FootnoteReference"/>
          <w:lang w:val="sr-Latn-RS"/>
        </w:rPr>
        <w:footnoteReference w:id="211"/>
      </w:r>
      <w:r w:rsidRPr="00D06E2E">
        <w:rPr>
          <w:lang w:val="sr-Latn-RS"/>
        </w:rPr>
        <w:t>, which contains key findings and research results on the perceptions of students and teachers on peer violence with a special focus on gender-based violence, violence against LGBTI persons, the elderly persons, persons with disabilities and members of the Roma national minority. Also, trainings on the responsibilities of the Protector of Citizens were held for members of the National Council of the Roma National Minority, as well as representatives of Roma non-governmental organizations and employees of local governments in Vranje, Bujanovac, Kragujevac, Niš and Leskovac.</w:t>
      </w:r>
    </w:p>
    <w:p w14:paraId="16C70E45" w14:textId="77777777" w:rsidR="00B37F05" w:rsidRPr="00D06E2E" w:rsidRDefault="00B37F05" w:rsidP="00B37F05">
      <w:pPr>
        <w:rPr>
          <w:lang w:val="sr-Latn-RS"/>
        </w:rPr>
      </w:pPr>
      <w:r w:rsidRPr="00D06E2E">
        <w:rPr>
          <w:lang w:val="sr-Latn-RS"/>
        </w:rPr>
        <w:t>Within the component of the same project dedicated to the combating and prevention of human trafficking, expert and technical support to the Protector of Citizens is aimed at strengthening the capacity of the National Rapporteur in the field of human trafficking as a new competence from the adoption of the Law on the Protector of Citizens from 2021. Within this component, in 2023, computer equipment was acquired for the needs of the National Rapporteur, and in December 2023, training was held where the members of the National Rapporteur's team and other employees dealing with international reporting had the opportunity to learn about the mandate, the role and functioning of the National Rapporteur of the Netherlands in the field of human trafficking and sexual violence against children.</w:t>
      </w:r>
    </w:p>
    <w:p w14:paraId="6D7B2C74" w14:textId="77777777" w:rsidR="00B37F05" w:rsidRPr="00D06E2E" w:rsidRDefault="00B37F05" w:rsidP="00B37F05">
      <w:pPr>
        <w:rPr>
          <w:lang w:val="sr-Latn-RS"/>
        </w:rPr>
      </w:pPr>
      <w:r w:rsidRPr="00D06E2E">
        <w:rPr>
          <w:lang w:val="sr-Latn-RS"/>
        </w:rPr>
        <w:t>The International Organization for Migration (IOM) provides expert and technical support to the capacity building activities of the National Rapporteur in the field of human trafficking. At the end of 2023, an expert from the Netherlands with many years of experience in the prevention of human trafficking and the protection of victims' rights was hired to develop a methodology for the analysis, classification and method of presenting data in the report, a proposal for the structure of the report with recommendations and providing mentoring support in the preparation of the annual report.</w:t>
      </w:r>
    </w:p>
    <w:p w14:paraId="2965519B" w14:textId="77777777" w:rsidR="00B37F05" w:rsidRPr="00D06E2E" w:rsidRDefault="00B37F05" w:rsidP="00B37F05">
      <w:pPr>
        <w:rPr>
          <w:lang w:val="sr-Latn-RS"/>
        </w:rPr>
      </w:pPr>
      <w:r w:rsidRPr="00D06E2E">
        <w:rPr>
          <w:lang w:val="sr-Latn-RS"/>
        </w:rPr>
        <w:t xml:space="preserve">The Protector of Citizens is one of the beneficiaries of the multi-year project </w:t>
      </w:r>
      <w:r w:rsidRPr="00D06E2E">
        <w:rPr>
          <w:i/>
          <w:lang w:val="sr-Latn-RS"/>
        </w:rPr>
        <w:t>Support for strengthening the rule of law in the Republic of Serbia</w:t>
      </w:r>
      <w:r w:rsidRPr="00D06E2E">
        <w:rPr>
          <w:lang w:val="sr-Latn-RS"/>
        </w:rPr>
        <w:t xml:space="preserve">, which is financed by the European Union to support the implementation of the Action Plan for Chapter 23 and which will last until the end of 2025. The project management agency of Lithuania in cooperation with the National Ombudsman of the Netherlands is in charge of the component dedicated to strengthening the capacity of the Protector of Citizens. The project provides technical and expert support for strengthening the capacity of the Protector of Citizens as an independent mechanism for monitoring the implementation of the United Nations Convention on the Rights of Persons with Disabilities (IMM), as well as for strengthening the capacity of the Protector of Citizens as an NPM and as a special body that takes care of the advancement of children's rights. In this regard, at the beginning of 2023, training was held for the employees of the Protector of Citizens on the way of working and functioning of the NPM of Lithuania, and the Methodology of the IMM was developed. Representatives of the National Ombudsman of the Netherlands held two presentations for employees of the Secretariat of the Protector of </w:t>
      </w:r>
      <w:r w:rsidRPr="00D06E2E">
        <w:rPr>
          <w:lang w:val="sr-Latn-RS"/>
        </w:rPr>
        <w:lastRenderedPageBreak/>
        <w:t>Citizens who act on citizens' complaints, and three representatives of the Protector of Citizens paid a working visit to the National Ombudsman of the Netherlands in October 2023 in order to familiarize themselves with the working methods and functioning of that institution.</w:t>
      </w:r>
    </w:p>
    <w:p w14:paraId="2EF87DB4" w14:textId="77777777" w:rsidR="00B37F05" w:rsidRPr="00D06E2E" w:rsidRDefault="00B37F05" w:rsidP="00B37F05">
      <w:pPr>
        <w:rPr>
          <w:lang w:val="sr-Latn-RS"/>
        </w:rPr>
      </w:pPr>
      <w:r w:rsidRPr="00D06E2E">
        <w:rPr>
          <w:lang w:val="sr-Latn-RS"/>
        </w:rPr>
        <w:t xml:space="preserve">Thanks to the financial support of the Council of Europe and the Office of UN Women in Serbia, the Protector of Citizens implemented the project </w:t>
      </w:r>
      <w:r w:rsidRPr="00D06E2E">
        <w:rPr>
          <w:i/>
          <w:lang w:val="sr-Latn-RS"/>
        </w:rPr>
        <w:t>Cooperation on Monitoring and Improving Economic and Social Rights</w:t>
      </w:r>
      <w:r w:rsidRPr="00D06E2E">
        <w:rPr>
          <w:lang w:val="sr-Latn-RS"/>
        </w:rPr>
        <w:t xml:space="preserve"> with the aim of strengthening the capacity of the Protector of Citizens to monitor and report on the realization of economic and social rights, with a focus on the rights of older women who living in rural areas, and improving cooperation between the Protector of Citizens and civil society organizations at the local level that are active in this area. In 2023, a survey was conducted on the representation and availability of social and health care services (Home Help and Home Treatment services) to elderly women living in the countryside. The main findings of the research were published in the Special Report of the Protector of Citizens</w:t>
      </w:r>
      <w:r w:rsidRPr="00D06E2E">
        <w:rPr>
          <w:rStyle w:val="FootnoteReference"/>
          <w:lang w:val="sr-Latn-RS"/>
        </w:rPr>
        <w:footnoteReference w:id="212"/>
      </w:r>
      <w:r w:rsidRPr="00D06E2E">
        <w:rPr>
          <w:lang w:val="sr-Latn-RS"/>
        </w:rPr>
        <w:t xml:space="preserve">, which was presented to civil society organizations at four round tables in Niš, Belgrade, Novi Sad and Kragujevac, in cooperation with the Amity Association – the Strength of Friendship. Also, the report was presented to competent institutions and representatives of local self-governments within the Social Protection Network of the Permanent Conference of Cities and Municipalities. </w:t>
      </w:r>
    </w:p>
    <w:p w14:paraId="0DFB266E" w14:textId="77777777" w:rsidR="00B37F05" w:rsidRPr="00D06E2E" w:rsidRDefault="00B37F05" w:rsidP="00B37F05">
      <w:pPr>
        <w:spacing w:after="0"/>
        <w:rPr>
          <w:lang w:val="sr-Latn-RS"/>
        </w:rPr>
      </w:pPr>
      <w:r w:rsidRPr="00D06E2E">
        <w:rPr>
          <w:lang w:val="sr-Latn-RS"/>
        </w:rPr>
        <w:t xml:space="preserve">Together with the Chamber of Commerce of Serbia, the Protector of Citizens participated in the project </w:t>
      </w:r>
      <w:r w:rsidRPr="00D06E2E">
        <w:rPr>
          <w:i/>
          <w:lang w:val="sr-Latn-RS"/>
        </w:rPr>
        <w:t>Safe Travel - protection of children from sexual exploitation and abuse</w:t>
      </w:r>
      <w:r w:rsidRPr="00D06E2E">
        <w:rPr>
          <w:lang w:val="sr-Latn-RS"/>
        </w:rPr>
        <w:t>, which is implemented by the Network of Organizations for Children of Serbia (MODS). The project is a continuation of last year's project dedicated to the fight against sexual exploitation and abuse of children, with this year's focus being on the tourism and hospitality sectors. In December 2023, a focus group was held with members of the Panel of Young Advisors of the Protector of Citizens in order to collect information, opinions, views and recommendations of the Panel of Young Advisors in the field of protecting children from sexual exploitation and abuse in tourism and hospitality. Based on the collected data, the Protector of Citizens will prepare recommendations that will be sent to the Ministry of Tourism and Youth in order to improve the institutional and legal framework in this area.</w:t>
      </w:r>
    </w:p>
    <w:p w14:paraId="76FDFABC" w14:textId="77777777" w:rsidR="00B37F05" w:rsidRPr="00D06E2E" w:rsidRDefault="00B37F05" w:rsidP="00B37F05">
      <w:pPr>
        <w:spacing w:after="0"/>
        <w:rPr>
          <w:lang w:val="sr-Latn-RS"/>
        </w:rPr>
      </w:pPr>
    </w:p>
    <w:p w14:paraId="08890805" w14:textId="77777777" w:rsidR="00B37F05" w:rsidRPr="00D06E2E" w:rsidRDefault="00B37F05" w:rsidP="00B37F05">
      <w:pPr>
        <w:spacing w:after="0"/>
        <w:rPr>
          <w:lang w:val="sr-Latn-RS"/>
        </w:rPr>
      </w:pPr>
      <w:r w:rsidRPr="00D06E2E">
        <w:rPr>
          <w:lang w:val="sr-Latn-RS"/>
        </w:rPr>
        <w:t>Through the Small Grants Program, the European Network of National Human Rights Institutions (ENNHRI) provides financial support to the implementation of the Ombudsman's project Monitoring the Implementation of Inclusive Education in the Republic of Serbia, the aim of which is to review the scope of the institution's recommendations addressed to the competent authorities in the Special Report on Inclusive Education published in 2018. The activities of the project also included the Panel of Young Advisors, whose members received training on inclusive education in November 2023, as well as on conducting research on inclusion in their schools. Data collected from competent authorities on the implementation of recommendations, as well as data collected from students and teachers of primary and secondary schools on the implementation of inclusion, will be an integral part of the Special Report of the Protector of Citizens, which will be published in mid-2024.</w:t>
      </w:r>
    </w:p>
    <w:p w14:paraId="0C0555E7" w14:textId="77777777" w:rsidR="00B37F05" w:rsidRPr="00D06E2E" w:rsidRDefault="00B37F05" w:rsidP="00B37F05">
      <w:pPr>
        <w:spacing w:after="0"/>
        <w:rPr>
          <w:lang w:val="sr-Latn-RS"/>
        </w:rPr>
      </w:pPr>
    </w:p>
    <w:p w14:paraId="43BD273B" w14:textId="77777777" w:rsidR="00B37F05" w:rsidRPr="00D06E2E" w:rsidRDefault="00B37F05" w:rsidP="00B37F05">
      <w:pPr>
        <w:pStyle w:val="Heading2"/>
        <w:spacing w:before="0"/>
        <w:rPr>
          <w:lang w:val="sr-Latn-RS"/>
        </w:rPr>
      </w:pPr>
      <w:r w:rsidRPr="00D06E2E">
        <w:rPr>
          <w:lang w:val="sr-Latn-RS"/>
        </w:rPr>
        <w:t>PROTECTOR OF CITIZENS IN THE MEDIA</w:t>
      </w:r>
    </w:p>
    <w:p w14:paraId="4A96D1A2" w14:textId="77777777" w:rsidR="00B37F05" w:rsidRPr="00D06E2E" w:rsidRDefault="00B37F05" w:rsidP="00B37F05">
      <w:pPr>
        <w:rPr>
          <w:rFonts w:cstheme="minorHAnsi"/>
          <w:lang w:val="sr-Latn-RS"/>
        </w:rPr>
      </w:pPr>
      <w:r w:rsidRPr="00D06E2E">
        <w:rPr>
          <w:rFonts w:cstheme="minorHAnsi"/>
          <w:lang w:val="sr-Latn-RS"/>
        </w:rPr>
        <w:t>During the reporting year, the media showed great interest in the activities of the Protector of Citizens in the area of improvement and protection of citizens' human rights. During 2023, electronic, print and internet media published 3,894 reports on the systematic and efficient work of the Protector of Citizens.</w:t>
      </w:r>
    </w:p>
    <w:p w14:paraId="16F50D78" w14:textId="77777777" w:rsidR="00B37F05" w:rsidRPr="00D06E2E" w:rsidRDefault="00B37F05" w:rsidP="00B37F05">
      <w:pPr>
        <w:rPr>
          <w:rFonts w:cstheme="minorHAnsi"/>
          <w:lang w:val="sr-Latn-RS"/>
        </w:rPr>
      </w:pPr>
      <w:r w:rsidRPr="00D06E2E">
        <w:rPr>
          <w:rFonts w:cstheme="minorHAnsi"/>
          <w:lang w:val="sr-Latn-RS"/>
        </w:rPr>
        <w:lastRenderedPageBreak/>
        <w:t>Media coverage of the activities of the Protector of Citizens is important for familiarizing citizens with the work and responsibilities of this independent state body so that they can recognize situations in their daily life in which their rights are threatened and in which they can turn to the Protector of Citizens for their protection. In the reporting year, the media's attention was mostly focused on the activities of the Protector of Citizens on the protection of children's rights, the protection of women from violence in family and partner relationships, and the protection of the rights of elderly women in the countryside, as well as the announcement of a public call for the election of a new Protector of Citizens, which was published almost two thirds of the total number of texts.</w:t>
      </w:r>
    </w:p>
    <w:p w14:paraId="5212715C" w14:textId="77777777" w:rsidR="00B37F05" w:rsidRPr="00D06E2E" w:rsidRDefault="00B37F05" w:rsidP="00B37F05">
      <w:pPr>
        <w:rPr>
          <w:rFonts w:cstheme="minorHAnsi"/>
          <w:lang w:val="sr-Latn-RS"/>
        </w:rPr>
      </w:pPr>
      <w:r w:rsidRPr="00D06E2E">
        <w:rPr>
          <w:rFonts w:cstheme="minorHAnsi"/>
          <w:lang w:val="sr-Latn-RS"/>
        </w:rPr>
        <w:t>Most reports on the work of the Protector of Citizens in 2023 - more precisely 2,943, were published in the internet media. Both electronic (radio, television, news agencies) and print media showed significant interest in the protection of human rights and the work of the Protector of Citizens, so in the reporting year they published 569 texts, audio and video articles. 386 posts and comments mentioning the Protector of Citizens were recorded on social networks.</w:t>
      </w:r>
    </w:p>
    <w:p w14:paraId="2893BC2D" w14:textId="77777777" w:rsidR="00B37F05" w:rsidRPr="00D06E2E" w:rsidRDefault="00B37F05" w:rsidP="00B37F05">
      <w:pPr>
        <w:rPr>
          <w:rFonts w:cstheme="minorHAnsi"/>
          <w:lang w:val="sr-Latn-RS"/>
        </w:rPr>
      </w:pPr>
      <w:r w:rsidRPr="00D06E2E">
        <w:rPr>
          <w:rFonts w:cstheme="minorHAnsi"/>
          <w:lang w:val="sr-Latn-RS"/>
        </w:rPr>
        <w:t>Reports and information about human rights and the activities of the Protector of Citizens in the media and on social networks were mostly placed in a positive context (3,038 posts), announcements about activities in which the Protector of Citizens is one of the participants were neutral (427), while 429 publication contained a critical or different view of the role and way of working of this independent state body. Newspaper articles and media reports on the activities of the Protector of Citizens were in most cases affirmative.</w:t>
      </w:r>
    </w:p>
    <w:p w14:paraId="46A6D773" w14:textId="77777777" w:rsidR="00B37F05" w:rsidRPr="00D06E2E" w:rsidRDefault="00B37F05" w:rsidP="00B37F05">
      <w:pPr>
        <w:rPr>
          <w:rFonts w:cstheme="minorHAnsi"/>
          <w:lang w:val="sr-Latn-RS"/>
        </w:rPr>
      </w:pPr>
      <w:r w:rsidRPr="00D06E2E">
        <w:rPr>
          <w:rFonts w:cstheme="minorHAnsi"/>
          <w:lang w:val="sr-Latn-RS"/>
        </w:rPr>
        <w:t>During the reporting year, the activities of the Protector of Citizens had the highest visibility in media based in Belgrade (3,127 announcements). Local media in the Republic of Serbia published 651 reports on the work of the Protector of Citizens. Certain procedures for controlling the regularity and legality of the work of the competent authorities initiated by the Protector of Citizens were also interesting to the media from the region and the diaspora, which published 116 articles on the work of the Protector of Citizens.</w:t>
      </w:r>
    </w:p>
    <w:p w14:paraId="09A42D19" w14:textId="77777777" w:rsidR="00B37F05" w:rsidRPr="00D06E2E" w:rsidRDefault="00B37F05" w:rsidP="00B37F05">
      <w:pPr>
        <w:rPr>
          <w:rFonts w:cstheme="minorHAnsi"/>
          <w:lang w:val="sr-Latn-RS"/>
        </w:rPr>
      </w:pPr>
      <w:r w:rsidRPr="00D06E2E">
        <w:rPr>
          <w:rFonts w:cstheme="minorHAnsi"/>
          <w:lang w:val="sr-Latn-RS"/>
        </w:rPr>
        <w:t>The media regularly published announcements and transmitted the statements of the Protector of Citizens, Zoran Pašalić, M.Sc. Primarily, they reported on the procedures and results of control of the regularity and legality of the work of competent authorities regarding the protection of the rights of particularly sensitive social groups.</w:t>
      </w:r>
    </w:p>
    <w:p w14:paraId="7A62D525" w14:textId="77777777" w:rsidR="00B37F05" w:rsidRPr="00D06E2E" w:rsidRDefault="00B37F05" w:rsidP="00B37F05">
      <w:pPr>
        <w:rPr>
          <w:rFonts w:cstheme="minorHAnsi"/>
          <w:lang w:val="sr-Latn-RS"/>
        </w:rPr>
      </w:pPr>
      <w:r w:rsidRPr="00D06E2E">
        <w:rPr>
          <w:rFonts w:cstheme="minorHAnsi"/>
          <w:lang w:val="sr-Latn-RS"/>
        </w:rPr>
        <w:t>The greatest attention of the Belgrade and local media in the reporting year was occupied by the activities of the Protector of Citizens in connection with the tragic event of May 3, 2023 at the “Vladislav Ribnikar” Elementary School in Belgrade</w:t>
      </w:r>
      <w:r w:rsidRPr="00D06E2E">
        <w:rPr>
          <w:rStyle w:val="FootnoteReference"/>
          <w:rFonts w:cstheme="minorHAnsi"/>
          <w:lang w:val="sr-Latn-RS"/>
        </w:rPr>
        <w:footnoteReference w:id="213"/>
      </w:r>
      <w:r w:rsidRPr="00D06E2E">
        <w:rPr>
          <w:rFonts w:cstheme="minorHAnsi"/>
          <w:lang w:val="sr-Latn-RS"/>
        </w:rPr>
        <w:t>. On that occasion, the Protector of Citizens assessed that this tragedy represents the ultimate warning that as a society we have passed the critical point of increasing violence and called on the entire society to pay much more attention to prevention and education.</w:t>
      </w:r>
    </w:p>
    <w:p w14:paraId="3C97EE11" w14:textId="77777777" w:rsidR="00B37F05" w:rsidRPr="00D06E2E" w:rsidRDefault="00B37F05" w:rsidP="00B37F05">
      <w:pPr>
        <w:rPr>
          <w:rFonts w:cstheme="minorHAnsi"/>
          <w:lang w:val="sr-Latn-RS"/>
        </w:rPr>
      </w:pPr>
      <w:r w:rsidRPr="00D06E2E">
        <w:rPr>
          <w:rFonts w:cstheme="minorHAnsi"/>
          <w:lang w:val="sr-Latn-RS"/>
        </w:rPr>
        <w:t>The media also reported with great care on the activities of the Protector of Citizens in connection with the case of child neglect in the Belgrade neighborhood of Mirijevo, whose father kept him locked in an apartment for years</w:t>
      </w:r>
      <w:r w:rsidRPr="00D06E2E">
        <w:rPr>
          <w:rStyle w:val="FootnoteReference"/>
          <w:rFonts w:cstheme="minorHAnsi"/>
          <w:lang w:val="sr-Latn-RS"/>
        </w:rPr>
        <w:footnoteReference w:id="214"/>
      </w:r>
      <w:r w:rsidRPr="00D06E2E">
        <w:rPr>
          <w:rFonts w:cstheme="minorHAnsi"/>
          <w:lang w:val="sr-Latn-RS"/>
        </w:rPr>
        <w:t>.</w:t>
      </w:r>
    </w:p>
    <w:p w14:paraId="2B94E54F" w14:textId="77777777" w:rsidR="00B37F05" w:rsidRPr="00D06E2E" w:rsidRDefault="00B37F05" w:rsidP="00B37F05">
      <w:pPr>
        <w:rPr>
          <w:rFonts w:cstheme="minorHAnsi"/>
          <w:lang w:val="sr-Latn-RS"/>
        </w:rPr>
      </w:pPr>
      <w:r w:rsidRPr="00D06E2E">
        <w:rPr>
          <w:rFonts w:cstheme="minorHAnsi"/>
          <w:lang w:val="sr-Latn-RS"/>
        </w:rPr>
        <w:t>The presentation of the Special Report of the Protector of Citizens on the representation of social and health care services for elderly women living in the countryside</w:t>
      </w:r>
      <w:r w:rsidRPr="00D06E2E">
        <w:rPr>
          <w:rStyle w:val="FootnoteReference"/>
          <w:rFonts w:cstheme="minorHAnsi"/>
          <w:lang w:val="sr-Latn-RS"/>
        </w:rPr>
        <w:footnoteReference w:id="215"/>
      </w:r>
      <w:r w:rsidRPr="00D06E2E">
        <w:rPr>
          <w:rFonts w:cstheme="minorHAnsi"/>
          <w:lang w:val="sr-Latn-RS"/>
        </w:rPr>
        <w:t xml:space="preserve"> was also </w:t>
      </w:r>
      <w:r w:rsidRPr="00D06E2E">
        <w:rPr>
          <w:rFonts w:cstheme="minorHAnsi"/>
          <w:lang w:val="sr-Latn-RS"/>
        </w:rPr>
        <w:lastRenderedPageBreak/>
        <w:t>followed with special attention by the media. Presenting the report at the round tables in Belgrade, Novi Sad, Niš and Kragujevac, the protector of citizens, Zoran Pašalić, M.Sc., emphasized that it is necessary for competent institutions, including local governments, to make an additional effort so that older women in the countryside get the opportunity to achieve their rights, especially those related to the availability of health care.</w:t>
      </w:r>
    </w:p>
    <w:p w14:paraId="0A2DC718" w14:textId="77777777" w:rsidR="00B37F05" w:rsidRPr="00D06E2E" w:rsidRDefault="00B37F05" w:rsidP="00B37F05">
      <w:pPr>
        <w:rPr>
          <w:rFonts w:cstheme="minorHAnsi"/>
          <w:lang w:val="sr-Latn-RS"/>
        </w:rPr>
      </w:pPr>
      <w:r w:rsidRPr="00D06E2E">
        <w:rPr>
          <w:rFonts w:cstheme="minorHAnsi"/>
          <w:lang w:val="sr-Latn-RS"/>
        </w:rPr>
        <w:t>The Protector of Citizens also received significant media space on the occasion of the presentation of the Special Report of the Protector of Citizens on violence in schools</w:t>
      </w:r>
      <w:r w:rsidRPr="00D06E2E">
        <w:rPr>
          <w:rStyle w:val="FootnoteReference"/>
          <w:rFonts w:cstheme="minorHAnsi"/>
          <w:lang w:val="sr-Latn-RS"/>
        </w:rPr>
        <w:footnoteReference w:id="216"/>
      </w:r>
      <w:r w:rsidRPr="00D06E2E">
        <w:rPr>
          <w:rFonts w:cstheme="minorHAnsi"/>
          <w:lang w:val="sr-Latn-RS"/>
        </w:rPr>
        <w:t>,, according to which every tenth student suffers violence at school almost every day, every fifth has personally been exposed to gender-based violence, while every tenth admits to being violent himself towards peers.</w:t>
      </w:r>
    </w:p>
    <w:p w14:paraId="193B8A76" w14:textId="77777777" w:rsidR="00B37F05" w:rsidRPr="00D06E2E" w:rsidRDefault="00B37F05" w:rsidP="00B37F05">
      <w:pPr>
        <w:rPr>
          <w:lang w:val="sr-Latn-RS"/>
        </w:rPr>
      </w:pPr>
    </w:p>
    <w:p w14:paraId="1C3B80D3" w14:textId="77777777" w:rsidR="00B37F05" w:rsidRPr="00D06E2E" w:rsidRDefault="00B37F05" w:rsidP="00B37F05">
      <w:pPr>
        <w:rPr>
          <w:lang w:val="sr-Latn-RS"/>
        </w:rPr>
      </w:pPr>
    </w:p>
    <w:p w14:paraId="31C9DBB8" w14:textId="77777777" w:rsidR="00B37F05" w:rsidRPr="00D06E2E" w:rsidRDefault="00B37F05" w:rsidP="00B37F05">
      <w:pPr>
        <w:rPr>
          <w:lang w:val="sr-Latn-RS"/>
        </w:rPr>
      </w:pPr>
    </w:p>
    <w:p w14:paraId="27FEFD1C" w14:textId="77777777" w:rsidR="00B37F05" w:rsidRPr="00D06E2E" w:rsidRDefault="00B37F05" w:rsidP="00B37F05">
      <w:pPr>
        <w:rPr>
          <w:lang w:val="sr-Latn-RS"/>
        </w:rPr>
      </w:pPr>
    </w:p>
    <w:p w14:paraId="7C40D7C9" w14:textId="77777777" w:rsidR="00B37F05" w:rsidRPr="00D06E2E" w:rsidRDefault="00B37F05" w:rsidP="00B37F05">
      <w:pPr>
        <w:rPr>
          <w:lang w:val="sr-Latn-RS"/>
        </w:rPr>
      </w:pPr>
    </w:p>
    <w:p w14:paraId="5EA33832" w14:textId="77777777" w:rsidR="00B37F05" w:rsidRPr="00D06E2E" w:rsidRDefault="00B37F05" w:rsidP="00B37F05">
      <w:pPr>
        <w:rPr>
          <w:lang w:val="sr-Latn-RS"/>
        </w:rPr>
      </w:pPr>
    </w:p>
    <w:p w14:paraId="36AFD1DF" w14:textId="77777777" w:rsidR="00B37F05" w:rsidRPr="00D06E2E" w:rsidRDefault="00B37F05" w:rsidP="00B37F05">
      <w:pPr>
        <w:rPr>
          <w:lang w:val="sr-Latn-RS"/>
        </w:rPr>
      </w:pPr>
    </w:p>
    <w:p w14:paraId="12132D95" w14:textId="77777777" w:rsidR="00B37F05" w:rsidRPr="00D06E2E" w:rsidRDefault="00B37F05" w:rsidP="00B37F05">
      <w:pPr>
        <w:rPr>
          <w:lang w:val="sr-Latn-RS"/>
        </w:rPr>
      </w:pPr>
    </w:p>
    <w:p w14:paraId="04C8713E" w14:textId="77777777" w:rsidR="00B37F05" w:rsidRPr="00D06E2E" w:rsidRDefault="00B37F05" w:rsidP="00B37F05">
      <w:pPr>
        <w:rPr>
          <w:lang w:val="sr-Latn-RS"/>
        </w:rPr>
      </w:pPr>
    </w:p>
    <w:p w14:paraId="18AD0F46" w14:textId="77777777" w:rsidR="00B37F05" w:rsidRPr="00D06E2E" w:rsidRDefault="00B37F05" w:rsidP="00B37F05">
      <w:pPr>
        <w:rPr>
          <w:lang w:val="sr-Latn-RS"/>
        </w:rPr>
      </w:pPr>
    </w:p>
    <w:p w14:paraId="422FA94D" w14:textId="77777777" w:rsidR="00B37F05" w:rsidRPr="00D06E2E" w:rsidRDefault="00B37F05" w:rsidP="00B37F05">
      <w:pPr>
        <w:rPr>
          <w:lang w:val="sr-Latn-RS"/>
        </w:rPr>
      </w:pPr>
    </w:p>
    <w:p w14:paraId="397EC3A4" w14:textId="77777777" w:rsidR="00B37F05" w:rsidRPr="00D06E2E" w:rsidRDefault="00B37F05" w:rsidP="00B37F05">
      <w:pPr>
        <w:spacing w:after="0"/>
        <w:jc w:val="left"/>
        <w:rPr>
          <w:lang w:val="sr-Latn-RS"/>
        </w:rPr>
      </w:pPr>
      <w:r w:rsidRPr="00D06E2E">
        <w:rPr>
          <w:lang w:val="sr-Latn-RS"/>
        </w:rPr>
        <w:br w:type="page"/>
      </w:r>
    </w:p>
    <w:p w14:paraId="4F244E28" w14:textId="77777777" w:rsidR="00B37F05" w:rsidRPr="00D06E2E" w:rsidRDefault="00B37F05" w:rsidP="00B37F05">
      <w:pPr>
        <w:pStyle w:val="Heading1"/>
        <w:numPr>
          <w:ilvl w:val="0"/>
          <w:numId w:val="0"/>
        </w:numPr>
        <w:spacing w:before="0" w:after="0"/>
        <w:rPr>
          <w:szCs w:val="32"/>
          <w:lang w:val="sr-Latn-RS"/>
        </w:rPr>
      </w:pPr>
      <w:bookmarkStart w:id="61" w:name="_Toc35172771"/>
      <w:bookmarkStart w:id="62" w:name="_Toc66712496"/>
      <w:r w:rsidRPr="00D06E2E">
        <w:rPr>
          <w:szCs w:val="32"/>
          <w:lang w:val="sr-Latn-RS"/>
        </w:rPr>
        <w:lastRenderedPageBreak/>
        <w:t xml:space="preserve">annex I – legal framework and the scope of work of the protector of citizens </w:t>
      </w:r>
      <w:bookmarkEnd w:id="61"/>
      <w:bookmarkEnd w:id="62"/>
    </w:p>
    <w:p w14:paraId="3ED73DBB" w14:textId="77777777" w:rsidR="00B37F05" w:rsidRPr="00D06E2E" w:rsidRDefault="00B37F05" w:rsidP="00B37F05">
      <w:pPr>
        <w:spacing w:after="0"/>
        <w:rPr>
          <w:lang w:val="sr-Latn-RS"/>
        </w:rPr>
      </w:pPr>
    </w:p>
    <w:p w14:paraId="626809AC" w14:textId="77777777" w:rsidR="00B37F05" w:rsidRPr="00D06E2E" w:rsidRDefault="00B37F05" w:rsidP="00B37F05">
      <w:pPr>
        <w:jc w:val="center"/>
        <w:rPr>
          <w:noProof/>
          <w:sz w:val="24"/>
          <w:szCs w:val="24"/>
          <w:lang w:val="sr-Latn-RS"/>
        </w:rPr>
      </w:pPr>
      <w:r w:rsidRPr="00D06E2E">
        <w:rPr>
          <w:noProof/>
          <w:sz w:val="24"/>
          <w:szCs w:val="24"/>
          <w:lang w:val="sr-Latn-RS"/>
        </w:rPr>
        <w:t>LEGAL FRAMEWORK</w:t>
      </w:r>
    </w:p>
    <w:p w14:paraId="4C47E40D" w14:textId="77777777" w:rsidR="00B37F05" w:rsidRPr="00D06E2E" w:rsidRDefault="00B37F05" w:rsidP="00B37F05">
      <w:pPr>
        <w:rPr>
          <w:lang w:val="sr-Latn-RS"/>
        </w:rPr>
      </w:pPr>
      <w:r w:rsidRPr="00D06E2E">
        <w:rPr>
          <w:lang w:val="sr-Latn-RS"/>
        </w:rPr>
        <w:t>The Protector of Citizens of the Republic of Serbia is an independent and autonomous state body introduced into the legal system of the Republic of Serbia in 2005 by the Law on the Protector of Citizens</w:t>
      </w:r>
      <w:r w:rsidRPr="00D06E2E">
        <w:rPr>
          <w:vertAlign w:val="superscript"/>
          <w:lang w:val="sr-Latn-RS"/>
        </w:rPr>
        <w:footnoteReference w:id="217"/>
      </w:r>
      <w:r w:rsidRPr="00D06E2E">
        <w:rPr>
          <w:lang w:val="sr-Latn-RS"/>
        </w:rPr>
        <w:t>. The new Law on the Protector of Citizens</w:t>
      </w:r>
      <w:r w:rsidRPr="00D06E2E">
        <w:rPr>
          <w:rStyle w:val="FootnoteReference"/>
          <w:lang w:val="sr-Latn-RS"/>
        </w:rPr>
        <w:footnoteReference w:id="218"/>
      </w:r>
      <w:r w:rsidRPr="00D06E2E">
        <w:rPr>
          <w:lang w:val="sr-Latn-RS"/>
        </w:rPr>
        <w:t xml:space="preserve"> was adopted on November 3, 2021, and entered into force on November 16, 2021. The position of the institution was strengthened by the Constitution of the Republic of Serbia</w:t>
      </w:r>
      <w:r w:rsidRPr="00D06E2E">
        <w:rPr>
          <w:vertAlign w:val="superscript"/>
          <w:lang w:val="sr-Latn-RS"/>
        </w:rPr>
        <w:footnoteReference w:id="219"/>
      </w:r>
      <w:r w:rsidRPr="00D06E2E">
        <w:rPr>
          <w:lang w:val="sr-Latn-RS"/>
        </w:rPr>
        <w:t xml:space="preserve"> from 2006, in accordance with the best international experiences. The Constitution guarantees the Protector of Citizens independence in principle. Pursuant to the provisions of the Constitution, the Protector of Citizens is subject to the supervision of the National Assembly. In the exercise of supervision, the National Assembly is not authorized, as well as any other body, organization or individual, to influence the work and actions of the Protector of Citizens</w:t>
      </w:r>
      <w:r w:rsidRPr="00D06E2E">
        <w:rPr>
          <w:rStyle w:val="FootnoteReference"/>
          <w:lang w:val="sr-Latn-RS"/>
        </w:rPr>
        <w:footnoteReference w:id="220"/>
      </w:r>
      <w:r w:rsidRPr="00D06E2E">
        <w:rPr>
          <w:lang w:val="sr-Latn-RS"/>
        </w:rPr>
        <w:t>.</w:t>
      </w:r>
    </w:p>
    <w:p w14:paraId="7D049505" w14:textId="77777777" w:rsidR="00B37F05" w:rsidRPr="00D06E2E" w:rsidRDefault="00B37F05" w:rsidP="00B37F05">
      <w:pPr>
        <w:rPr>
          <w:noProof/>
          <w:lang w:val="sr-Latn-RS"/>
        </w:rPr>
      </w:pPr>
      <w:r w:rsidRPr="00D06E2E">
        <w:rPr>
          <w:b/>
          <w:noProof/>
          <w:lang w:val="sr-Latn-RS"/>
        </w:rPr>
        <w:t>The Constitution of the Republic of Serbia</w:t>
      </w:r>
      <w:r w:rsidRPr="00D06E2E">
        <w:rPr>
          <w:noProof/>
          <w:lang w:val="sr-Latn-RS"/>
        </w:rPr>
        <w:t xml:space="preserve"> determines the nature and competence of the Protector of Citizens, the circle of public authorities that are excluded from the control function of this body, prescribes that the Protector of Citizens is elected and dismissed by the National Assembly, guarantees immunity to the Protector of Citizens special (organic) law on the Protector of Citizens. The Constitution also prohibits the Protector of Citizens from membership in political parties and authorizes him to submit draft laws within his jurisdiction.</w:t>
      </w:r>
    </w:p>
    <w:p w14:paraId="33D5D9E7" w14:textId="77777777" w:rsidR="00B37F05" w:rsidRPr="00D06E2E" w:rsidRDefault="00B37F05" w:rsidP="00B37F05">
      <w:pPr>
        <w:rPr>
          <w:noProof/>
          <w:lang w:val="sr-Latn-RS"/>
        </w:rPr>
      </w:pPr>
      <w:r w:rsidRPr="00D06E2E">
        <w:rPr>
          <w:b/>
          <w:noProof/>
          <w:lang w:val="sr-Latn-RS"/>
        </w:rPr>
        <w:t>The Constitutional Law on the Implementation of the Constitution of the Republic of Serbia</w:t>
      </w:r>
      <w:r w:rsidRPr="00D06E2E">
        <w:rPr>
          <w:rStyle w:val="FootnoteReference"/>
          <w:lang w:val="sr-Latn-RS"/>
        </w:rPr>
        <w:footnoteReference w:id="221"/>
      </w:r>
      <w:r w:rsidRPr="00D06E2E">
        <w:rPr>
          <w:noProof/>
          <w:lang w:val="sr-Latn-RS"/>
        </w:rPr>
        <w:t>, inter alia, prescribes the obligation of the newly elected convocation of the National Assembly to harmonize the law governing the Protector of Citizens with the Constitution during the first session after the election of the Government and to appoint the (first, PC remark) Protector of Citizens.</w:t>
      </w:r>
    </w:p>
    <w:p w14:paraId="2E153AC7" w14:textId="77777777" w:rsidR="00B37F05" w:rsidRPr="00D06E2E" w:rsidRDefault="00B37F05" w:rsidP="00B37F05">
      <w:pPr>
        <w:rPr>
          <w:lang w:val="sr-Latn-RS"/>
        </w:rPr>
      </w:pPr>
      <w:r w:rsidRPr="00D06E2E">
        <w:rPr>
          <w:b/>
          <w:lang w:val="sr-Latn-RS"/>
        </w:rPr>
        <w:t xml:space="preserve">The new Law on the Protector of Citizens </w:t>
      </w:r>
      <w:r w:rsidRPr="00D06E2E">
        <w:rPr>
          <w:lang w:val="sr-Latn-RS"/>
        </w:rPr>
        <w:t>stipulates in detail the competence of the Protector of Citizens, the election and termination of office, the procedure before the Protector of Citizens, the obligation to submit reports to the National Assembly and cooperation with other bodies, civil society organizations and international organizations, the right to salary, means of work and the work of Professionals services of the Protector of Citizens.</w:t>
      </w:r>
    </w:p>
    <w:p w14:paraId="7F7C9F2F" w14:textId="77777777" w:rsidR="00B37F05" w:rsidRPr="00D06E2E" w:rsidRDefault="00B37F05" w:rsidP="00B37F05">
      <w:pPr>
        <w:rPr>
          <w:noProof/>
          <w:lang w:val="sr-Latn-RS"/>
        </w:rPr>
      </w:pPr>
      <w:r w:rsidRPr="00D06E2E">
        <w:rPr>
          <w:b/>
          <w:lang w:val="sr-Latn-RS"/>
        </w:rPr>
        <w:t>The Law on the Amendments to the Law on Ratification of the Optional Protocol to the Convention against Torture and Other Cruel, Inhuman or Degrading Treatment or Punishment</w:t>
      </w:r>
      <w:r w:rsidRPr="00D06E2E">
        <w:rPr>
          <w:vertAlign w:val="superscript"/>
          <w:lang w:val="sr-Latn-RS"/>
        </w:rPr>
        <w:footnoteReference w:id="222"/>
      </w:r>
      <w:r w:rsidRPr="00D06E2E">
        <w:rPr>
          <w:lang w:val="sr-Latn-RS"/>
        </w:rPr>
        <w:t>, adopted on 28 July 2011, stipulates that the Protector of Citizens carries out the activities of the National Preventive Mechanism in cooperation with Ombudsmen of Autonomous Provinces and associations whose statute foresees that the intended aim of association is the promotion and protection of human rights and freedoms.</w:t>
      </w:r>
    </w:p>
    <w:p w14:paraId="6AF3C56F" w14:textId="77777777" w:rsidR="00B37F05" w:rsidRPr="00D06E2E" w:rsidRDefault="00B37F05" w:rsidP="00B37F05">
      <w:pPr>
        <w:rPr>
          <w:lang w:val="sr-Latn-RS"/>
        </w:rPr>
      </w:pPr>
    </w:p>
    <w:p w14:paraId="24EA1ACD" w14:textId="77777777" w:rsidR="00B37F05" w:rsidRPr="00D06E2E" w:rsidRDefault="00B37F05" w:rsidP="00B37F05">
      <w:pPr>
        <w:rPr>
          <w:rFonts w:eastAsiaTheme="minorHAnsi" w:cs="Calibri"/>
          <w:iCs/>
          <w:lang w:val="sr-Latn-RS"/>
        </w:rPr>
      </w:pPr>
      <w:r w:rsidRPr="00D06E2E">
        <w:rPr>
          <w:rFonts w:eastAsiaTheme="minorHAnsi" w:cs="Calibri"/>
          <w:b/>
          <w:iCs/>
          <w:lang w:val="sr-Latn-RS"/>
        </w:rPr>
        <w:t>The Law on Aliens</w:t>
      </w:r>
      <w:r w:rsidRPr="00D06E2E">
        <w:rPr>
          <w:rStyle w:val="FootnoteReference"/>
          <w:lang w:val="sr-Latn-RS"/>
        </w:rPr>
        <w:footnoteReference w:id="223"/>
      </w:r>
      <w:r w:rsidRPr="00D06E2E">
        <w:rPr>
          <w:rFonts w:eastAsiaTheme="minorHAnsi" w:cs="Calibri"/>
          <w:iCs/>
          <w:lang w:val="sr-Latn-RS"/>
        </w:rPr>
        <w:t xml:space="preserve"> stipulates that the Protector of Citizens, in accordance with the competencies from the Law on the Protector of Citizens and the Law on Ratification of the Optional Protocol to the Convention against Torture and Other Cruel, Inhuman or Degrading Treatment or Punishment, supervises the procedure of forcible removal of an alien.</w:t>
      </w:r>
    </w:p>
    <w:p w14:paraId="4412FE78" w14:textId="77777777" w:rsidR="00B37F05" w:rsidRPr="00D06E2E" w:rsidRDefault="00B37F05" w:rsidP="00B37F05">
      <w:pPr>
        <w:rPr>
          <w:lang w:val="sr-Latn-RS"/>
        </w:rPr>
      </w:pPr>
      <w:r w:rsidRPr="00D06E2E">
        <w:rPr>
          <w:b/>
          <w:lang w:val="sr-Latn-RS"/>
        </w:rPr>
        <w:t>The Law on the National Assembly</w:t>
      </w:r>
      <w:r w:rsidRPr="00D06E2E">
        <w:rPr>
          <w:rStyle w:val="FootnoteReference"/>
          <w:lang w:val="sr-Latn-RS"/>
        </w:rPr>
        <w:footnoteReference w:id="224"/>
      </w:r>
      <w:r w:rsidRPr="00D06E2E">
        <w:rPr>
          <w:lang w:val="sr-Latn-RS"/>
        </w:rPr>
        <w:t xml:space="preserve"> stipulates, among other things, that the National Assembly, in its voting capacity, elects and dismisses the Protector of Citizens and, within its oversight capacity, oversees the work of the Protector of Citizens.</w:t>
      </w:r>
    </w:p>
    <w:p w14:paraId="27B90CD3" w14:textId="77777777" w:rsidR="00B37F05" w:rsidRPr="00D06E2E" w:rsidRDefault="00B37F05" w:rsidP="00B37F05">
      <w:pPr>
        <w:rPr>
          <w:noProof/>
          <w:lang w:val="sr-Latn-RS"/>
        </w:rPr>
      </w:pPr>
      <w:r w:rsidRPr="00D06E2E">
        <w:rPr>
          <w:b/>
          <w:lang w:val="sr-Latn-RS"/>
        </w:rPr>
        <w:t>The Law on the Serbian Armed Forces</w:t>
      </w:r>
      <w:r w:rsidRPr="00D06E2E">
        <w:rPr>
          <w:vertAlign w:val="superscript"/>
          <w:lang w:val="sr-Latn-RS"/>
        </w:rPr>
        <w:footnoteReference w:id="225"/>
      </w:r>
      <w:r w:rsidRPr="00D06E2E">
        <w:rPr>
          <w:vertAlign w:val="superscript"/>
          <w:lang w:val="sr-Latn-RS"/>
        </w:rPr>
        <w:t xml:space="preserve"> </w:t>
      </w:r>
      <w:r w:rsidRPr="00D06E2E">
        <w:rPr>
          <w:lang w:val="sr-Latn-RS"/>
        </w:rPr>
        <w:t>stipulates that the Protector of Citizens also executes democratic civilian oversight of the Army, as well as that the regulations on the Protector of Citizens referring to the protection and exercise of rights of citizens are also applied to the professional members of the Serbian Armed Forces.</w:t>
      </w:r>
    </w:p>
    <w:p w14:paraId="012DBC38" w14:textId="77777777" w:rsidR="00B37F05" w:rsidRPr="00D06E2E" w:rsidRDefault="00B37F05" w:rsidP="00B37F05">
      <w:pPr>
        <w:rPr>
          <w:rFonts w:eastAsiaTheme="minorHAnsi" w:cs="Calibri"/>
          <w:iCs/>
          <w:lang w:val="sr-Latn-RS"/>
        </w:rPr>
      </w:pPr>
      <w:r w:rsidRPr="00D06E2E">
        <w:rPr>
          <w:rFonts w:eastAsiaTheme="minorHAnsi" w:cs="Calibri"/>
          <w:b/>
          <w:iCs/>
          <w:lang w:val="sr-Latn-RS"/>
        </w:rPr>
        <w:t>The Law on Police</w:t>
      </w:r>
      <w:r w:rsidRPr="00D06E2E">
        <w:rPr>
          <w:rStyle w:val="FootnoteReference"/>
          <w:lang w:val="sr-Latn-RS"/>
        </w:rPr>
        <w:footnoteReference w:id="226"/>
      </w:r>
      <w:r w:rsidRPr="00D06E2E">
        <w:rPr>
          <w:rFonts w:eastAsiaTheme="minorHAnsi" w:cs="Calibri"/>
          <w:iCs/>
          <w:vertAlign w:val="superscript"/>
          <w:lang w:val="sr-Latn-RS"/>
        </w:rPr>
        <w:t xml:space="preserve"> </w:t>
      </w:r>
      <w:r w:rsidRPr="00D06E2E">
        <w:rPr>
          <w:rFonts w:eastAsiaTheme="minorHAnsi" w:cs="Calibri"/>
          <w:iCs/>
          <w:lang w:val="sr-Latn-RS"/>
        </w:rPr>
        <w:t>prescribes that when the work of the Internal Control Sector determines that during the actions of a police officer police powers were violated, thus violating the rights protected by the Protector of Citizens, the Protector of Citizens is notified.</w:t>
      </w:r>
    </w:p>
    <w:p w14:paraId="529A6159" w14:textId="77777777" w:rsidR="00B37F05" w:rsidRPr="00D06E2E" w:rsidRDefault="00B37F05" w:rsidP="00B37F05">
      <w:pPr>
        <w:shd w:val="clear" w:color="auto" w:fill="FFFFFF"/>
        <w:rPr>
          <w:lang w:val="sr-Latn-RS"/>
        </w:rPr>
      </w:pPr>
      <w:r w:rsidRPr="00D06E2E">
        <w:rPr>
          <w:b/>
          <w:lang w:val="sr-Latn-RS"/>
        </w:rPr>
        <w:t>The Criminal Procedure Code</w:t>
      </w:r>
      <w:r w:rsidRPr="00D06E2E">
        <w:rPr>
          <w:vertAlign w:val="superscript"/>
          <w:lang w:val="sr-Latn-RS"/>
        </w:rPr>
        <w:footnoteReference w:id="227"/>
      </w:r>
      <w:r w:rsidRPr="00D06E2E">
        <w:rPr>
          <w:lang w:val="sr-Latn-RS"/>
        </w:rPr>
        <w:t xml:space="preserve"> stipulates that the Protector of Citizens has the right to visit detainees freely and to talk to them without the presence of other persons, and that the detainee cannot be prohibited from having correspondence in writing with the Protector of Citizens. The law also envisages the obligation of a penal judge, or another judge assigned by the president of the court to inform the Protector of Citizens without delay of any irregularities observed during the visit to the institution.</w:t>
      </w:r>
    </w:p>
    <w:p w14:paraId="0795653C" w14:textId="77777777" w:rsidR="00B37F05" w:rsidRPr="00D06E2E" w:rsidRDefault="00B37F05" w:rsidP="00B37F05">
      <w:pPr>
        <w:rPr>
          <w:lang w:val="sr-Latn-RS"/>
        </w:rPr>
      </w:pPr>
      <w:r w:rsidRPr="00D06E2E">
        <w:rPr>
          <w:b/>
          <w:lang w:val="sr-Latn-RS"/>
        </w:rPr>
        <w:t>The Law on the Enforcement of the Prison Sentence for Criminal Offences of Organized Crime</w:t>
      </w:r>
      <w:r w:rsidRPr="00D06E2E">
        <w:rPr>
          <w:b/>
          <w:vertAlign w:val="superscript"/>
          <w:lang w:val="sr-Latn-RS"/>
        </w:rPr>
        <w:footnoteReference w:id="228"/>
      </w:r>
      <w:r w:rsidRPr="00D06E2E">
        <w:rPr>
          <w:vertAlign w:val="superscript"/>
          <w:lang w:val="sr-Latn-RS"/>
        </w:rPr>
        <w:t xml:space="preserve"> </w:t>
      </w:r>
      <w:r w:rsidRPr="00D06E2E">
        <w:rPr>
          <w:lang w:val="sr-Latn-RS"/>
        </w:rPr>
        <w:t xml:space="preserve">stipulates, inter alia, that the oversight of the work of the Special Units carried out by the authorized officers of the Administration and the committee appointed by the National Assembly, in accordance with the Law on Enforcement of Penal Sanctions, as well as by the Protector of Citizens, in accordance with the Law on the Protector of Citizens; inmates have the right to be visited by the Protector of Citizens once a month, which is exempted from the otherwise legal obligation for audio-visual surveillance and recording, and that the inmates have the right to hold correspondence with the Protector of Citizens, and that correspondence is not subject to surveillance. </w:t>
      </w:r>
    </w:p>
    <w:p w14:paraId="09595BD5" w14:textId="77777777" w:rsidR="00B37F05" w:rsidRPr="00D06E2E" w:rsidRDefault="00B37F05" w:rsidP="00B37F05">
      <w:pPr>
        <w:rPr>
          <w:lang w:val="sr-Latn-RS"/>
        </w:rPr>
      </w:pPr>
      <w:r w:rsidRPr="00D06E2E">
        <w:rPr>
          <w:b/>
          <w:lang w:val="sr-Latn-RS"/>
        </w:rPr>
        <w:t>The Law on Civil Servants</w:t>
      </w:r>
      <w:r w:rsidRPr="00D06E2E">
        <w:rPr>
          <w:vertAlign w:val="superscript"/>
          <w:lang w:val="sr-Latn-RS"/>
        </w:rPr>
        <w:footnoteReference w:id="229"/>
      </w:r>
      <w:r w:rsidRPr="00D06E2E">
        <w:rPr>
          <w:lang w:val="sr-Latn-RS"/>
        </w:rPr>
        <w:t xml:space="preserve"> prescribes that the employment of a civil servant is terminated, inter alia, if the body or authority responsible for the appointment of a civil servant accepts the public recommendation of the Protector of Citizens for the dismissal of a civil servant from his position.</w:t>
      </w:r>
    </w:p>
    <w:p w14:paraId="4424B439" w14:textId="77777777" w:rsidR="00B37F05" w:rsidRPr="00D06E2E" w:rsidRDefault="00B37F05" w:rsidP="00B37F05">
      <w:pPr>
        <w:rPr>
          <w:lang w:val="sr-Latn-RS"/>
        </w:rPr>
      </w:pPr>
    </w:p>
    <w:p w14:paraId="4F22D13D" w14:textId="77777777" w:rsidR="00B37F05" w:rsidRPr="00D06E2E" w:rsidRDefault="00B37F05" w:rsidP="00B37F05">
      <w:pPr>
        <w:rPr>
          <w:lang w:val="sr-Latn-RS"/>
        </w:rPr>
      </w:pPr>
      <w:r w:rsidRPr="00D06E2E">
        <w:rPr>
          <w:b/>
          <w:lang w:val="sr-Latn-RS"/>
        </w:rPr>
        <w:lastRenderedPageBreak/>
        <w:t>The Law on Information Confidentiality</w:t>
      </w:r>
      <w:r w:rsidRPr="00D06E2E">
        <w:rPr>
          <w:rStyle w:val="FootnoteReference"/>
          <w:lang w:val="sr-Latn-RS"/>
        </w:rPr>
        <w:footnoteReference w:id="230"/>
      </w:r>
      <w:r w:rsidRPr="00D06E2E">
        <w:rPr>
          <w:vertAlign w:val="superscript"/>
          <w:lang w:val="sr-Latn-RS"/>
        </w:rPr>
        <w:t xml:space="preserve"> </w:t>
      </w:r>
      <w:r w:rsidRPr="00D06E2E">
        <w:rPr>
          <w:lang w:val="sr-Latn-RS"/>
        </w:rPr>
        <w:t>prescribes in which cases the Protector of Citizens, as a public authority appointed by the National Assembly, is authorized to access information of all degrees of confidentiality that are necessary for the performance of tasks within his competence without a security check, as well as cases where a security check is required.</w:t>
      </w:r>
    </w:p>
    <w:p w14:paraId="05C1E589" w14:textId="77777777" w:rsidR="00B37F05" w:rsidRPr="00D06E2E" w:rsidRDefault="00B37F05" w:rsidP="00B37F05">
      <w:pPr>
        <w:rPr>
          <w:noProof/>
          <w:lang w:val="sr-Latn-RS"/>
        </w:rPr>
      </w:pPr>
      <w:r w:rsidRPr="00D06E2E">
        <w:rPr>
          <w:b/>
          <w:lang w:val="sr-Latn-RS"/>
        </w:rPr>
        <w:t>The Law on the Form and Use of the Coat of Arms, Flag and Anthem of the Republic of Serbia</w:t>
      </w:r>
      <w:r w:rsidRPr="00D06E2E">
        <w:rPr>
          <w:rStyle w:val="FootnoteReference"/>
          <w:lang w:val="sr-Latn-RS"/>
        </w:rPr>
        <w:footnoteReference w:id="231"/>
      </w:r>
      <w:r w:rsidRPr="00D06E2E">
        <w:rPr>
          <w:lang w:val="sr-Latn-RS"/>
        </w:rPr>
        <w:t xml:space="preserve"> stipulates that the Large Coat of Arms is to be used on the building, in the offices, on the stamp and on invitations, congratulatory cards, etc. of the Protector of Citizens.</w:t>
      </w:r>
    </w:p>
    <w:p w14:paraId="7A8F5A1C" w14:textId="77777777" w:rsidR="00B37F05" w:rsidRPr="00D06E2E" w:rsidRDefault="00B37F05" w:rsidP="00B37F05">
      <w:pPr>
        <w:rPr>
          <w:lang w:val="sr-Latn-RS"/>
        </w:rPr>
      </w:pPr>
      <w:r w:rsidRPr="00D06E2E">
        <w:rPr>
          <w:b/>
          <w:lang w:val="sr-Latn-RS"/>
        </w:rPr>
        <w:t>The Law on the Seal of the State and Other Bodies</w:t>
      </w:r>
      <w:r w:rsidRPr="00D06E2E">
        <w:rPr>
          <w:rStyle w:val="FootnoteReference"/>
          <w:lang w:val="sr-Latn-RS"/>
        </w:rPr>
        <w:footnoteReference w:id="232"/>
      </w:r>
      <w:r w:rsidRPr="00D06E2E">
        <w:rPr>
          <w:b/>
          <w:lang w:val="sr-Latn-RS"/>
        </w:rPr>
        <w:t xml:space="preserve"> </w:t>
      </w:r>
      <w:r w:rsidRPr="00D06E2E">
        <w:rPr>
          <w:lang w:val="sr-Latn-RS"/>
        </w:rPr>
        <w:t xml:space="preserve"> regulates the purpose, content, appearance and use of seals used by the Protector of Citizens in the performance of his duties.</w:t>
      </w:r>
    </w:p>
    <w:p w14:paraId="6880DDDA" w14:textId="77777777" w:rsidR="00B37F05" w:rsidRPr="00D06E2E" w:rsidRDefault="00B37F05" w:rsidP="00B37F05">
      <w:pPr>
        <w:rPr>
          <w:noProof/>
          <w:lang w:val="sr-Latn-RS"/>
        </w:rPr>
      </w:pPr>
      <w:r w:rsidRPr="00D06E2E">
        <w:rPr>
          <w:b/>
          <w:lang w:val="sr-Latn-RS"/>
        </w:rPr>
        <w:t>The Law on Political Parties</w:t>
      </w:r>
      <w:r w:rsidRPr="00D06E2E">
        <w:rPr>
          <w:rStyle w:val="FootnoteReference"/>
          <w:lang w:val="sr-Latn-RS"/>
        </w:rPr>
        <w:footnoteReference w:id="233"/>
      </w:r>
      <w:r w:rsidRPr="00D06E2E">
        <w:rPr>
          <w:lang w:val="sr-Latn-RS"/>
        </w:rPr>
        <w:t xml:space="preserve"> stipulates that the Protector of Citizens cannot be a member of a political party.</w:t>
      </w:r>
    </w:p>
    <w:p w14:paraId="32CBF3CD" w14:textId="77777777" w:rsidR="00B37F05" w:rsidRPr="00D06E2E" w:rsidRDefault="00B37F05" w:rsidP="00B37F05">
      <w:pPr>
        <w:rPr>
          <w:noProof/>
          <w:lang w:val="sr-Latn-RS"/>
        </w:rPr>
      </w:pPr>
      <w:r w:rsidRPr="00D06E2E">
        <w:rPr>
          <w:b/>
          <w:noProof/>
          <w:lang w:val="sr-Latn-RS"/>
        </w:rPr>
        <w:t>The Law on Establishing Facts on the Status of Newborn Children Suspected of Missing from a Maternity Hospital in the Republic of Serbia</w:t>
      </w:r>
      <w:r w:rsidRPr="00D06E2E">
        <w:rPr>
          <w:rStyle w:val="FootnoteReference"/>
          <w:lang w:val="sr-Latn-RS"/>
        </w:rPr>
        <w:footnoteReference w:id="234"/>
      </w:r>
      <w:r w:rsidRPr="00D06E2E">
        <w:rPr>
          <w:b/>
          <w:noProof/>
          <w:vertAlign w:val="superscript"/>
          <w:lang w:val="sr-Latn-RS"/>
        </w:rPr>
        <w:t xml:space="preserve"> </w:t>
      </w:r>
      <w:r w:rsidRPr="00D06E2E">
        <w:rPr>
          <w:noProof/>
          <w:lang w:val="sr-Latn-RS"/>
        </w:rPr>
        <w:t xml:space="preserve">prescribes, inter alia, that a proposal to initiate proceedings </w:t>
      </w:r>
      <w:r w:rsidRPr="00D06E2E">
        <w:rPr>
          <w:b/>
          <w:noProof/>
          <w:lang w:val="sr-Latn-RS"/>
        </w:rPr>
        <w:t>to establish facts on the status of a newborn child suspected of missing from a maternity hospital in the Republic of Serbia</w:t>
      </w:r>
      <w:r w:rsidRPr="00D06E2E">
        <w:rPr>
          <w:noProof/>
          <w:lang w:val="sr-Latn-RS"/>
        </w:rPr>
        <w:t xml:space="preserve"> may to be submitted by the parent of the newborn child, if by the day of entry into force of this Law he/she addressed the state authorities or the maternity hospital regarding the status of the newborn child suspected of having disappeared from the maternity hospital in the Republic of Serbia; that if no parent is alive, the proceedings may be instituted by the brother, sister, grandfather or grandmother of the missing newborn child, regardless of whether they have addressed the state authorities or the maternity hospital regarding the status of the newborn child; then that the proposal can be submitted by a person who doubts his/her origin, regardless of whether he/she has addressed the state authorities regarding his/her family status; and that the proposal on behalf of these persons may be submitted by the Protector of Citizens.</w:t>
      </w:r>
    </w:p>
    <w:p w14:paraId="5554BFC3" w14:textId="77777777" w:rsidR="00B37F05" w:rsidRPr="00D06E2E" w:rsidRDefault="00B37F05" w:rsidP="00B37F05">
      <w:pPr>
        <w:rPr>
          <w:lang w:val="sr-Latn-RS"/>
        </w:rPr>
      </w:pPr>
      <w:r w:rsidRPr="00D06E2E">
        <w:rPr>
          <w:b/>
          <w:lang w:val="sr-Latn-RS"/>
        </w:rPr>
        <w:t>The Law on Patients' Rights</w:t>
      </w:r>
      <w:r w:rsidRPr="00D06E2E">
        <w:rPr>
          <w:rStyle w:val="FootnoteReference"/>
          <w:lang w:val="sr-Latn-RS"/>
        </w:rPr>
        <w:footnoteReference w:id="235"/>
      </w:r>
      <w:r w:rsidRPr="00D06E2E">
        <w:rPr>
          <w:lang w:val="sr-Latn-RS"/>
        </w:rPr>
        <w:t xml:space="preserve"> stipulates that the Health Council, formed by the local self-government unit, shall submit its annual work report and measures taken to protect the rights of patients to the Protector of Citizens for the purpose of exchanging information and achieving the necessary cooperation.</w:t>
      </w:r>
    </w:p>
    <w:p w14:paraId="2F4D6FD6" w14:textId="77777777" w:rsidR="00B37F05" w:rsidRPr="00D06E2E" w:rsidRDefault="00B37F05" w:rsidP="00B37F05">
      <w:pPr>
        <w:rPr>
          <w:lang w:val="sr-Latn-RS"/>
        </w:rPr>
      </w:pPr>
      <w:r w:rsidRPr="00D06E2E">
        <w:rPr>
          <w:b/>
          <w:lang w:val="sr-Latn-RS"/>
        </w:rPr>
        <w:t>The Law on Public Property</w:t>
      </w:r>
      <w:r w:rsidRPr="00D06E2E">
        <w:rPr>
          <w:rStyle w:val="FootnoteReference"/>
          <w:lang w:val="sr-Latn-RS"/>
        </w:rPr>
        <w:footnoteReference w:id="236"/>
      </w:r>
      <w:r w:rsidRPr="00D06E2E">
        <w:rPr>
          <w:lang w:val="sr-Latn-RS"/>
        </w:rPr>
        <w:t xml:space="preserve"> stipulates that administrative authorities and organizations within the meaning of that Law are deemed to include, inter alia, the Protector of Citizens.</w:t>
      </w:r>
    </w:p>
    <w:p w14:paraId="48C82FF8" w14:textId="77777777" w:rsidR="00B37F05" w:rsidRPr="00D06E2E" w:rsidRDefault="00B37F05" w:rsidP="00B37F05">
      <w:pPr>
        <w:rPr>
          <w:lang w:val="sr-Latn-RS"/>
        </w:rPr>
      </w:pPr>
      <w:r w:rsidRPr="00D06E2E">
        <w:rPr>
          <w:b/>
          <w:lang w:val="sr-Latn-RS"/>
        </w:rPr>
        <w:t>The Law on the Budget System</w:t>
      </w:r>
      <w:r w:rsidRPr="00D06E2E">
        <w:rPr>
          <w:rStyle w:val="FootnoteReference"/>
          <w:lang w:val="sr-Latn-RS"/>
        </w:rPr>
        <w:footnoteReference w:id="237"/>
      </w:r>
      <w:r w:rsidRPr="00D06E2E">
        <w:rPr>
          <w:lang w:val="sr-Latn-RS"/>
        </w:rPr>
        <w:t xml:space="preserve"> stipulates that the Protector of Citizens must seek the approval of the National Assembly Committee in charge of administrative and budget-related matters for engaging or hiring every new person.</w:t>
      </w:r>
    </w:p>
    <w:p w14:paraId="42E52505" w14:textId="77777777" w:rsidR="00B37F05" w:rsidRPr="00D06E2E" w:rsidRDefault="00B37F05" w:rsidP="00B37F05">
      <w:pPr>
        <w:rPr>
          <w:lang w:val="sr-Latn-RS"/>
        </w:rPr>
      </w:pPr>
    </w:p>
    <w:p w14:paraId="6BCA082E" w14:textId="77777777" w:rsidR="00B37F05" w:rsidRPr="00D06E2E" w:rsidRDefault="00B37F05" w:rsidP="00B37F05">
      <w:pPr>
        <w:rPr>
          <w:lang w:val="sr-Latn-RS"/>
        </w:rPr>
      </w:pPr>
      <w:r w:rsidRPr="00D06E2E">
        <w:rPr>
          <w:b/>
          <w:lang w:val="sr-Latn-RS"/>
        </w:rPr>
        <w:t>The Law on General Administrative Procedure</w:t>
      </w:r>
      <w:r w:rsidRPr="00D06E2E">
        <w:rPr>
          <w:rStyle w:val="FootnoteReference"/>
          <w:lang w:val="sr-Latn-RS"/>
        </w:rPr>
        <w:footnoteReference w:id="238"/>
      </w:r>
      <w:r w:rsidRPr="00D06E2E">
        <w:rPr>
          <w:lang w:val="sr-Latn-RS"/>
        </w:rPr>
        <w:t xml:space="preserve"> stipulates that the extraordinary legal remedy in the administrative procedure - Annulment, revocation or alteration of a final decision at the recommendation of the Protector of Citizens. By the provisions of the Law, it was prescribed that at the recommendation of the Protector of Citizens, in order to comply with the law, a new decision may annul, revoke or amend a final decision, if the party whose rights or obligations are the subject of that decision, as well as the opposing party, accept it and if it does not offend the interest of a third party. If the body does not consider it necessary to act upon the recommendation of the Protector of Citizens, it shall immediately inform him about it. The annulment, revocation or amendment of the decision at the recommendation of the Protector of Citizens is not limited by a deadline,</w:t>
      </w:r>
    </w:p>
    <w:p w14:paraId="40A8C4F9" w14:textId="77777777" w:rsidR="00B37F05" w:rsidRPr="00D06E2E" w:rsidRDefault="00B37F05" w:rsidP="00B37F05">
      <w:pPr>
        <w:rPr>
          <w:lang w:val="sr-Latn-RS"/>
        </w:rPr>
      </w:pPr>
      <w:r w:rsidRPr="00D06E2E">
        <w:rPr>
          <w:b/>
          <w:lang w:val="sr-Latn-RS"/>
        </w:rPr>
        <w:t>Action Plan for Chapter 23</w:t>
      </w:r>
      <w:r w:rsidRPr="00D06E2E">
        <w:rPr>
          <w:rStyle w:val="FootnoteReference"/>
          <w:lang w:val="sr-Latn-RS"/>
        </w:rPr>
        <w:footnoteReference w:id="239"/>
      </w:r>
      <w:r w:rsidRPr="00D06E2E">
        <w:rPr>
          <w:vertAlign w:val="superscript"/>
          <w:lang w:val="sr-Latn-RS"/>
        </w:rPr>
        <w:t xml:space="preserve"> </w:t>
      </w:r>
      <w:r w:rsidRPr="00D06E2E">
        <w:rPr>
          <w:lang w:val="sr-Latn-RS"/>
        </w:rPr>
        <w:t>defines the reports of the Protector of Citizens, annual and special, as well as reports of the National Preventive Mechanism, for the impact indicators on the basis of which the activities planned in the process of accession of the Republic of Serbia to the European Union are assessed.</w:t>
      </w:r>
    </w:p>
    <w:p w14:paraId="25994C77" w14:textId="77777777" w:rsidR="00B37F05" w:rsidRPr="00D06E2E" w:rsidRDefault="00B37F05" w:rsidP="00B37F05">
      <w:pPr>
        <w:rPr>
          <w:lang w:val="sr-Latn-RS"/>
        </w:rPr>
      </w:pPr>
      <w:r w:rsidRPr="00D06E2E">
        <w:rPr>
          <w:lang w:val="sr-Latn-RS"/>
        </w:rPr>
        <w:t>In its Screening Report for Chapter 23, the European Commission issued a recommendation to “Strengthen the capacities of the Protector of Citizens (especially with regard to his role as a National Preventive Mechanism), the provincial local ombudsmen services” (Recommendation 3.2.1 in the Action Plan on Chapter 23). For the purpose of implementing recommendation 3.2.1, the Action Plan envisages measures related to strengthening of the capacities of the Protector of Citizens through the amendments of the Law on the Protector of Citizens which would reinforce independence and specify his powers in accordance with the achieved degree of development of this institution; through the human resources capacity building of the institution in terms of adopting a new Rulebook on Internal Organization and Systematization of Job Positions in the Secretariat of the Protector of Citizens; providing permanent premises for the institution of the Protector of Citizens; as well as measures aimed at strengthening the Protector of Citizens‘ influence by imposing a duty to report to the European Commission on the compliance of public authorities with the recommendations issued by this independent state body, both in the capacity of the Protector of Citizens and in capacity of the National Preventive Mechanism.</w:t>
      </w:r>
    </w:p>
    <w:p w14:paraId="05173A11" w14:textId="4C685F0F" w:rsidR="00B37F05" w:rsidRPr="00D06E2E" w:rsidRDefault="00B37F05" w:rsidP="00B37F05">
      <w:pPr>
        <w:rPr>
          <w:lang w:val="sr-Latn-RS"/>
        </w:rPr>
      </w:pPr>
      <w:r w:rsidRPr="00D06E2E">
        <w:rPr>
          <w:lang w:val="sr-Latn-RS"/>
        </w:rPr>
        <w:t>The Protector of Citizens is also mentioned in over 20 strategies and action plans, for example: Strategy for Public Administration Reform in the Republic of Serbia for the period 2021-2030</w:t>
      </w:r>
      <w:r w:rsidRPr="00D06E2E">
        <w:rPr>
          <w:rStyle w:val="FootnoteReference"/>
          <w:rFonts w:cstheme="minorHAnsi"/>
          <w:lang w:val="sr-Latn-RS"/>
        </w:rPr>
        <w:footnoteReference w:id="240"/>
      </w:r>
      <w:r w:rsidRPr="00D06E2E">
        <w:rPr>
          <w:lang w:val="sr-Latn-RS"/>
        </w:rPr>
        <w:t>, Strategy for social inclusion of Roma men and women in the Republic of Serbia for the period 2022-2030</w:t>
      </w:r>
      <w:r w:rsidRPr="00D06E2E">
        <w:rPr>
          <w:rStyle w:val="FootnoteReference"/>
          <w:lang w:val="sr-Latn-RS"/>
        </w:rPr>
        <w:footnoteReference w:id="241"/>
      </w:r>
      <w:r w:rsidRPr="00D06E2E">
        <w:rPr>
          <w:lang w:val="sr-Latn-RS"/>
        </w:rPr>
        <w:t>, Strategy for the development of the public information system in the Republic of Serbia for the period from 2020 to 2025</w:t>
      </w:r>
      <w:r w:rsidRPr="00D06E2E">
        <w:rPr>
          <w:rStyle w:val="FootnoteReference"/>
          <w:lang w:val="sr-Latn-RS"/>
        </w:rPr>
        <w:footnoteReference w:id="242"/>
      </w:r>
      <w:r w:rsidRPr="00D06E2E">
        <w:rPr>
          <w:lang w:val="sr-Latn-RS"/>
        </w:rPr>
        <w:t>, Strategy for prevention and protection against discrimination</w:t>
      </w:r>
      <w:r w:rsidRPr="00D06E2E">
        <w:rPr>
          <w:rStyle w:val="FootnoteReference"/>
          <w:lang w:val="sr-Latn-RS"/>
        </w:rPr>
        <w:footnoteReference w:id="243"/>
      </w:r>
      <w:r w:rsidRPr="00D06E2E">
        <w:rPr>
          <w:lang w:val="sr-Latn-RS"/>
        </w:rPr>
        <w:t>, Strategy for prevention and protection against discrimination for the period from 2022 to 2030</w:t>
      </w:r>
      <w:r w:rsidRPr="00D06E2E">
        <w:rPr>
          <w:rStyle w:val="FootnoteReference"/>
          <w:lang w:val="sr-Latn-RS"/>
        </w:rPr>
        <w:footnoteReference w:id="244"/>
      </w:r>
      <w:r w:rsidRPr="00D06E2E">
        <w:rPr>
          <w:lang w:val="sr-Latn-RS"/>
        </w:rPr>
        <w:t>, Strategy for improving the position of persons with disabilities to the Republic of Serbia for the period from 2020 to 2024</w:t>
      </w:r>
      <w:r w:rsidRPr="00D06E2E">
        <w:rPr>
          <w:rStyle w:val="FootnoteReference"/>
          <w:lang w:val="sr-Latn-RS"/>
        </w:rPr>
        <w:footnoteReference w:id="245"/>
      </w:r>
      <w:r w:rsidRPr="00D06E2E">
        <w:rPr>
          <w:lang w:val="sr-Latn-RS"/>
        </w:rPr>
        <w:t xml:space="preserve">, Strategy for the Implementation of the Convention on the Availability of Information, Public Participation in Decision Making </w:t>
      </w:r>
      <w:r w:rsidRPr="00D06E2E">
        <w:rPr>
          <w:lang w:val="sr-Latn-RS"/>
        </w:rPr>
        <w:lastRenderedPageBreak/>
        <w:t>and the Right to Legal Protection in Environmental Matters - the Aarhus Convention</w:t>
      </w:r>
      <w:r w:rsidRPr="00D06E2E">
        <w:rPr>
          <w:rStyle w:val="FootnoteReference"/>
          <w:lang w:val="sr-Latn-RS"/>
        </w:rPr>
        <w:footnoteReference w:id="246"/>
      </w:r>
      <w:r w:rsidRPr="00D06E2E">
        <w:rPr>
          <w:lang w:val="sr-Latn-RS"/>
        </w:rPr>
        <w:t>, National Strategy for the Prevention and Protection of Children from Violence</w:t>
      </w:r>
      <w:r w:rsidRPr="00D06E2E">
        <w:rPr>
          <w:rStyle w:val="FootnoteReference"/>
          <w:lang w:val="sr-Latn-RS"/>
        </w:rPr>
        <w:footnoteReference w:id="247"/>
      </w:r>
      <w:r w:rsidRPr="00D06E2E">
        <w:rPr>
          <w:lang w:val="sr-Latn-RS"/>
        </w:rPr>
        <w:t>, Strategy for prevention and fight against gender-based violence against women and domestic violence for the period 2021-2025</w:t>
      </w:r>
      <w:r w:rsidRPr="00D06E2E">
        <w:rPr>
          <w:rStyle w:val="FootnoteReference"/>
          <w:rFonts w:cstheme="minorHAnsi"/>
          <w:lang w:val="sr-Latn-RS"/>
        </w:rPr>
        <w:footnoteReference w:id="248"/>
      </w:r>
      <w:r w:rsidRPr="00D06E2E">
        <w:rPr>
          <w:lang w:val="sr-Latn-RS"/>
        </w:rPr>
        <w:t>, the Strategy for the Development of Education and Training in the Republic of Serbia until 2030</w:t>
      </w:r>
      <w:r w:rsidRPr="00D06E2E">
        <w:rPr>
          <w:rStyle w:val="FootnoteReference"/>
          <w:rFonts w:cstheme="minorHAnsi"/>
          <w:lang w:val="sr-Latn-RS"/>
        </w:rPr>
        <w:footnoteReference w:id="249"/>
      </w:r>
      <w:r w:rsidRPr="00D06E2E">
        <w:rPr>
          <w:lang w:val="sr-Latn-RS"/>
        </w:rPr>
        <w:t>, the Action Plan for Realizing the Rights of National Minorities, the Action Plan for the Implementation of the Strategy for the Social Inclusion of Roma and Roma Women in the Republic of Serbia for the Period from 2016 to 2025, the Action Plan for period 2022-2024. for the implementation of the Strategy for the Social Inclusion of Roma and Roma Women in the Republic of Serbia for the period 2022-2030</w:t>
      </w:r>
      <w:r w:rsidR="006F7DDA" w:rsidRPr="00D06E2E">
        <w:rPr>
          <w:rStyle w:val="FootnoteReference"/>
          <w:lang w:val="sr-Latn-RS"/>
        </w:rPr>
        <w:footnoteReference w:id="250"/>
      </w:r>
      <w:r w:rsidRPr="00D06E2E">
        <w:rPr>
          <w:lang w:val="sr-Latn-RS"/>
        </w:rPr>
        <w:t>, the Action Plan for the implementation of the Strategy for the Improvement of the Position of Persons with Disabilities in the Republic of Serbia for the period from 2020 to 2024 and for the period from 2023 to 2024</w:t>
      </w:r>
      <w:r w:rsidRPr="00D06E2E">
        <w:rPr>
          <w:rStyle w:val="FootnoteReference"/>
          <w:rFonts w:cstheme="minorHAnsi"/>
          <w:lang w:val="sr-Latn-RS"/>
        </w:rPr>
        <w:footnoteReference w:id="251"/>
      </w:r>
      <w:r w:rsidRPr="00D06E2E">
        <w:rPr>
          <w:rFonts w:cstheme="minorHAnsi"/>
          <w:lang w:val="sr-Latn-RS"/>
        </w:rPr>
        <w:t>,</w:t>
      </w:r>
      <w:r w:rsidRPr="00D06E2E">
        <w:rPr>
          <w:lang w:val="sr-Latn-RS"/>
        </w:rPr>
        <w:t xml:space="preserve"> etc. With this Action Plan, the Protector of Citizens is designated to perform the duties of the National Independent Mechanism for Monitoring the Implementation of the United Nations Convention on the Rights of Persons with Disabilities.</w:t>
      </w:r>
    </w:p>
    <w:p w14:paraId="675726E2" w14:textId="77777777" w:rsidR="00A02F87" w:rsidRPr="00D06E2E" w:rsidRDefault="00A02F87" w:rsidP="00B37F05">
      <w:pPr>
        <w:rPr>
          <w:lang w:val="sr-Latn-RS"/>
        </w:rPr>
      </w:pPr>
    </w:p>
    <w:p w14:paraId="671B4091" w14:textId="77777777" w:rsidR="00B37F05" w:rsidRPr="00D06E2E" w:rsidRDefault="00B37F05" w:rsidP="00B37F05">
      <w:pPr>
        <w:rPr>
          <w:lang w:val="sr-Latn-RS"/>
        </w:rPr>
      </w:pPr>
      <w:r w:rsidRPr="00D06E2E">
        <w:rPr>
          <w:lang w:val="sr-Latn-RS"/>
        </w:rPr>
        <w:t>During 2023, the following strategies and action plans were adopted: Action plan for the implementation of the Strategy for the Improvement of the Position of Persons with Disabilities in the RS for the period from 2020 to 2024 in the period from 2023 to 2024</w:t>
      </w:r>
      <w:r w:rsidRPr="00D06E2E">
        <w:rPr>
          <w:rStyle w:val="FootnoteReference"/>
          <w:lang w:val="sr-Latn-RS"/>
        </w:rPr>
        <w:footnoteReference w:id="252"/>
      </w:r>
      <w:r w:rsidRPr="00D06E2E">
        <w:rPr>
          <w:lang w:val="sr-Latn-RS"/>
        </w:rPr>
        <w:t>, the Personal Data Protection Strategy for from 2023 to 2030</w:t>
      </w:r>
      <w:r w:rsidRPr="00D06E2E">
        <w:rPr>
          <w:rStyle w:val="FootnoteReference"/>
          <w:lang w:val="sr-Latn-RS"/>
        </w:rPr>
        <w:footnoteReference w:id="253"/>
      </w:r>
      <w:r w:rsidRPr="00D06E2E">
        <w:rPr>
          <w:lang w:val="sr-Latn-RS"/>
        </w:rPr>
        <w:t>, Strategy of active and healthy aging in the Republic of Serbia for the period from 2024 to 2030</w:t>
      </w:r>
      <w:r w:rsidRPr="00D06E2E">
        <w:rPr>
          <w:rStyle w:val="FootnoteReference"/>
          <w:lang w:val="sr-Latn-RS"/>
        </w:rPr>
        <w:footnoteReference w:id="254"/>
      </w:r>
      <w:r w:rsidRPr="00D06E2E">
        <w:rPr>
          <w:lang w:val="sr-Latn-RS"/>
        </w:rPr>
        <w:t>, Action plan for 2024-2026 for the implementation of the Strategy of Active and Healthy Aging in the Republic of Serbia for the period from 2024 to 2030</w:t>
      </w:r>
      <w:r w:rsidRPr="00D06E2E">
        <w:rPr>
          <w:rStyle w:val="FootnoteReference"/>
          <w:lang w:val="sr-Latn-RS"/>
        </w:rPr>
        <w:footnoteReference w:id="255"/>
      </w:r>
      <w:r w:rsidRPr="00D06E2E">
        <w:rPr>
          <w:lang w:val="sr-Latn-RS"/>
        </w:rPr>
        <w:t>.</w:t>
      </w:r>
    </w:p>
    <w:p w14:paraId="1B88E2D4" w14:textId="77777777" w:rsidR="00B37F05" w:rsidRPr="00D06E2E" w:rsidRDefault="00B37F05" w:rsidP="00B37F05">
      <w:pPr>
        <w:rPr>
          <w:lang w:val="sr-Latn-RS"/>
        </w:rPr>
      </w:pPr>
      <w:r w:rsidRPr="00D06E2E">
        <w:rPr>
          <w:lang w:val="sr-Latn-RS"/>
        </w:rPr>
        <w:t>The legal framework for the work of the Protector of Citizens is also made up of numerous by-laws that more closely regulate the conduct and work of this institution, some of which are: Rules of Procedure of the National Assembly</w:t>
      </w:r>
      <w:r w:rsidRPr="00D06E2E">
        <w:rPr>
          <w:rStyle w:val="FootnoteReference"/>
          <w:lang w:val="sr-Latn-RS"/>
        </w:rPr>
        <w:footnoteReference w:id="256"/>
      </w:r>
      <w:r w:rsidRPr="00D06E2E">
        <w:rPr>
          <w:lang w:val="sr-Latn-RS"/>
        </w:rPr>
        <w:t>, Rules of Procedure of the Government</w:t>
      </w:r>
      <w:r w:rsidRPr="00D06E2E">
        <w:rPr>
          <w:rStyle w:val="FootnoteReference"/>
          <w:lang w:val="sr-Latn-RS"/>
        </w:rPr>
        <w:footnoteReference w:id="257"/>
      </w:r>
      <w:r w:rsidRPr="00D06E2E">
        <w:rPr>
          <w:lang w:val="sr-Latn-RS"/>
        </w:rPr>
        <w:t>, Decision on the formation and work of the Secretariat of the Protector of Citizens</w:t>
      </w:r>
      <w:r w:rsidRPr="00D06E2E">
        <w:rPr>
          <w:rStyle w:val="FootnoteReference"/>
          <w:lang w:val="sr-Latn-RS"/>
        </w:rPr>
        <w:footnoteReference w:id="258"/>
      </w:r>
      <w:r w:rsidRPr="00D06E2E">
        <w:rPr>
          <w:lang w:val="sr-Latn-RS"/>
        </w:rPr>
        <w:t>, Decision on the formation of local offices in Preševo, Bujanovac and Medveđa</w:t>
      </w:r>
      <w:r w:rsidRPr="00D06E2E">
        <w:rPr>
          <w:rStyle w:val="FootnoteReference"/>
          <w:lang w:val="sr-Latn-RS"/>
        </w:rPr>
        <w:footnoteReference w:id="259"/>
      </w:r>
      <w:r w:rsidRPr="00D06E2E">
        <w:rPr>
          <w:lang w:val="sr-Latn-RS"/>
        </w:rPr>
        <w:t>, Special collective agreement for state bodies</w:t>
      </w:r>
      <w:r w:rsidRPr="00D06E2E">
        <w:rPr>
          <w:rStyle w:val="FootnoteReference"/>
          <w:lang w:val="sr-Latn-RS"/>
        </w:rPr>
        <w:footnoteReference w:id="260"/>
      </w:r>
      <w:r w:rsidRPr="00D06E2E">
        <w:rPr>
          <w:lang w:val="sr-Latn-RS"/>
        </w:rPr>
        <w:t>, Rulebook on administration in public prosecutor's offices</w:t>
      </w:r>
      <w:r w:rsidRPr="00D06E2E">
        <w:rPr>
          <w:rStyle w:val="FootnoteReference"/>
          <w:lang w:val="sr-Latn-RS"/>
        </w:rPr>
        <w:footnoteReference w:id="261"/>
      </w:r>
      <w:r w:rsidRPr="00D06E2E">
        <w:rPr>
          <w:lang w:val="sr-Latn-RS"/>
        </w:rPr>
        <w:t>, Rulebook on the house rules of penitentiary institutions and district prisons</w:t>
      </w:r>
      <w:r w:rsidRPr="00D06E2E">
        <w:rPr>
          <w:rStyle w:val="FootnoteReference"/>
          <w:lang w:val="sr-Latn-RS"/>
        </w:rPr>
        <w:footnoteReference w:id="262"/>
      </w:r>
      <w:r w:rsidRPr="00D06E2E">
        <w:rPr>
          <w:lang w:val="sr-Latn-RS"/>
        </w:rPr>
        <w:t>,, Rulebook on the house rules of the penitentiary institution for minors</w:t>
      </w:r>
      <w:r w:rsidRPr="00D06E2E">
        <w:rPr>
          <w:rStyle w:val="FootnoteReference"/>
          <w:lang w:val="sr-Latn-RS"/>
        </w:rPr>
        <w:footnoteReference w:id="263"/>
      </w:r>
      <w:r w:rsidRPr="00D06E2E">
        <w:rPr>
          <w:lang w:val="sr-Latn-RS"/>
        </w:rPr>
        <w:t>, etc.</w:t>
      </w:r>
    </w:p>
    <w:p w14:paraId="6D72A4EC" w14:textId="77777777" w:rsidR="00B37F05" w:rsidRPr="00D06E2E" w:rsidRDefault="00B37F05" w:rsidP="00B37F05">
      <w:pPr>
        <w:rPr>
          <w:lang w:val="sr-Latn-RS"/>
        </w:rPr>
      </w:pPr>
      <w:r w:rsidRPr="00D06E2E">
        <w:rPr>
          <w:lang w:val="sr-Latn-RS"/>
        </w:rPr>
        <w:lastRenderedPageBreak/>
        <w:t>The Protector of Citizens adheres in his work to the principles and standards adopted between ombudsmen and national human rights institutions, including, the “Belgrade Principles on the Relationship between the National Human Rights Institutions and Parliaments</w:t>
      </w:r>
      <w:r w:rsidRPr="00D06E2E">
        <w:rPr>
          <w:rStyle w:val="FootnoteReference"/>
          <w:lang w:val="sr-Latn-RS"/>
        </w:rPr>
        <w:footnoteReference w:id="264"/>
      </w:r>
      <w:r w:rsidRPr="00D06E2E">
        <w:rPr>
          <w:lang w:val="sr-Latn-RS"/>
        </w:rPr>
        <w:t>” and the “Ljubljana Conclusions on the Relationship between the Ombudsman and the Judicial Bodies”.</w:t>
      </w:r>
    </w:p>
    <w:p w14:paraId="622DDDA1" w14:textId="77777777" w:rsidR="00B37F05" w:rsidRPr="00D06E2E" w:rsidRDefault="00B37F05" w:rsidP="00B37F05">
      <w:pPr>
        <w:rPr>
          <w:lang w:val="sr-Latn-RS"/>
        </w:rPr>
      </w:pPr>
      <w:r w:rsidRPr="00D06E2E">
        <w:rPr>
          <w:lang w:val="sr-Latn-RS"/>
        </w:rPr>
        <w:t>The Constitution of the Republic of Serbia and the Law on the Protector of Citizens contain most of the standards included in key international documents that regulate, that is, promote and propose standards for ombudsmen and national human rights institutions</w:t>
      </w:r>
      <w:r w:rsidRPr="00D06E2E">
        <w:rPr>
          <w:rStyle w:val="FootnoteReference"/>
          <w:lang w:val="sr-Latn-RS"/>
        </w:rPr>
        <w:footnoteReference w:id="265"/>
      </w:r>
      <w:r w:rsidRPr="00D06E2E">
        <w:rPr>
          <w:lang w:val="sr-Latn-RS"/>
        </w:rPr>
        <w:t>. In 2010, the Protector of Citizens was accredited as a national institution for human rights in the highest status "A" by the International Coordinating Committee of National Institutions for Human Rights (now the Global Alliance of National Institutions for Human Rights), for achieved results, independence in work and full compliance with Paris principles</w:t>
      </w:r>
      <w:r w:rsidRPr="00D06E2E">
        <w:rPr>
          <w:rStyle w:val="FootnoteReference"/>
          <w:lang w:val="sr-Latn-RS"/>
        </w:rPr>
        <w:footnoteReference w:id="266"/>
      </w:r>
      <w:r w:rsidRPr="00D06E2E">
        <w:rPr>
          <w:lang w:val="sr-Latn-RS"/>
        </w:rPr>
        <w:t>. That status was confirmed to the Protector of Citizens in 2015 and 2021.</w:t>
      </w:r>
    </w:p>
    <w:p w14:paraId="149C58E9" w14:textId="77777777" w:rsidR="00B37F05" w:rsidRPr="00D06E2E" w:rsidRDefault="00B37F05" w:rsidP="00B37F05">
      <w:pPr>
        <w:rPr>
          <w:lang w:val="sr-Latn-RS"/>
        </w:rPr>
      </w:pPr>
      <w:r w:rsidRPr="00D06E2E">
        <w:rPr>
          <w:lang w:val="sr-Latn-RS"/>
        </w:rPr>
        <w:t>International documents emphasize the importance of financial independence and the necessity to provide adequate resources for the smooth and efficient work of the Protector of Citizens. Supporting this is the Report of the Secretary General</w:t>
      </w:r>
      <w:r w:rsidRPr="00D06E2E">
        <w:rPr>
          <w:rStyle w:val="FootnoteReference"/>
          <w:lang w:val="sr-Latn-RS"/>
        </w:rPr>
        <w:footnoteReference w:id="267"/>
      </w:r>
      <w:r w:rsidRPr="00D06E2E">
        <w:rPr>
          <w:lang w:val="sr-Latn-RS"/>
        </w:rPr>
        <w:t xml:space="preserve"> and Resolution of the United Nations General Assembly</w:t>
      </w:r>
      <w:r w:rsidRPr="00D06E2E">
        <w:rPr>
          <w:rStyle w:val="FootnoteReference"/>
          <w:lang w:val="sr-Latn-RS"/>
        </w:rPr>
        <w:footnoteReference w:id="268"/>
      </w:r>
      <w:r w:rsidRPr="00D06E2E">
        <w:rPr>
          <w:lang w:val="sr-Latn-RS"/>
        </w:rPr>
        <w:t xml:space="preserve"> from 2017 on the establishment and functioning of the Protector of Citizens, i.e. national institutions for the protection of human rights. The Paris Principles, adopted as an annex to the UN General Assembly Resolution 48/134 in December 1993, represent the most complete document dealing with national human rights institutions so far. It unambiguously proclaims the importance of financial independence</w:t>
      </w:r>
      <w:r w:rsidRPr="00D06E2E">
        <w:rPr>
          <w:rStyle w:val="FootnoteReference"/>
          <w:lang w:val="sr-Latn-RS"/>
        </w:rPr>
        <w:footnoteReference w:id="269"/>
      </w:r>
      <w:r w:rsidRPr="00D06E2E">
        <w:rPr>
          <w:lang w:val="sr-Latn-RS"/>
        </w:rPr>
        <w:t>.</w:t>
      </w:r>
    </w:p>
    <w:p w14:paraId="4D0B99F1" w14:textId="77777777" w:rsidR="00B37F05" w:rsidRPr="00D06E2E" w:rsidRDefault="00B37F05" w:rsidP="00B37F05">
      <w:pPr>
        <w:rPr>
          <w:lang w:val="sr-Latn-RS"/>
        </w:rPr>
      </w:pPr>
      <w:r w:rsidRPr="00D06E2E">
        <w:rPr>
          <w:lang w:val="sr-Latn-RS"/>
        </w:rPr>
        <w:t>The Council of Europe in its Recommendation 1615 from 2003, adopted by the Parliamentary Assembly, “concludes that some characteristics are essential for the efficient operation of the Ombudsman institution”, and among them also includes “guaranteed resources to carry out all tasks entrusted to the Ombudsman and a complete autonomy of his budget and staff</w:t>
      </w:r>
      <w:r w:rsidRPr="00D06E2E">
        <w:rPr>
          <w:rStyle w:val="FootnoteReference"/>
          <w:lang w:val="sr-Latn-RS"/>
        </w:rPr>
        <w:footnoteReference w:id="270"/>
      </w:r>
      <w:r w:rsidRPr="00D06E2E">
        <w:rPr>
          <w:lang w:val="sr-Latn-RS"/>
        </w:rPr>
        <w:t xml:space="preserve">.” The Resolution of the Parliamentary Assembly on the institution of the Ombudsman, adopted in October 2013, reaffirmed this stand by calling on member states to “provide the institutions of the Ombudsman with sufficient financial and human resources to enable them to carry out </w:t>
      </w:r>
      <w:r w:rsidRPr="00D06E2E">
        <w:rPr>
          <w:lang w:val="sr-Latn-RS"/>
        </w:rPr>
        <w:lastRenderedPageBreak/>
        <w:t>their tasks effectively</w:t>
      </w:r>
      <w:r w:rsidRPr="00D06E2E">
        <w:rPr>
          <w:rStyle w:val="FootnoteReference"/>
          <w:lang w:val="sr-Latn-RS"/>
        </w:rPr>
        <w:footnoteReference w:id="271"/>
      </w:r>
      <w:r w:rsidRPr="00D06E2E">
        <w:rPr>
          <w:lang w:val="sr-Latn-RS"/>
        </w:rPr>
        <w:t>.” In light of the economic crisis, “the Assembly calls on member states to make maximum efforts to avoid budget cuts that would lead to the loss of independence of the Ombudsman institutions</w:t>
      </w:r>
      <w:r w:rsidRPr="00D06E2E">
        <w:rPr>
          <w:rStyle w:val="FootnoteReference"/>
          <w:lang w:val="sr-Latn-RS"/>
        </w:rPr>
        <w:footnoteReference w:id="272"/>
      </w:r>
      <w:r w:rsidRPr="00D06E2E">
        <w:rPr>
          <w:lang w:val="sr-Latn-RS"/>
        </w:rPr>
        <w:t>.” The Venice Commission of the Council of Europe also firmly insists on its opinion that financial independence of ombudsmen must be ensured by legislative texts</w:t>
      </w:r>
      <w:r w:rsidRPr="00D06E2E">
        <w:rPr>
          <w:rStyle w:val="FootnoteReference"/>
          <w:lang w:val="sr-Latn-RS"/>
        </w:rPr>
        <w:footnoteReference w:id="273"/>
      </w:r>
      <w:r w:rsidRPr="00D06E2E">
        <w:rPr>
          <w:lang w:val="sr-Latn-RS"/>
        </w:rPr>
        <w:t xml:space="preserve"> as specifically and as completely as possible.</w:t>
      </w:r>
    </w:p>
    <w:p w14:paraId="511D8E56" w14:textId="77777777" w:rsidR="00B37F05" w:rsidRPr="00D06E2E" w:rsidRDefault="00B37F05" w:rsidP="00B37F05">
      <w:pPr>
        <w:rPr>
          <w:lang w:val="sr-Latn-RS"/>
        </w:rPr>
      </w:pPr>
      <w:r w:rsidRPr="00D06E2E">
        <w:rPr>
          <w:lang w:val="sr-Latn-RS"/>
        </w:rPr>
        <w:t>Venice Commission of the Council of Europe adopted in March 2019 a set of 25 guidelines crucial for the establishment and functioning of the ombudsman institution in democratic society titled “Principles of Protection and Promotion of the Ombudsman Institution”, i.e. “Venice Principles”. The purpose of the principles is to consolidate and empower the ombudsman institutions which have a key role in strengthening of democracy, rule of law, good administration as well as protection and promotion of human and minority rights.</w:t>
      </w:r>
    </w:p>
    <w:p w14:paraId="75EA66A2" w14:textId="77777777" w:rsidR="00B37F05" w:rsidRPr="00D06E2E" w:rsidRDefault="00B37F05" w:rsidP="00B37F05">
      <w:pPr>
        <w:rPr>
          <w:lang w:val="sr-Latn-RS"/>
        </w:rPr>
      </w:pPr>
      <w:r w:rsidRPr="00D06E2E">
        <w:rPr>
          <w:lang w:val="sr-Latn-RS"/>
        </w:rPr>
        <w:t>In March 2021, the Committee of Ministers of the Council of Europe adopted a recommendation on the development and strengthening of effective, pluralistic and independent human rights institutions (NHRI)</w:t>
      </w:r>
      <w:r w:rsidRPr="00D06E2E">
        <w:rPr>
          <w:rStyle w:val="FootnoteReference"/>
          <w:lang w:val="sr-Latn-RS"/>
        </w:rPr>
        <w:t xml:space="preserve"> </w:t>
      </w:r>
      <w:r w:rsidRPr="00D06E2E">
        <w:rPr>
          <w:rStyle w:val="FootnoteReference"/>
          <w:lang w:val="sr-Latn-RS"/>
        </w:rPr>
        <w:footnoteReference w:id="274"/>
      </w:r>
      <w:r w:rsidRPr="00D06E2E">
        <w:rPr>
          <w:lang w:val="sr-Latn-RS"/>
        </w:rPr>
        <w:t>, particularly highlighting the great potential and influence of national human rights institutions on the protection and promotion of human rights in Europe and emphasizing that It is vital that any independent human rights institution be established and function in full compliance with the minimum standards proclaimed in the Paris Principles.</w:t>
      </w:r>
    </w:p>
    <w:p w14:paraId="3C705C8C" w14:textId="77777777" w:rsidR="00B37F05" w:rsidRPr="00D06E2E" w:rsidRDefault="00B37F05" w:rsidP="00B37F05">
      <w:pPr>
        <w:spacing w:after="0"/>
        <w:rPr>
          <w:lang w:val="sr-Latn-RS"/>
        </w:rPr>
      </w:pPr>
      <w:r w:rsidRPr="00D06E2E">
        <w:rPr>
          <w:lang w:val="sr-Latn-RS"/>
        </w:rPr>
        <w:t>In December 2020, the United Nations General Assembly adopted a Resolution on the role of ombudsman institutions and mediators in the promotion and protection of human rights, good governance and the rule of law</w:t>
      </w:r>
      <w:r w:rsidRPr="00D06E2E">
        <w:rPr>
          <w:rStyle w:val="FootnoteReference"/>
          <w:lang w:val="sr-Latn-RS"/>
        </w:rPr>
        <w:footnoteReference w:id="275"/>
      </w:r>
      <w:r w:rsidRPr="00D06E2E">
        <w:rPr>
          <w:lang w:val="sr-Latn-RS"/>
        </w:rPr>
        <w:t>. The resolution provides strong support for key principles of ombudsman institutions, such as independence, autonomy, fairness and transparency, and is an important first step towards ensuring international recognition of the work of ombudsman institutions in promoting human rights, the rule of law and good governance.</w:t>
      </w:r>
    </w:p>
    <w:p w14:paraId="3D9B3EE7" w14:textId="77777777" w:rsidR="00B37F05" w:rsidRPr="00D06E2E" w:rsidRDefault="00B37F05" w:rsidP="00B37F05">
      <w:pPr>
        <w:spacing w:after="0"/>
        <w:rPr>
          <w:sz w:val="10"/>
          <w:szCs w:val="10"/>
          <w:lang w:val="sr-Latn-RS"/>
        </w:rPr>
      </w:pPr>
    </w:p>
    <w:p w14:paraId="07C8E7CF" w14:textId="77777777" w:rsidR="00B37F05" w:rsidRPr="00D06E2E" w:rsidRDefault="00B37F05" w:rsidP="00B37F05">
      <w:pPr>
        <w:spacing w:after="0"/>
        <w:rPr>
          <w:lang w:val="sr-Latn-RS"/>
        </w:rPr>
      </w:pPr>
      <w:r w:rsidRPr="00D06E2E">
        <w:rPr>
          <w:lang w:val="sr-Latn-RS"/>
        </w:rPr>
        <w:t>In December 2022, the General Assembly of the United Nations adopted the Resolution on the role of ombudsmen and mediator institutions in the promotion and protection of human rights, good governance and the rule of law</w:t>
      </w:r>
      <w:r w:rsidRPr="00D06E2E">
        <w:rPr>
          <w:rStyle w:val="FootnoteReference"/>
          <w:lang w:val="sr-Latn-RS"/>
        </w:rPr>
        <w:footnoteReference w:id="276"/>
      </w:r>
      <w:r w:rsidRPr="00D06E2E">
        <w:rPr>
          <w:lang w:val="sr-Latn-RS"/>
        </w:rPr>
        <w:t>, which draws attention to important issues that will further help strengthen the institution of ombudsmen and mediators around the world. This resolution also indicates that the Ombudsman often performs the mandate of the National Preventive Mechanism (NPM) and emphasizes the importance of the Venice Principles, encouraging states to establish independent institutions and strengthen the existing ones by ensuring their independence in accordance with the Venice Principles.</w:t>
      </w:r>
    </w:p>
    <w:p w14:paraId="4171930B" w14:textId="77777777" w:rsidR="00B37F05" w:rsidRPr="00D06E2E" w:rsidRDefault="00B37F05" w:rsidP="00B37F05">
      <w:pPr>
        <w:spacing w:after="0"/>
        <w:rPr>
          <w:lang w:val="sr-Latn-RS"/>
        </w:rPr>
      </w:pPr>
    </w:p>
    <w:p w14:paraId="3D22D23B" w14:textId="77777777" w:rsidR="00B37F05" w:rsidRPr="00D06E2E" w:rsidRDefault="00B37F05" w:rsidP="00B37F05">
      <w:pPr>
        <w:jc w:val="center"/>
        <w:rPr>
          <w:sz w:val="24"/>
          <w:szCs w:val="24"/>
          <w:lang w:val="sr-Latn-RS"/>
        </w:rPr>
      </w:pPr>
      <w:r w:rsidRPr="00D06E2E">
        <w:rPr>
          <w:sz w:val="24"/>
          <w:szCs w:val="24"/>
          <w:lang w:val="sr-Latn-RS"/>
        </w:rPr>
        <w:t>COMPETENCE AND MANNER OF WORK</w:t>
      </w:r>
    </w:p>
    <w:p w14:paraId="7BE7F4FA" w14:textId="77777777" w:rsidR="00B37F05" w:rsidRPr="00D06E2E" w:rsidRDefault="00B37F05" w:rsidP="00B37F05">
      <w:pPr>
        <w:rPr>
          <w:noProof/>
          <w:lang w:val="sr-Latn-RS"/>
        </w:rPr>
      </w:pPr>
      <w:r w:rsidRPr="00D06E2E">
        <w:rPr>
          <w:lang w:val="sr-Latn-RS"/>
        </w:rPr>
        <w:lastRenderedPageBreak/>
        <w:t>The Protector of Citizens shall act within the framework of the Constitution, laws, other regulations and general acts, as well as ratified international treaties and generally accepted rules of international law</w:t>
      </w:r>
      <w:r w:rsidRPr="00D06E2E">
        <w:rPr>
          <w:rStyle w:val="FootnoteReference"/>
          <w:lang w:val="sr-Latn-RS"/>
        </w:rPr>
        <w:footnoteReference w:id="277"/>
      </w:r>
      <w:r w:rsidRPr="00D06E2E">
        <w:rPr>
          <w:lang w:val="sr-Latn-RS"/>
        </w:rPr>
        <w:t xml:space="preserve">. The task, or competence of the Protector of Citizens, is defined by the Constitution and the Law twofold: </w:t>
      </w:r>
      <w:r w:rsidRPr="00D06E2E">
        <w:rPr>
          <w:b/>
          <w:lang w:val="sr-Latn-RS"/>
        </w:rPr>
        <w:t>to protect</w:t>
      </w:r>
      <w:r w:rsidRPr="00D06E2E">
        <w:rPr>
          <w:lang w:val="sr-Latn-RS"/>
        </w:rPr>
        <w:t xml:space="preserve"> the rights of citizens and and to control the work of state administration bodies, bodies responsible for the legal protection of property rights and interests of the Republic of Serbia, as well as other bodies and organizations, companies and institutions entrusted with public powers</w:t>
      </w:r>
      <w:r w:rsidRPr="00D06E2E">
        <w:rPr>
          <w:rStyle w:val="FootnoteReference"/>
          <w:lang w:val="sr-Latn-RS"/>
        </w:rPr>
        <w:footnoteReference w:id="278"/>
      </w:r>
      <w:r w:rsidRPr="00D06E2E">
        <w:rPr>
          <w:lang w:val="sr-Latn-RS"/>
        </w:rPr>
        <w:t>. The Law on the Protector of Citizens also specifies that the Protector of Citizens should “protect and promote human and minority freedoms and citizen rights</w:t>
      </w:r>
      <w:r w:rsidRPr="00D06E2E">
        <w:rPr>
          <w:rStyle w:val="FootnoteReference"/>
          <w:lang w:val="sr-Latn-RS"/>
        </w:rPr>
        <w:footnoteReference w:id="279"/>
      </w:r>
      <w:r w:rsidRPr="00D06E2E">
        <w:rPr>
          <w:lang w:val="sr-Latn-RS"/>
        </w:rPr>
        <w:t>”.</w:t>
      </w:r>
    </w:p>
    <w:p w14:paraId="0CAE08F8" w14:textId="77777777" w:rsidR="00B37F05" w:rsidRPr="00D06E2E" w:rsidRDefault="00B37F05" w:rsidP="00B37F05">
      <w:pPr>
        <w:rPr>
          <w:lang w:val="sr-Latn-RS"/>
        </w:rPr>
      </w:pPr>
      <w:r w:rsidRPr="00D06E2E">
        <w:rPr>
          <w:lang w:val="sr-Latn-RS"/>
        </w:rPr>
        <w:t>There is no citizens’ right or freedom exempted from the protection, oversight and promotion role of the Protector of Citizens.</w:t>
      </w:r>
    </w:p>
    <w:p w14:paraId="0B9AC62C" w14:textId="77777777" w:rsidR="00B37F05" w:rsidRPr="00D06E2E" w:rsidRDefault="00B37F05" w:rsidP="00B37F05">
      <w:pPr>
        <w:rPr>
          <w:lang w:val="sr-Latn-RS"/>
        </w:rPr>
      </w:pPr>
      <w:r w:rsidRPr="00D06E2E">
        <w:rPr>
          <w:lang w:val="sr-Latn-RS"/>
        </w:rPr>
        <w:t>In his work, the Protector of Citizens follows the principle of equity within the framework of positive law. Much more than just formally observing the law, the Protector of Citizens examines ethics, conscientiousness, impartiality, expertise, purposefulness, effectiveness, respect for the dignity of parties, and other characteristics that need to characterize the public administration, which the citizens fully expect.</w:t>
      </w:r>
    </w:p>
    <w:p w14:paraId="4BB142AD" w14:textId="77777777" w:rsidR="00B37F05" w:rsidRPr="00D06E2E" w:rsidRDefault="00B37F05" w:rsidP="00B37F05">
      <w:pPr>
        <w:rPr>
          <w:lang w:val="sr-Latn-RS"/>
        </w:rPr>
      </w:pPr>
      <w:r w:rsidRPr="00D06E2E">
        <w:rPr>
          <w:lang w:val="sr-Latn-RS"/>
        </w:rPr>
        <w:t>The Protector of Citizens oversees the work of government agencies, the body authorized for legal protection of property rights and interests of the Republic of Serbia and other bodies and organizations, enterprises and institutions which have been delegated public authority. According to the provisions of the Constitution and the Law, the Protector of Citizens is not authorized to control only the work of the National Assembly, the President of the Republic, the Government, the Constitutional Court, courts and public prosecutor's offices</w:t>
      </w:r>
      <w:r w:rsidRPr="00D06E2E">
        <w:rPr>
          <w:rStyle w:val="FootnoteReference"/>
          <w:spacing w:val="-6"/>
          <w:lang w:val="sr-Latn-RS"/>
        </w:rPr>
        <w:footnoteReference w:id="280"/>
      </w:r>
      <w:r w:rsidRPr="00D06E2E">
        <w:rPr>
          <w:lang w:val="sr-Latn-RS"/>
        </w:rPr>
        <w:t>. The Protector of Citizens can take procedural and other actions in proceedings before state and other bodies and organizations, when he is authorized to do so by special regulations</w:t>
      </w:r>
      <w:r w:rsidRPr="00D06E2E">
        <w:rPr>
          <w:rStyle w:val="FootnoteReference"/>
          <w:rFonts w:cs="Arial"/>
          <w:spacing w:val="-6"/>
          <w:lang w:val="sr-Latn-RS"/>
        </w:rPr>
        <w:footnoteReference w:id="281"/>
      </w:r>
      <w:r w:rsidRPr="00D06E2E">
        <w:rPr>
          <w:lang w:val="sr-Latn-RS"/>
        </w:rPr>
        <w:t>.</w:t>
      </w:r>
    </w:p>
    <w:p w14:paraId="6A57C5A1" w14:textId="77777777" w:rsidR="00B37F05" w:rsidRPr="00D06E2E" w:rsidRDefault="00B37F05" w:rsidP="00B37F05">
      <w:pPr>
        <w:rPr>
          <w:lang w:val="sr-Latn-RS"/>
        </w:rPr>
      </w:pPr>
      <w:r w:rsidRPr="00D06E2E">
        <w:rPr>
          <w:lang w:val="sr-Latn-RS"/>
        </w:rPr>
        <w:t>The Protector of Citizens, with the appropriate personal security clearance certificate, is guaranteed access to information of all levels of confidentiality, which are necessary for the performance of tasks from his competence</w:t>
      </w:r>
      <w:r w:rsidRPr="00D06E2E">
        <w:rPr>
          <w:rStyle w:val="FootnoteReference"/>
          <w:lang w:val="sr-Latn-RS"/>
        </w:rPr>
        <w:footnoteReference w:id="282"/>
      </w:r>
      <w:r w:rsidRPr="00D06E2E">
        <w:rPr>
          <w:lang w:val="sr-Latn-RS"/>
        </w:rPr>
        <w:t>.</w:t>
      </w:r>
    </w:p>
    <w:p w14:paraId="4445A913" w14:textId="77777777" w:rsidR="00B37F05" w:rsidRPr="00D06E2E" w:rsidRDefault="00B37F05" w:rsidP="00B37F05">
      <w:pPr>
        <w:rPr>
          <w:rFonts w:cs="Times New Roman"/>
          <w:lang w:val="sr-Latn-RS" w:eastAsia="sr-Latn-RS"/>
        </w:rPr>
      </w:pPr>
      <w:r w:rsidRPr="00D06E2E">
        <w:rPr>
          <w:rFonts w:cs="Times New Roman"/>
          <w:lang w:val="sr-Latn-RS" w:eastAsia="sr-Latn-RS"/>
        </w:rPr>
        <w:t>In addition to the right to initiate and lead proceedings, the Protector of Citizens has the right to act preventively by providing good services, mediation and giving advice and opinions on issues within his competence, with the aim of improving the work of administrative bodies and improving the protection of human rights and freedoms</w:t>
      </w:r>
      <w:r w:rsidRPr="00D06E2E">
        <w:rPr>
          <w:rStyle w:val="FootnoteReference"/>
          <w:lang w:val="sr-Latn-RS"/>
        </w:rPr>
        <w:footnoteReference w:id="283"/>
      </w:r>
      <w:r w:rsidRPr="00D06E2E">
        <w:rPr>
          <w:rFonts w:cs="Times New Roman"/>
          <w:lang w:val="sr-Latn-RS" w:eastAsia="sr-Latn-RS"/>
        </w:rPr>
        <w:t xml:space="preserve">. The authority of the Protector of Citizens to act preventively comes to the fore when carrying out the work of the National PreventiveMechanism, in accordance with the Law on Amendments to the Law on the Ratification of the Optional Protocol to the Convention against Torture and Other Cruel, Inhuman or Degrading Punishments and Procedures, which will be the case and when performing the duties of the National Independent Mechanism for Monitoring the Implementation of the Convention on the Rights of Persons with Disabilities of the United Nations, pursuant to the Law on Ratification of the Convention on the Rights of Persons with Disabilities and the duties of the National Rapporteur in the field of human trafficking </w:t>
      </w:r>
      <w:r w:rsidRPr="00D06E2E">
        <w:rPr>
          <w:rFonts w:cs="Times New Roman"/>
          <w:lang w:val="sr-Latn-RS" w:eastAsia="sr-Latn-RS"/>
        </w:rPr>
        <w:lastRenderedPageBreak/>
        <w:t>pursuant to the Law on Ratification of the Convention on Combating Trafficking in Human Beings of the Council of Europe.</w:t>
      </w:r>
    </w:p>
    <w:p w14:paraId="3F7413D8" w14:textId="77777777" w:rsidR="00B37F05" w:rsidRPr="00D06E2E" w:rsidRDefault="00B37F05" w:rsidP="00B37F05">
      <w:pPr>
        <w:spacing w:after="0"/>
        <w:rPr>
          <w:lang w:val="sr-Latn-RS"/>
        </w:rPr>
      </w:pPr>
      <w:r w:rsidRPr="00D06E2E">
        <w:rPr>
          <w:lang w:val="sr-Latn-RS"/>
        </w:rPr>
        <w:t>The Protector of Citizens also has the right to propose laws within his jurisdiction. He is authorized to submit to the National Assembly, i.e. the Government and the administrative authority an initiative for amending or supplementing laws and other regulations and general acts, if he believes that the violation of citizens' rights occurs due to deficiencies in the regulations, as well as to initiate the adoption of new laws, other regulations and general acts act, when he considers that it is important for the realization and protection of citizens' rights</w:t>
      </w:r>
      <w:r w:rsidRPr="00D06E2E">
        <w:rPr>
          <w:rStyle w:val="FootnoteReference"/>
          <w:lang w:val="sr-Latn-RS"/>
        </w:rPr>
        <w:footnoteReference w:id="284"/>
      </w:r>
      <w:r w:rsidRPr="00D06E2E">
        <w:rPr>
          <w:lang w:val="sr-Latn-RS"/>
        </w:rPr>
        <w:t>. The Protector of Citizens is authorized to give an opinion to the National Assembly, i.e. the Government and the administrative body on draft laws and other regulations in the process of preparing regulations, if they regulate issues that are important for the protection of citizens' rights</w:t>
      </w:r>
      <w:r w:rsidRPr="00D06E2E">
        <w:rPr>
          <w:rStyle w:val="FootnoteReference"/>
          <w:lang w:val="sr-Latn-RS"/>
        </w:rPr>
        <w:footnoteReference w:id="285"/>
      </w:r>
      <w:r w:rsidRPr="00D06E2E">
        <w:rPr>
          <w:lang w:val="sr-Latn-RS"/>
        </w:rPr>
        <w:t>. Also, the Protector of Citizens is authorized to initiate proceedings before the Constitutional Court for the evaluation of the constitutionality and legality of laws, other regulations and general acts</w:t>
      </w:r>
      <w:r w:rsidRPr="00D06E2E">
        <w:rPr>
          <w:rStyle w:val="FootnoteReference"/>
          <w:lang w:val="sr-Latn-RS"/>
        </w:rPr>
        <w:footnoteReference w:id="286"/>
      </w:r>
      <w:r w:rsidRPr="00D06E2E">
        <w:rPr>
          <w:lang w:val="sr-Latn-RS"/>
        </w:rPr>
        <w:t>.</w:t>
      </w:r>
    </w:p>
    <w:p w14:paraId="632A2C6B" w14:textId="77777777" w:rsidR="00B37F05" w:rsidRPr="00D06E2E" w:rsidRDefault="00B37F05" w:rsidP="00B37F05">
      <w:pPr>
        <w:spacing w:after="0"/>
        <w:rPr>
          <w:lang w:val="sr-Latn-RS"/>
        </w:rPr>
      </w:pPr>
    </w:p>
    <w:p w14:paraId="63F6F4BD" w14:textId="77777777" w:rsidR="00B37F05" w:rsidRPr="00D06E2E" w:rsidRDefault="00B37F05" w:rsidP="00B37F05">
      <w:pPr>
        <w:pStyle w:val="SJpodnaslovi"/>
        <w:spacing w:before="0" w:after="120"/>
        <w:rPr>
          <w:b w:val="0"/>
          <w:i w:val="0"/>
          <w:lang w:val="sr-Latn-RS"/>
        </w:rPr>
      </w:pPr>
      <w:r w:rsidRPr="00D06E2E">
        <w:rPr>
          <w:b w:val="0"/>
          <w:i w:val="0"/>
          <w:lang w:val="sr-Latn-RS"/>
        </w:rPr>
        <w:t>Procedure</w:t>
      </w:r>
    </w:p>
    <w:p w14:paraId="1417D7C5" w14:textId="77777777" w:rsidR="00B37F05" w:rsidRPr="00D06E2E" w:rsidRDefault="00B37F05" w:rsidP="00B37F05">
      <w:pPr>
        <w:rPr>
          <w:lang w:val="sr-Latn-RS"/>
        </w:rPr>
      </w:pPr>
      <w:r w:rsidRPr="00D06E2E">
        <w:rPr>
          <w:lang w:val="sr-Latn-RS"/>
        </w:rPr>
        <w:t xml:space="preserve">In the </w:t>
      </w:r>
      <w:r w:rsidRPr="00D06E2E">
        <w:rPr>
          <w:i/>
          <w:lang w:val="sr-Latn-RS"/>
        </w:rPr>
        <w:t>sui generis</w:t>
      </w:r>
      <w:r w:rsidRPr="00D06E2E">
        <w:rPr>
          <w:lang w:val="sr-Latn-RS"/>
        </w:rPr>
        <w:t xml:space="preserve"> (special type, independent) procedure, the Protector of Citizens controls the respect of citizens' rights, determines violations committed by acts, actions or inaction of administrative authorities, if it is a violation of republican laws, other regulations and general acts. Certain stages of the procedure, as well as deadlines for the action of the Protector of Citizens, introduced by the new Law on the Protector of Citizens, aim to improve the efficiency of the work of the Protector of Citizens.</w:t>
      </w:r>
    </w:p>
    <w:p w14:paraId="71BD63A0" w14:textId="77777777" w:rsidR="00B37F05" w:rsidRPr="00D06E2E" w:rsidRDefault="00B37F05" w:rsidP="00B37F05">
      <w:pPr>
        <w:rPr>
          <w:noProof/>
          <w:lang w:val="sr-Latn-RS"/>
        </w:rPr>
      </w:pPr>
      <w:r w:rsidRPr="00D06E2E">
        <w:rPr>
          <w:lang w:val="sr-Latn-RS"/>
        </w:rPr>
        <w:t>The Protector of Citizens initiates the above-mentioned procedure ex-officio</w:t>
      </w:r>
      <w:r w:rsidRPr="00D06E2E">
        <w:rPr>
          <w:rStyle w:val="FootnoteReference"/>
          <w:lang w:val="sr-Latn-RS"/>
        </w:rPr>
        <w:footnoteReference w:id="287"/>
      </w:r>
      <w:r w:rsidRPr="00D06E2E">
        <w:rPr>
          <w:lang w:val="sr-Latn-RS"/>
        </w:rPr>
        <w:t xml:space="preserve"> or on the basis of citizens' complaints. For the efficient conduct of the investigation, broad powers of the Protector of Citizens have been secured by provisions of the Law – a request for written pronouncement of the authorities, direct conversation with civil servants, officers and officials, the right of unannounced visit, insight into official acts and documents, etc. In his actions, the Protector of Citizens is primarily guided by the idea of cooperation with public authorities, and in case of lack of cooperation, the Protector of Citizens, on a case-by-case basis, assesses the need and effect of applying other powers.</w:t>
      </w:r>
    </w:p>
    <w:p w14:paraId="09A3E0C6" w14:textId="77777777" w:rsidR="00B37F05" w:rsidRPr="00D06E2E" w:rsidRDefault="00B37F05" w:rsidP="00B37F05">
      <w:pPr>
        <w:spacing w:after="0"/>
        <w:rPr>
          <w:noProof/>
          <w:lang w:val="sr-Latn-RS"/>
        </w:rPr>
      </w:pPr>
      <w:r w:rsidRPr="00D06E2E">
        <w:rPr>
          <w:lang w:val="sr-Latn-RS"/>
        </w:rPr>
        <w:t>If public authorities acted unlawfully and improperly in matters concerning rights, freedoms or citizens' interests based on the law, the Protector of Citizens identifies the omission and recommends how to rectify it in such and other cases.</w:t>
      </w:r>
    </w:p>
    <w:p w14:paraId="6EF2B1EA" w14:textId="77777777" w:rsidR="00B37F05" w:rsidRPr="00D06E2E" w:rsidRDefault="00B37F05" w:rsidP="00B37F05">
      <w:pPr>
        <w:pStyle w:val="SJpodnaslovi"/>
        <w:spacing w:before="0" w:after="0"/>
        <w:rPr>
          <w:b w:val="0"/>
          <w:i w:val="0"/>
          <w:sz w:val="22"/>
          <w:szCs w:val="22"/>
          <w:lang w:val="sr-Latn-RS"/>
        </w:rPr>
      </w:pPr>
    </w:p>
    <w:p w14:paraId="6FA061BB" w14:textId="77777777" w:rsidR="00B37F05" w:rsidRPr="00D06E2E" w:rsidRDefault="00B37F05" w:rsidP="00B37F05">
      <w:pPr>
        <w:pStyle w:val="SJpodnaslovi"/>
        <w:spacing w:before="0" w:after="120"/>
        <w:rPr>
          <w:b w:val="0"/>
          <w:i w:val="0"/>
          <w:lang w:val="sr-Latn-RS"/>
        </w:rPr>
      </w:pPr>
      <w:r w:rsidRPr="00D06E2E">
        <w:rPr>
          <w:b w:val="0"/>
          <w:i w:val="0"/>
          <w:lang w:val="sr-Latn-RS"/>
        </w:rPr>
        <w:t>Legal nature of acts passed by the Protector of Citizens</w:t>
      </w:r>
    </w:p>
    <w:p w14:paraId="76D2295C" w14:textId="77777777" w:rsidR="00B37F05" w:rsidRPr="00D06E2E" w:rsidRDefault="00B37F05" w:rsidP="00B37F05">
      <w:pPr>
        <w:rPr>
          <w:noProof/>
          <w:lang w:val="sr-Latn-RS"/>
        </w:rPr>
      </w:pPr>
      <w:r w:rsidRPr="00D06E2E">
        <w:rPr>
          <w:lang w:val="sr-Latn-RS"/>
        </w:rPr>
        <w:t>The Protector of Citizens does not decide on the rights, obligations and lawful interests of the citizens, but investigates (oversees) the work of public authorities and organizations and, if he finds an omission, influences on them to rectify it. Hence instruments passed by the Protector of Citizens are not subject to appeal or other remedies.</w:t>
      </w:r>
    </w:p>
    <w:p w14:paraId="778993F2" w14:textId="77777777" w:rsidR="00B37F05" w:rsidRPr="00D06E2E" w:rsidRDefault="00B37F05" w:rsidP="00B37F05">
      <w:pPr>
        <w:rPr>
          <w:noProof/>
          <w:lang w:val="sr-Latn-RS"/>
        </w:rPr>
      </w:pPr>
      <w:r w:rsidRPr="00D06E2E">
        <w:rPr>
          <w:lang w:val="sr-Latn-RS"/>
        </w:rPr>
        <w:t>The recommendations, attitudes and opinions of the Protector of Citizens are not legally binding. The job of the Protector of Citizens is not to force anyone into compliance, but to use the power of arguments, as well as institutional and personal authority, in order to make the case for rectifying omissions and improving the way of work.</w:t>
      </w:r>
    </w:p>
    <w:p w14:paraId="73FDAFE9" w14:textId="77777777" w:rsidR="00B37F05" w:rsidRPr="00D06E2E" w:rsidRDefault="00B37F05" w:rsidP="00B37F05">
      <w:pPr>
        <w:rPr>
          <w:noProof/>
          <w:lang w:val="sr-Latn-RS"/>
        </w:rPr>
      </w:pPr>
      <w:r w:rsidRPr="00D06E2E">
        <w:rPr>
          <w:lang w:val="sr-Latn-RS"/>
        </w:rPr>
        <w:lastRenderedPageBreak/>
        <w:t>The administrative bodies have an obligation to cooperate with the Protector of Citizens and to provide him with access to the premises and to make available all the data at their disposal, which are important for the procedure he leads, i.e. for the achievement of the goal of his preventive action, regardless of the degree of their confidentiality, except when it is against the law</w:t>
      </w:r>
      <w:r w:rsidRPr="00D06E2E">
        <w:rPr>
          <w:rStyle w:val="FootnoteReference"/>
          <w:lang w:val="sr-Latn-RS"/>
        </w:rPr>
        <w:footnoteReference w:id="288"/>
      </w:r>
      <w:r w:rsidRPr="00D06E2E">
        <w:rPr>
          <w:lang w:val="sr-Latn-RS"/>
        </w:rPr>
        <w:t>.</w:t>
      </w:r>
    </w:p>
    <w:p w14:paraId="6652675E" w14:textId="77777777" w:rsidR="00B37F05" w:rsidRPr="00D06E2E" w:rsidRDefault="00B37F05" w:rsidP="00B37F05">
      <w:pPr>
        <w:spacing w:after="0"/>
        <w:rPr>
          <w:lang w:val="sr-Latn-RS"/>
        </w:rPr>
      </w:pPr>
      <w:r w:rsidRPr="00D06E2E">
        <w:rPr>
          <w:lang w:val="sr-Latn-RS"/>
        </w:rPr>
        <w:t>The Protector of Citizens is authorized to recommend in writing the dismissal of an official, i.e. initiate the initiation of disciplinary proceedings against an employee of an administrative authority who has violated the rights of citizens or made an omission that caused material or other damage to a citizen; if he refuses or fails to remedy the violation or omission as recommended by the Protector of Citizens , or if he fails to fulfill another obligation stipulated by law in the procedure led by the Protector of Citizens. If he finds that there are elements of a criminal or other punishable act in the actions of officials or employees of the administrative body, the Protector of Citizens is authorized to submit a request to the competent authority, that is, an application for the initiation of criminal, misdemeanor or other appropriate proceedings</w:t>
      </w:r>
      <w:r w:rsidRPr="00D06E2E">
        <w:rPr>
          <w:rStyle w:val="FootnoteReference"/>
          <w:lang w:val="sr-Latn-RS"/>
        </w:rPr>
        <w:footnoteReference w:id="289"/>
      </w:r>
      <w:r w:rsidRPr="00D06E2E">
        <w:rPr>
          <w:lang w:val="sr-Latn-RS"/>
        </w:rPr>
        <w:t>.</w:t>
      </w:r>
    </w:p>
    <w:p w14:paraId="02546661" w14:textId="77777777" w:rsidR="00B37F05" w:rsidRPr="00D06E2E" w:rsidRDefault="00B37F05" w:rsidP="00B37F05">
      <w:pPr>
        <w:pStyle w:val="SJpodnaslovi"/>
        <w:spacing w:before="0" w:after="0"/>
        <w:rPr>
          <w:i w:val="0"/>
          <w:sz w:val="22"/>
          <w:szCs w:val="22"/>
          <w:lang w:val="sr-Latn-RS"/>
        </w:rPr>
      </w:pPr>
    </w:p>
    <w:p w14:paraId="7AE859EC" w14:textId="77777777" w:rsidR="00B37F05" w:rsidRPr="00D06E2E" w:rsidRDefault="00B37F05" w:rsidP="00B37F05">
      <w:pPr>
        <w:jc w:val="center"/>
        <w:rPr>
          <w:bCs/>
          <w:iCs/>
          <w:sz w:val="24"/>
          <w:szCs w:val="24"/>
          <w:lang w:val="sr-Latn-RS"/>
        </w:rPr>
      </w:pPr>
      <w:r w:rsidRPr="00D06E2E">
        <w:rPr>
          <w:bCs/>
          <w:iCs/>
          <w:sz w:val="24"/>
          <w:szCs w:val="24"/>
          <w:lang w:val="sr-Latn-RS"/>
        </w:rPr>
        <w:t>Relationship with the provincial Ombudsman and local ombudsmen</w:t>
      </w:r>
    </w:p>
    <w:p w14:paraId="3ECEA5E7" w14:textId="77777777" w:rsidR="00B37F05" w:rsidRPr="00D06E2E" w:rsidRDefault="00B37F05" w:rsidP="00B37F05">
      <w:pPr>
        <w:spacing w:after="0"/>
        <w:rPr>
          <w:lang w:val="sr-Latn-RS"/>
        </w:rPr>
      </w:pPr>
      <w:r w:rsidRPr="00D06E2E">
        <w:rPr>
          <w:lang w:val="sr-Latn-RS"/>
        </w:rPr>
        <w:t>If the Protector of Citizens receives a complaint related to a violation of human or minority rights committed by the acts, actions or inaction of an administrative authority, and the Constitution, international treaty on human or minority rights or law, other regulation or general act of the Republic of Serbia has not been violated, but regulation or other general act of the autonomous province has already been violated, the local self-government unit, submits it, without delay, to the provincial protector of citizens - the ombudsman or the local ombudsman, and informs the complainant about it in writing.</w:t>
      </w:r>
    </w:p>
    <w:p w14:paraId="18BF605E" w14:textId="77777777" w:rsidR="00B37F05" w:rsidRPr="00D06E2E" w:rsidRDefault="00B37F05" w:rsidP="00B37F05">
      <w:pPr>
        <w:spacing w:after="0"/>
        <w:rPr>
          <w:sz w:val="10"/>
          <w:szCs w:val="10"/>
          <w:lang w:val="sr-Latn-RS"/>
        </w:rPr>
      </w:pPr>
    </w:p>
    <w:p w14:paraId="00E0BAA3" w14:textId="77777777" w:rsidR="00B37F05" w:rsidRPr="00D06E2E" w:rsidRDefault="00B37F05" w:rsidP="00B37F05">
      <w:pPr>
        <w:spacing w:after="0"/>
        <w:rPr>
          <w:lang w:val="sr-Latn-RS"/>
        </w:rPr>
      </w:pPr>
      <w:r w:rsidRPr="00D06E2E">
        <w:rPr>
          <w:lang w:val="sr-Latn-RS"/>
        </w:rPr>
        <w:t>If the provincial protector of citizens - ombudsman or the local ombudsman receives a complaint due to a violation of a confirmed international treaty on human or minority rights or a law, other regulation or general act of the Republic of Serbia, it shall be submitted, without delay, to the Protector of Citizens and inform the complainant</w:t>
      </w:r>
      <w:r w:rsidRPr="00D06E2E">
        <w:rPr>
          <w:rStyle w:val="FootnoteReference"/>
          <w:lang w:val="sr-Latn-RS"/>
        </w:rPr>
        <w:footnoteReference w:id="290"/>
      </w:r>
      <w:r w:rsidRPr="00D06E2E">
        <w:rPr>
          <w:lang w:val="sr-Latn-RS"/>
        </w:rPr>
        <w:t xml:space="preserve"> in writing.</w:t>
      </w:r>
    </w:p>
    <w:p w14:paraId="4864B371" w14:textId="77777777" w:rsidR="00B37F05" w:rsidRPr="00D06E2E" w:rsidRDefault="00B37F05" w:rsidP="00B37F05">
      <w:pPr>
        <w:spacing w:after="0"/>
        <w:rPr>
          <w:lang w:val="sr-Latn-RS"/>
        </w:rPr>
      </w:pPr>
    </w:p>
    <w:p w14:paraId="5A44C0AE" w14:textId="77777777" w:rsidR="00B37F05" w:rsidRPr="00D06E2E" w:rsidRDefault="00B37F05" w:rsidP="00B37F05">
      <w:pPr>
        <w:pStyle w:val="SJpodnaslovi"/>
        <w:spacing w:before="0" w:after="120"/>
        <w:rPr>
          <w:b w:val="0"/>
          <w:i w:val="0"/>
          <w:lang w:val="sr-Latn-RS"/>
        </w:rPr>
      </w:pPr>
      <w:r w:rsidRPr="00D06E2E">
        <w:rPr>
          <w:b w:val="0"/>
          <w:i w:val="0"/>
          <w:lang w:val="sr-Latn-RS"/>
        </w:rPr>
        <w:t>Performance of activities outside the seat of the body</w:t>
      </w:r>
    </w:p>
    <w:p w14:paraId="1AA0B538" w14:textId="77777777" w:rsidR="00B37F05" w:rsidRPr="00D06E2E" w:rsidRDefault="00B37F05" w:rsidP="00B37F05">
      <w:pPr>
        <w:rPr>
          <w:lang w:val="sr-Latn-RS"/>
        </w:rPr>
      </w:pPr>
      <w:r w:rsidRPr="00D06E2E">
        <w:rPr>
          <w:lang w:val="sr-Latn-RS"/>
        </w:rPr>
        <w:t>The Law on the Protector of Citizens stipulates that the Protector of Citizens may, by his decision, establish offices outside of his head office</w:t>
      </w:r>
      <w:r w:rsidRPr="00D06E2E">
        <w:rPr>
          <w:rStyle w:val="FootnoteReference"/>
          <w:lang w:val="sr-Latn-RS"/>
        </w:rPr>
        <w:footnoteReference w:id="291"/>
      </w:r>
      <w:r w:rsidRPr="00D06E2E">
        <w:rPr>
          <w:lang w:val="sr-Latn-RS"/>
        </w:rPr>
        <w:t>. The ability of the Protector of Citizens to do so is objectively limited by the size of the Secretariat, which is determined by the act on the systematization of jobs and the budget.</w:t>
      </w:r>
    </w:p>
    <w:p w14:paraId="2254EF4D" w14:textId="77777777" w:rsidR="00B37F05" w:rsidRPr="00D06E2E" w:rsidRDefault="00B37F05" w:rsidP="00B37F05">
      <w:pPr>
        <w:rPr>
          <w:lang w:val="sr-Latn-RS"/>
        </w:rPr>
      </w:pPr>
      <w:r w:rsidRPr="00D06E2E">
        <w:rPr>
          <w:lang w:val="sr-Latn-RS"/>
        </w:rPr>
        <w:t>The Protector of Citizens regularly carries out tasks within his jurisdiction from the head office and from three offices outside the head office (in Bujanovac, Preševo and Medveđa).</w:t>
      </w:r>
    </w:p>
    <w:p w14:paraId="2F6D1B2A" w14:textId="77777777" w:rsidR="00B37F05" w:rsidRPr="00D06E2E" w:rsidRDefault="00B37F05" w:rsidP="00B37F05">
      <w:pPr>
        <w:rPr>
          <w:lang w:val="sr-Latn-RS"/>
        </w:rPr>
      </w:pPr>
      <w:r w:rsidRPr="00D06E2E">
        <w:rPr>
          <w:lang w:val="sr-Latn-RS"/>
        </w:rPr>
        <w:t>In order to conduct control procedures, preventive and educational activities, the Protector of Citizens and employees of the Secretarial travel to cities and towns throughout the Republic every day.</w:t>
      </w:r>
    </w:p>
    <w:p w14:paraId="07B7EAF6" w14:textId="77777777" w:rsidR="00B37F05" w:rsidRPr="00D06E2E" w:rsidRDefault="00B37F05" w:rsidP="00B37F05">
      <w:pPr>
        <w:spacing w:after="0"/>
        <w:jc w:val="left"/>
        <w:rPr>
          <w:lang w:val="sr-Latn-RS"/>
        </w:rPr>
      </w:pPr>
    </w:p>
    <w:p w14:paraId="35BD8488" w14:textId="77777777" w:rsidR="00B37F05" w:rsidRPr="00D06E2E" w:rsidRDefault="00B37F05" w:rsidP="00B37F05">
      <w:pPr>
        <w:spacing w:after="0"/>
        <w:jc w:val="left"/>
        <w:rPr>
          <w:lang w:val="sr-Latn-RS"/>
        </w:rPr>
      </w:pPr>
    </w:p>
    <w:p w14:paraId="429232D8" w14:textId="77777777" w:rsidR="00B37F05" w:rsidRPr="00D06E2E" w:rsidRDefault="00B37F05" w:rsidP="00B37F05">
      <w:pPr>
        <w:spacing w:after="0"/>
        <w:jc w:val="left"/>
        <w:rPr>
          <w:lang w:val="sr-Latn-RS"/>
        </w:rPr>
      </w:pPr>
    </w:p>
    <w:p w14:paraId="7DB54F59" w14:textId="77777777" w:rsidR="00B37F05" w:rsidRPr="00D06E2E" w:rsidRDefault="00B37F05" w:rsidP="00B37F05">
      <w:pPr>
        <w:spacing w:after="0"/>
        <w:jc w:val="left"/>
        <w:rPr>
          <w:lang w:val="sr-Latn-RS"/>
        </w:rPr>
      </w:pPr>
    </w:p>
    <w:p w14:paraId="2FB20318" w14:textId="77777777" w:rsidR="00B37F05" w:rsidRPr="00D06E2E" w:rsidRDefault="00B37F05" w:rsidP="00B37F05">
      <w:pPr>
        <w:pStyle w:val="Heading1"/>
        <w:numPr>
          <w:ilvl w:val="0"/>
          <w:numId w:val="0"/>
        </w:numPr>
        <w:spacing w:before="0"/>
        <w:rPr>
          <w:szCs w:val="32"/>
          <w:lang w:val="sr-Latn-RS"/>
        </w:rPr>
      </w:pPr>
      <w:bookmarkStart w:id="63" w:name="_Toc35172773"/>
      <w:bookmarkStart w:id="64" w:name="_Toc66712497"/>
      <w:r w:rsidRPr="00D06E2E">
        <w:rPr>
          <w:szCs w:val="32"/>
          <w:lang w:val="sr-Latn-RS"/>
        </w:rPr>
        <w:lastRenderedPageBreak/>
        <w:t xml:space="preserve">annex II – </w:t>
      </w:r>
      <w:bookmarkEnd w:id="63"/>
      <w:bookmarkEnd w:id="64"/>
      <w:r w:rsidRPr="00D06E2E">
        <w:rPr>
          <w:szCs w:val="32"/>
          <w:lang w:val="sr-Latn-RS"/>
        </w:rPr>
        <w:t>financial statement</w:t>
      </w:r>
    </w:p>
    <w:p w14:paraId="5B2D69A3" w14:textId="77777777" w:rsidR="00B37F05" w:rsidRPr="00D06E2E" w:rsidRDefault="00B37F05" w:rsidP="00B37F05">
      <w:pPr>
        <w:rPr>
          <w:lang w:val="sr-Latn-RS"/>
        </w:rPr>
      </w:pPr>
      <w:r w:rsidRPr="00D06E2E">
        <w:rPr>
          <w:lang w:val="sr-Latn-RS"/>
        </w:rPr>
        <w:t xml:space="preserve">Pursuant to the Law on Amendments to the Law on the Budget of the Republic of Serbia for 2023 the Protector of Citizens is granted financial funds in the amount of RSD </w:t>
      </w:r>
      <w:r w:rsidRPr="00D06E2E">
        <w:rPr>
          <w:noProof/>
          <w:lang w:val="sr-Latn-RS"/>
        </w:rPr>
        <w:t>237.311.000,00</w:t>
      </w:r>
      <w:r w:rsidRPr="00D06E2E">
        <w:rPr>
          <w:b/>
          <w:noProof/>
          <w:lang w:val="sr-Latn-RS"/>
        </w:rPr>
        <w:t xml:space="preserve"> </w:t>
      </w:r>
      <w:r w:rsidRPr="00D06E2E">
        <w:rPr>
          <w:lang w:val="sr-Latn-RS"/>
        </w:rPr>
        <w:t xml:space="preserve">which is a decreased amount by 3 percent in comparison to RSD </w:t>
      </w:r>
      <w:r w:rsidRPr="00D06E2E">
        <w:rPr>
          <w:noProof/>
          <w:lang w:val="sr-Latn-RS"/>
        </w:rPr>
        <w:t>229.738.000,00</w:t>
      </w:r>
      <w:r w:rsidRPr="00D06E2E">
        <w:rPr>
          <w:b/>
          <w:noProof/>
          <w:lang w:val="sr-Latn-RS"/>
        </w:rPr>
        <w:t xml:space="preserve"> </w:t>
      </w:r>
      <w:r w:rsidRPr="00D06E2E">
        <w:rPr>
          <w:lang w:val="sr-Latn-RS"/>
        </w:rPr>
        <w:t>of provided financial fund for 2022.</w:t>
      </w:r>
    </w:p>
    <w:p w14:paraId="783A7BB6" w14:textId="77777777" w:rsidR="00B37F05" w:rsidRPr="00D06E2E" w:rsidRDefault="00B37F05" w:rsidP="00B37F05">
      <w:pPr>
        <w:rPr>
          <w:lang w:val="sr-Latn-RS"/>
        </w:rPr>
      </w:pPr>
      <w:r w:rsidRPr="00D06E2E">
        <w:rPr>
          <w:lang w:val="sr-Latn-RS"/>
        </w:rPr>
        <w:t xml:space="preserve">The total expenditure of the Protector of citizens for 2023 amount to RSD </w:t>
      </w:r>
      <w:r w:rsidRPr="00D06E2E">
        <w:rPr>
          <w:noProof/>
          <w:lang w:val="sr-Latn-RS"/>
        </w:rPr>
        <w:t>219.745.046,56</w:t>
      </w:r>
      <w:r w:rsidRPr="00D06E2E">
        <w:rPr>
          <w:lang w:val="sr-Latn-RS"/>
        </w:rPr>
        <w:t xml:space="preserve">, i.e. 92.60 percent and the expenditure of budget funds is higher by 3.34 percent in comparison to the expenditure for 2022. </w:t>
      </w:r>
    </w:p>
    <w:p w14:paraId="76A8EBBA" w14:textId="77777777" w:rsidR="00B37F05" w:rsidRPr="00D06E2E" w:rsidRDefault="00B37F05" w:rsidP="00B37F05">
      <w:pPr>
        <w:pStyle w:val="Caption"/>
        <w:jc w:val="left"/>
        <w:rPr>
          <w:b w:val="0"/>
          <w:lang w:val="sr-Latn-RS"/>
        </w:rPr>
      </w:pPr>
      <w:r w:rsidRPr="00D06E2E">
        <w:rPr>
          <w:b w:val="0"/>
          <w:lang w:val="sr-Latn-RS"/>
        </w:rPr>
        <w:t>The funds stipulated by the budget were used for financing of the regular activities of the Protector of Citizens, pursuant to the financial plan.</w:t>
      </w:r>
    </w:p>
    <w:p w14:paraId="49682D17" w14:textId="77777777" w:rsidR="00B37F05" w:rsidRPr="00D06E2E" w:rsidRDefault="00B37F05" w:rsidP="00B37F05">
      <w:pPr>
        <w:rPr>
          <w:lang w:val="sr-Latn-RS"/>
        </w:rPr>
      </w:pPr>
    </w:p>
    <w:p w14:paraId="3C96A233" w14:textId="77777777" w:rsidR="00B37F05" w:rsidRPr="00D06E2E" w:rsidRDefault="00B37F05" w:rsidP="00B37F05">
      <w:pPr>
        <w:pStyle w:val="Caption"/>
        <w:jc w:val="center"/>
        <w:rPr>
          <w:lang w:val="sr-Latn-RS"/>
        </w:rPr>
      </w:pPr>
      <w:r w:rsidRPr="00D06E2E">
        <w:rPr>
          <w:lang w:val="sr-Latn-RS"/>
        </w:rPr>
        <w:t>Table 35 – Budget execution for 2023</w:t>
      </w:r>
    </w:p>
    <w:tbl>
      <w:tblPr>
        <w:tblW w:w="8820" w:type="dxa"/>
        <w:jc w:val="center"/>
        <w:tblBorders>
          <w:top w:val="single" w:sz="8" w:space="0" w:color="4BACC6"/>
          <w:left w:val="single" w:sz="2" w:space="0" w:color="4BACC6"/>
          <w:bottom w:val="single" w:sz="2" w:space="0" w:color="4BACC6"/>
          <w:right w:val="single" w:sz="2" w:space="0" w:color="4BACC6"/>
          <w:insideH w:val="single" w:sz="2" w:space="0" w:color="4BACC6"/>
          <w:insideV w:val="single" w:sz="2" w:space="0" w:color="4BACC6"/>
        </w:tblBorders>
        <w:tblLook w:val="04A0" w:firstRow="1" w:lastRow="0" w:firstColumn="1" w:lastColumn="0" w:noHBand="0" w:noVBand="1"/>
      </w:tblPr>
      <w:tblGrid>
        <w:gridCol w:w="1148"/>
        <w:gridCol w:w="2575"/>
        <w:gridCol w:w="1479"/>
        <w:gridCol w:w="1816"/>
        <w:gridCol w:w="1802"/>
      </w:tblGrid>
      <w:tr w:rsidR="00B37F05" w:rsidRPr="00D06E2E" w14:paraId="6FCA1426" w14:textId="77777777" w:rsidTr="00B37F05">
        <w:trPr>
          <w:trHeight w:val="615"/>
          <w:jc w:val="center"/>
        </w:trPr>
        <w:tc>
          <w:tcPr>
            <w:tcW w:w="1148" w:type="dxa"/>
            <w:shd w:val="clear" w:color="000000" w:fill="DAEEF3"/>
            <w:vAlign w:val="center"/>
            <w:hideMark/>
          </w:tcPr>
          <w:p w14:paraId="79D94601"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eastAsia="sr-Latn-RS"/>
              </w:rPr>
              <w:t>Account position</w:t>
            </w:r>
          </w:p>
        </w:tc>
        <w:tc>
          <w:tcPr>
            <w:tcW w:w="2575" w:type="dxa"/>
            <w:shd w:val="clear" w:color="000000" w:fill="DAEEF3"/>
            <w:vAlign w:val="center"/>
            <w:hideMark/>
          </w:tcPr>
          <w:p w14:paraId="1F5F9F82"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Description</w:t>
            </w:r>
          </w:p>
        </w:tc>
        <w:tc>
          <w:tcPr>
            <w:tcW w:w="1479" w:type="dxa"/>
            <w:shd w:val="clear" w:color="000000" w:fill="DAEEF3"/>
            <w:vAlign w:val="center"/>
            <w:hideMark/>
          </w:tcPr>
          <w:p w14:paraId="3276FD8B"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Approved</w:t>
            </w:r>
          </w:p>
        </w:tc>
        <w:tc>
          <w:tcPr>
            <w:tcW w:w="1816" w:type="dxa"/>
            <w:shd w:val="clear" w:color="000000" w:fill="DAEEF3"/>
            <w:vAlign w:val="center"/>
            <w:hideMark/>
          </w:tcPr>
          <w:p w14:paraId="19E983A2"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Accomplished</w:t>
            </w:r>
          </w:p>
        </w:tc>
        <w:tc>
          <w:tcPr>
            <w:tcW w:w="1802" w:type="dxa"/>
            <w:shd w:val="clear" w:color="000000" w:fill="DAEEF3"/>
            <w:vAlign w:val="center"/>
            <w:hideMark/>
          </w:tcPr>
          <w:p w14:paraId="2E6B91EE"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w:t>
            </w:r>
          </w:p>
        </w:tc>
      </w:tr>
      <w:tr w:rsidR="00B37F05" w:rsidRPr="00D06E2E" w14:paraId="57BA440D" w14:textId="77777777" w:rsidTr="00B37F05">
        <w:trPr>
          <w:trHeight w:val="315"/>
          <w:jc w:val="center"/>
        </w:trPr>
        <w:tc>
          <w:tcPr>
            <w:tcW w:w="1148" w:type="dxa"/>
            <w:shd w:val="clear" w:color="auto" w:fill="auto"/>
            <w:vAlign w:val="center"/>
            <w:hideMark/>
          </w:tcPr>
          <w:p w14:paraId="3673FAF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411</w:t>
            </w:r>
          </w:p>
        </w:tc>
        <w:tc>
          <w:tcPr>
            <w:tcW w:w="2575" w:type="dxa"/>
            <w:shd w:val="clear" w:color="auto" w:fill="auto"/>
            <w:vAlign w:val="center"/>
            <w:hideMark/>
          </w:tcPr>
          <w:p w14:paraId="1A6F33F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 xml:space="preserve">Salaries </w:t>
            </w:r>
          </w:p>
        </w:tc>
        <w:tc>
          <w:tcPr>
            <w:tcW w:w="1479" w:type="dxa"/>
            <w:shd w:val="clear" w:color="auto" w:fill="auto"/>
            <w:vAlign w:val="center"/>
            <w:hideMark/>
          </w:tcPr>
          <w:p w14:paraId="37285B1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223BB0E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66FECAE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2BD63796" w14:textId="77777777" w:rsidTr="00B37F05">
        <w:trPr>
          <w:trHeight w:val="330"/>
          <w:jc w:val="center"/>
        </w:trPr>
        <w:tc>
          <w:tcPr>
            <w:tcW w:w="1148" w:type="dxa"/>
            <w:shd w:val="clear" w:color="auto" w:fill="auto"/>
            <w:vAlign w:val="center"/>
            <w:hideMark/>
          </w:tcPr>
          <w:p w14:paraId="1FD17B8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411111</w:t>
            </w:r>
          </w:p>
        </w:tc>
        <w:tc>
          <w:tcPr>
            <w:tcW w:w="2575" w:type="dxa"/>
            <w:shd w:val="clear" w:color="auto" w:fill="auto"/>
            <w:vAlign w:val="center"/>
            <w:hideMark/>
          </w:tcPr>
          <w:p w14:paraId="427D4EA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Salaries based on the labor cost</w:t>
            </w:r>
          </w:p>
        </w:tc>
        <w:tc>
          <w:tcPr>
            <w:tcW w:w="1479" w:type="dxa"/>
            <w:shd w:val="clear" w:color="auto" w:fill="auto"/>
            <w:vAlign w:val="center"/>
            <w:hideMark/>
          </w:tcPr>
          <w:p w14:paraId="5C3F174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7B6C40D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125.769.555,65</w:t>
            </w:r>
          </w:p>
        </w:tc>
        <w:tc>
          <w:tcPr>
            <w:tcW w:w="1802" w:type="dxa"/>
            <w:shd w:val="clear" w:color="auto" w:fill="auto"/>
            <w:vAlign w:val="center"/>
            <w:hideMark/>
          </w:tcPr>
          <w:p w14:paraId="02FFD68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73,70</w:t>
            </w:r>
          </w:p>
        </w:tc>
      </w:tr>
      <w:tr w:rsidR="00B37F05" w:rsidRPr="00D06E2E" w14:paraId="764F1600" w14:textId="77777777" w:rsidTr="00B37F05">
        <w:trPr>
          <w:trHeight w:val="555"/>
          <w:jc w:val="center"/>
        </w:trPr>
        <w:tc>
          <w:tcPr>
            <w:tcW w:w="1148" w:type="dxa"/>
            <w:shd w:val="clear" w:color="auto" w:fill="auto"/>
            <w:vAlign w:val="center"/>
            <w:hideMark/>
          </w:tcPr>
          <w:p w14:paraId="541F4BF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411112</w:t>
            </w:r>
          </w:p>
        </w:tc>
        <w:tc>
          <w:tcPr>
            <w:tcW w:w="2575" w:type="dxa"/>
            <w:shd w:val="clear" w:color="auto" w:fill="auto"/>
            <w:vAlign w:val="center"/>
            <w:hideMark/>
          </w:tcPr>
          <w:p w14:paraId="4FB1FE5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Bonus for work longer that full working hours</w:t>
            </w:r>
          </w:p>
        </w:tc>
        <w:tc>
          <w:tcPr>
            <w:tcW w:w="1479" w:type="dxa"/>
            <w:shd w:val="clear" w:color="auto" w:fill="auto"/>
            <w:vAlign w:val="center"/>
            <w:hideMark/>
          </w:tcPr>
          <w:p w14:paraId="7A7872D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79DA139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3.900.661,34</w:t>
            </w:r>
          </w:p>
        </w:tc>
        <w:tc>
          <w:tcPr>
            <w:tcW w:w="1802" w:type="dxa"/>
            <w:shd w:val="clear" w:color="auto" w:fill="auto"/>
            <w:vAlign w:val="center"/>
            <w:hideMark/>
          </w:tcPr>
          <w:p w14:paraId="3E2D98E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2,29</w:t>
            </w:r>
          </w:p>
        </w:tc>
      </w:tr>
      <w:tr w:rsidR="00B37F05" w:rsidRPr="00D06E2E" w14:paraId="5B2323DA" w14:textId="77777777" w:rsidTr="00B37F05">
        <w:trPr>
          <w:trHeight w:val="330"/>
          <w:jc w:val="center"/>
        </w:trPr>
        <w:tc>
          <w:tcPr>
            <w:tcW w:w="1148" w:type="dxa"/>
            <w:shd w:val="clear" w:color="auto" w:fill="auto"/>
            <w:vAlign w:val="center"/>
            <w:hideMark/>
          </w:tcPr>
          <w:p w14:paraId="530C008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411114</w:t>
            </w:r>
          </w:p>
        </w:tc>
        <w:tc>
          <w:tcPr>
            <w:tcW w:w="2575" w:type="dxa"/>
            <w:shd w:val="clear" w:color="auto" w:fill="auto"/>
            <w:vAlign w:val="center"/>
            <w:hideMark/>
          </w:tcPr>
          <w:p w14:paraId="0E7CFEB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Bonus for work overnight</w:t>
            </w:r>
          </w:p>
        </w:tc>
        <w:tc>
          <w:tcPr>
            <w:tcW w:w="1479" w:type="dxa"/>
            <w:shd w:val="clear" w:color="auto" w:fill="auto"/>
            <w:vAlign w:val="center"/>
            <w:hideMark/>
          </w:tcPr>
          <w:p w14:paraId="6C441A0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0BA85CB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1.602,36</w:t>
            </w:r>
          </w:p>
        </w:tc>
        <w:tc>
          <w:tcPr>
            <w:tcW w:w="1802" w:type="dxa"/>
            <w:shd w:val="clear" w:color="auto" w:fill="auto"/>
            <w:vAlign w:val="center"/>
            <w:hideMark/>
          </w:tcPr>
          <w:p w14:paraId="54F8781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0,00</w:t>
            </w:r>
          </w:p>
        </w:tc>
      </w:tr>
      <w:tr w:rsidR="00B37F05" w:rsidRPr="00D06E2E" w14:paraId="68D284EF" w14:textId="77777777" w:rsidTr="00B37F05">
        <w:trPr>
          <w:trHeight w:val="825"/>
          <w:jc w:val="center"/>
        </w:trPr>
        <w:tc>
          <w:tcPr>
            <w:tcW w:w="1148" w:type="dxa"/>
            <w:shd w:val="clear" w:color="auto" w:fill="auto"/>
            <w:vAlign w:val="center"/>
            <w:hideMark/>
          </w:tcPr>
          <w:p w14:paraId="6E234FD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411115</w:t>
            </w:r>
          </w:p>
        </w:tc>
        <w:tc>
          <w:tcPr>
            <w:tcW w:w="2575" w:type="dxa"/>
            <w:shd w:val="clear" w:color="auto" w:fill="auto"/>
            <w:vAlign w:val="center"/>
            <w:hideMark/>
          </w:tcPr>
          <w:p w14:paraId="5BB9D4CC" w14:textId="77777777" w:rsidR="00B37F05" w:rsidRPr="00D06E2E" w:rsidRDefault="00B37F05" w:rsidP="00B37F05">
            <w:pPr>
              <w:spacing w:after="0"/>
              <w:jc w:val="center"/>
              <w:rPr>
                <w:rFonts w:eastAsia="Times New Roman" w:cs="Calibri"/>
                <w:color w:val="000000"/>
                <w:sz w:val="20"/>
                <w:szCs w:val="20"/>
                <w:lang w:val="sr-Latn-RS" w:eastAsia="sr-Latn-RS"/>
              </w:rPr>
            </w:pPr>
            <w:r w:rsidRPr="00D06E2E">
              <w:rPr>
                <w:rFonts w:eastAsia="Times New Roman" w:cs="Calibri"/>
                <w:color w:val="000000"/>
                <w:sz w:val="20"/>
                <w:szCs w:val="20"/>
                <w:lang w:val="sr-Latn-RS" w:eastAsia="sr-Latn-RS"/>
              </w:rPr>
              <w:t xml:space="preserve">Bonus for the time spent at work </w:t>
            </w:r>
          </w:p>
          <w:p w14:paraId="0325883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(years of service)</w:t>
            </w:r>
          </w:p>
        </w:tc>
        <w:tc>
          <w:tcPr>
            <w:tcW w:w="1479" w:type="dxa"/>
            <w:shd w:val="clear" w:color="auto" w:fill="auto"/>
            <w:vAlign w:val="center"/>
            <w:hideMark/>
          </w:tcPr>
          <w:p w14:paraId="51E7E50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484ADE3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7.773.897,61</w:t>
            </w:r>
          </w:p>
        </w:tc>
        <w:tc>
          <w:tcPr>
            <w:tcW w:w="1802" w:type="dxa"/>
            <w:shd w:val="clear" w:color="auto" w:fill="auto"/>
            <w:vAlign w:val="center"/>
            <w:hideMark/>
          </w:tcPr>
          <w:p w14:paraId="7B3CDC0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4,56</w:t>
            </w:r>
          </w:p>
        </w:tc>
      </w:tr>
      <w:tr w:rsidR="00B37F05" w:rsidRPr="00D06E2E" w14:paraId="03FE7400" w14:textId="77777777" w:rsidTr="00B37F05">
        <w:trPr>
          <w:trHeight w:val="330"/>
          <w:jc w:val="center"/>
        </w:trPr>
        <w:tc>
          <w:tcPr>
            <w:tcW w:w="1148" w:type="dxa"/>
            <w:shd w:val="clear" w:color="auto" w:fill="auto"/>
            <w:vAlign w:val="center"/>
            <w:hideMark/>
          </w:tcPr>
          <w:p w14:paraId="6F42B73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411117</w:t>
            </w:r>
          </w:p>
        </w:tc>
        <w:tc>
          <w:tcPr>
            <w:tcW w:w="2575" w:type="dxa"/>
            <w:shd w:val="clear" w:color="auto" w:fill="auto"/>
            <w:vAlign w:val="center"/>
            <w:hideMark/>
          </w:tcPr>
          <w:p w14:paraId="6D7C870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Sick leave up to 30  days</w:t>
            </w:r>
          </w:p>
        </w:tc>
        <w:tc>
          <w:tcPr>
            <w:tcW w:w="1479" w:type="dxa"/>
            <w:shd w:val="clear" w:color="auto" w:fill="auto"/>
            <w:vAlign w:val="center"/>
            <w:hideMark/>
          </w:tcPr>
          <w:p w14:paraId="5D544EA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0659A73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3.511.491,60</w:t>
            </w:r>
          </w:p>
        </w:tc>
        <w:tc>
          <w:tcPr>
            <w:tcW w:w="1802" w:type="dxa"/>
            <w:shd w:val="clear" w:color="auto" w:fill="auto"/>
            <w:vAlign w:val="center"/>
            <w:hideMark/>
          </w:tcPr>
          <w:p w14:paraId="3871E22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2,06</w:t>
            </w:r>
          </w:p>
        </w:tc>
      </w:tr>
      <w:tr w:rsidR="00B37F05" w:rsidRPr="00D06E2E" w14:paraId="46226EBC" w14:textId="77777777" w:rsidTr="00B37F05">
        <w:trPr>
          <w:trHeight w:val="1095"/>
          <w:jc w:val="center"/>
        </w:trPr>
        <w:tc>
          <w:tcPr>
            <w:tcW w:w="1148" w:type="dxa"/>
            <w:shd w:val="clear" w:color="auto" w:fill="auto"/>
            <w:vAlign w:val="center"/>
            <w:hideMark/>
          </w:tcPr>
          <w:p w14:paraId="53B4D87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411118</w:t>
            </w:r>
          </w:p>
        </w:tc>
        <w:tc>
          <w:tcPr>
            <w:tcW w:w="2575" w:type="dxa"/>
            <w:shd w:val="clear" w:color="auto" w:fill="auto"/>
            <w:vAlign w:val="center"/>
            <w:hideMark/>
          </w:tcPr>
          <w:p w14:paraId="5BE0934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Earning compensation for the time of absence from work – annual vacation, paid leave</w:t>
            </w:r>
          </w:p>
        </w:tc>
        <w:tc>
          <w:tcPr>
            <w:tcW w:w="1479" w:type="dxa"/>
            <w:shd w:val="clear" w:color="auto" w:fill="auto"/>
            <w:vAlign w:val="center"/>
            <w:hideMark/>
          </w:tcPr>
          <w:p w14:paraId="51802E3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D7AD39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21.899.314,42</w:t>
            </w:r>
          </w:p>
        </w:tc>
        <w:tc>
          <w:tcPr>
            <w:tcW w:w="1802" w:type="dxa"/>
            <w:shd w:val="clear" w:color="auto" w:fill="auto"/>
            <w:vAlign w:val="center"/>
            <w:hideMark/>
          </w:tcPr>
          <w:p w14:paraId="2C153F1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12,83</w:t>
            </w:r>
          </w:p>
        </w:tc>
      </w:tr>
      <w:tr w:rsidR="00B37F05" w:rsidRPr="00D06E2E" w14:paraId="5D38C71B" w14:textId="77777777" w:rsidTr="00B37F05">
        <w:trPr>
          <w:trHeight w:val="555"/>
          <w:jc w:val="center"/>
        </w:trPr>
        <w:tc>
          <w:tcPr>
            <w:tcW w:w="1148" w:type="dxa"/>
            <w:shd w:val="clear" w:color="auto" w:fill="auto"/>
            <w:vAlign w:val="center"/>
            <w:hideMark/>
          </w:tcPr>
          <w:p w14:paraId="31FEF52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411119</w:t>
            </w:r>
          </w:p>
        </w:tc>
        <w:tc>
          <w:tcPr>
            <w:tcW w:w="2575" w:type="dxa"/>
            <w:shd w:val="clear" w:color="auto" w:fill="auto"/>
            <w:vAlign w:val="center"/>
            <w:hideMark/>
          </w:tcPr>
          <w:p w14:paraId="1D10486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bonuses and compensations for employees</w:t>
            </w:r>
          </w:p>
        </w:tc>
        <w:tc>
          <w:tcPr>
            <w:tcW w:w="1479" w:type="dxa"/>
            <w:shd w:val="clear" w:color="auto" w:fill="auto"/>
            <w:vAlign w:val="center"/>
            <w:hideMark/>
          </w:tcPr>
          <w:p w14:paraId="14B6E38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47435D6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3.867.651,13</w:t>
            </w:r>
          </w:p>
        </w:tc>
        <w:tc>
          <w:tcPr>
            <w:tcW w:w="1802" w:type="dxa"/>
            <w:shd w:val="clear" w:color="auto" w:fill="auto"/>
            <w:vAlign w:val="center"/>
            <w:hideMark/>
          </w:tcPr>
          <w:p w14:paraId="7E63FEF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2,27</w:t>
            </w:r>
          </w:p>
        </w:tc>
      </w:tr>
      <w:tr w:rsidR="00B37F05" w:rsidRPr="00D06E2E" w14:paraId="52AC2F35" w14:textId="77777777" w:rsidTr="00B37F05">
        <w:trPr>
          <w:trHeight w:val="615"/>
          <w:jc w:val="center"/>
        </w:trPr>
        <w:tc>
          <w:tcPr>
            <w:tcW w:w="1148" w:type="dxa"/>
            <w:shd w:val="clear" w:color="000000" w:fill="DAEEF3"/>
            <w:vAlign w:val="center"/>
            <w:hideMark/>
          </w:tcPr>
          <w:p w14:paraId="663B495F"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p w14:paraId="0B7AB74D"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xml:space="preserve"> 411</w:t>
            </w:r>
          </w:p>
        </w:tc>
        <w:tc>
          <w:tcPr>
            <w:tcW w:w="2575" w:type="dxa"/>
            <w:shd w:val="clear" w:color="000000" w:fill="DAEEF3"/>
            <w:vAlign w:val="center"/>
            <w:hideMark/>
          </w:tcPr>
          <w:p w14:paraId="7DD6CD20"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348841C2"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170.662.000,00</w:t>
            </w:r>
          </w:p>
        </w:tc>
        <w:tc>
          <w:tcPr>
            <w:tcW w:w="1816" w:type="dxa"/>
            <w:shd w:val="clear" w:color="000000" w:fill="DAEEF3"/>
            <w:vAlign w:val="center"/>
            <w:hideMark/>
          </w:tcPr>
          <w:p w14:paraId="6A4F7023"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166.724.174,11</w:t>
            </w:r>
          </w:p>
        </w:tc>
        <w:tc>
          <w:tcPr>
            <w:tcW w:w="1802" w:type="dxa"/>
            <w:shd w:val="clear" w:color="000000" w:fill="DDEBF7"/>
            <w:vAlign w:val="center"/>
            <w:hideMark/>
          </w:tcPr>
          <w:p w14:paraId="048DE58E"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97,69</w:t>
            </w:r>
          </w:p>
        </w:tc>
      </w:tr>
      <w:tr w:rsidR="00B37F05" w:rsidRPr="00D06E2E" w14:paraId="7827DC4B" w14:textId="77777777" w:rsidTr="00B37F05">
        <w:trPr>
          <w:trHeight w:val="315"/>
          <w:jc w:val="center"/>
        </w:trPr>
        <w:tc>
          <w:tcPr>
            <w:tcW w:w="1148" w:type="dxa"/>
            <w:shd w:val="clear" w:color="auto" w:fill="auto"/>
            <w:vAlign w:val="center"/>
            <w:hideMark/>
          </w:tcPr>
          <w:p w14:paraId="329BEE0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412</w:t>
            </w:r>
          </w:p>
        </w:tc>
        <w:tc>
          <w:tcPr>
            <w:tcW w:w="2575" w:type="dxa"/>
            <w:shd w:val="clear" w:color="auto" w:fill="auto"/>
            <w:vAlign w:val="center"/>
            <w:hideMark/>
          </w:tcPr>
          <w:p w14:paraId="230854D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 xml:space="preserve">Contributions </w:t>
            </w:r>
          </w:p>
        </w:tc>
        <w:tc>
          <w:tcPr>
            <w:tcW w:w="1479" w:type="dxa"/>
            <w:shd w:val="clear" w:color="auto" w:fill="auto"/>
            <w:vAlign w:val="center"/>
            <w:hideMark/>
          </w:tcPr>
          <w:p w14:paraId="11ABC06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05020D4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3AC379E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4E749FEB" w14:textId="77777777" w:rsidTr="00B37F05">
        <w:trPr>
          <w:trHeight w:val="330"/>
          <w:jc w:val="center"/>
        </w:trPr>
        <w:tc>
          <w:tcPr>
            <w:tcW w:w="1148" w:type="dxa"/>
            <w:shd w:val="clear" w:color="auto" w:fill="auto"/>
            <w:vAlign w:val="center"/>
            <w:hideMark/>
          </w:tcPr>
          <w:p w14:paraId="2C3B197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412111</w:t>
            </w:r>
          </w:p>
        </w:tc>
        <w:tc>
          <w:tcPr>
            <w:tcW w:w="2575" w:type="dxa"/>
            <w:shd w:val="clear" w:color="auto" w:fill="auto"/>
            <w:vAlign w:val="center"/>
            <w:hideMark/>
          </w:tcPr>
          <w:p w14:paraId="724DAE2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Contributions for PDI</w:t>
            </w:r>
          </w:p>
        </w:tc>
        <w:tc>
          <w:tcPr>
            <w:tcW w:w="1479" w:type="dxa"/>
            <w:shd w:val="clear" w:color="auto" w:fill="auto"/>
            <w:vAlign w:val="center"/>
            <w:hideMark/>
          </w:tcPr>
          <w:p w14:paraId="291EA43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000000" w:fill="FFFFFF"/>
            <w:vAlign w:val="center"/>
            <w:hideMark/>
          </w:tcPr>
          <w:p w14:paraId="178DFB9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15.982.194,80</w:t>
            </w:r>
          </w:p>
        </w:tc>
        <w:tc>
          <w:tcPr>
            <w:tcW w:w="1802" w:type="dxa"/>
            <w:shd w:val="clear" w:color="auto" w:fill="auto"/>
            <w:vAlign w:val="center"/>
            <w:hideMark/>
          </w:tcPr>
          <w:p w14:paraId="3CF9992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64,34</w:t>
            </w:r>
          </w:p>
        </w:tc>
      </w:tr>
      <w:tr w:rsidR="00B37F05" w:rsidRPr="00D06E2E" w14:paraId="65D37918" w14:textId="77777777" w:rsidTr="00B37F05">
        <w:trPr>
          <w:trHeight w:val="555"/>
          <w:jc w:val="center"/>
        </w:trPr>
        <w:tc>
          <w:tcPr>
            <w:tcW w:w="1148" w:type="dxa"/>
            <w:shd w:val="clear" w:color="auto" w:fill="auto"/>
            <w:vAlign w:val="center"/>
            <w:hideMark/>
          </w:tcPr>
          <w:p w14:paraId="6B27C9C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412211</w:t>
            </w:r>
          </w:p>
        </w:tc>
        <w:tc>
          <w:tcPr>
            <w:tcW w:w="2575" w:type="dxa"/>
            <w:shd w:val="clear" w:color="auto" w:fill="auto"/>
            <w:vAlign w:val="center"/>
            <w:hideMark/>
          </w:tcPr>
          <w:p w14:paraId="70755F4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Contributions for health insurance</w:t>
            </w:r>
          </w:p>
        </w:tc>
        <w:tc>
          <w:tcPr>
            <w:tcW w:w="1479" w:type="dxa"/>
            <w:shd w:val="clear" w:color="auto" w:fill="auto"/>
            <w:vAlign w:val="center"/>
            <w:hideMark/>
          </w:tcPr>
          <w:p w14:paraId="61D48A8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000000" w:fill="FFFFFF"/>
            <w:vAlign w:val="center"/>
            <w:hideMark/>
          </w:tcPr>
          <w:p w14:paraId="31D3E46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8.230.830,05</w:t>
            </w:r>
          </w:p>
        </w:tc>
        <w:tc>
          <w:tcPr>
            <w:tcW w:w="1802" w:type="dxa"/>
            <w:shd w:val="clear" w:color="auto" w:fill="auto"/>
            <w:vAlign w:val="center"/>
            <w:hideMark/>
          </w:tcPr>
          <w:p w14:paraId="28EEA24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33,13</w:t>
            </w:r>
          </w:p>
        </w:tc>
      </w:tr>
      <w:tr w:rsidR="00B37F05" w:rsidRPr="00D06E2E" w14:paraId="312B0573" w14:textId="77777777" w:rsidTr="00B37F05">
        <w:trPr>
          <w:trHeight w:val="615"/>
          <w:jc w:val="center"/>
        </w:trPr>
        <w:tc>
          <w:tcPr>
            <w:tcW w:w="1148" w:type="dxa"/>
            <w:shd w:val="clear" w:color="000000" w:fill="DAEEF3"/>
            <w:vAlign w:val="center"/>
            <w:hideMark/>
          </w:tcPr>
          <w:p w14:paraId="7CD9739E"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p w14:paraId="3D3575CD"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xml:space="preserve"> 412</w:t>
            </w:r>
          </w:p>
        </w:tc>
        <w:tc>
          <w:tcPr>
            <w:tcW w:w="2575" w:type="dxa"/>
            <w:shd w:val="clear" w:color="000000" w:fill="DAEEF3"/>
            <w:vAlign w:val="center"/>
            <w:hideMark/>
          </w:tcPr>
          <w:p w14:paraId="46F5079F"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413249E9"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24.842.000,00</w:t>
            </w:r>
          </w:p>
        </w:tc>
        <w:tc>
          <w:tcPr>
            <w:tcW w:w="1816" w:type="dxa"/>
            <w:shd w:val="clear" w:color="000000" w:fill="DAEEF3"/>
            <w:vAlign w:val="center"/>
            <w:hideMark/>
          </w:tcPr>
          <w:p w14:paraId="414A3FBE"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24.213.024,85</w:t>
            </w:r>
          </w:p>
        </w:tc>
        <w:tc>
          <w:tcPr>
            <w:tcW w:w="1802" w:type="dxa"/>
            <w:shd w:val="clear" w:color="000000" w:fill="DDEBF7"/>
            <w:vAlign w:val="center"/>
            <w:hideMark/>
          </w:tcPr>
          <w:p w14:paraId="587C3C88"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97,47</w:t>
            </w:r>
          </w:p>
        </w:tc>
      </w:tr>
      <w:tr w:rsidR="00B37F05" w:rsidRPr="00D06E2E" w14:paraId="5E6C25CD" w14:textId="77777777" w:rsidTr="00B37F05">
        <w:trPr>
          <w:trHeight w:val="315"/>
          <w:jc w:val="center"/>
        </w:trPr>
        <w:tc>
          <w:tcPr>
            <w:tcW w:w="1148" w:type="dxa"/>
            <w:shd w:val="clear" w:color="000000" w:fill="FFFFFF"/>
            <w:vAlign w:val="center"/>
            <w:hideMark/>
          </w:tcPr>
          <w:p w14:paraId="5A7CD0A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413</w:t>
            </w:r>
          </w:p>
        </w:tc>
        <w:tc>
          <w:tcPr>
            <w:tcW w:w="2575" w:type="dxa"/>
            <w:shd w:val="clear" w:color="000000" w:fill="FFFFFF"/>
            <w:vAlign w:val="center"/>
            <w:hideMark/>
          </w:tcPr>
          <w:p w14:paraId="015DD2F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Compensations in kind</w:t>
            </w:r>
          </w:p>
        </w:tc>
        <w:tc>
          <w:tcPr>
            <w:tcW w:w="1479" w:type="dxa"/>
            <w:shd w:val="clear" w:color="000000" w:fill="FFFFFF"/>
            <w:vAlign w:val="center"/>
            <w:hideMark/>
          </w:tcPr>
          <w:p w14:paraId="077312F8"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816" w:type="dxa"/>
            <w:shd w:val="clear" w:color="000000" w:fill="FFFFFF"/>
            <w:vAlign w:val="center"/>
            <w:hideMark/>
          </w:tcPr>
          <w:p w14:paraId="64AB614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000000" w:fill="FFFFFF"/>
            <w:vAlign w:val="center"/>
            <w:hideMark/>
          </w:tcPr>
          <w:p w14:paraId="1DBFB414"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r>
      <w:tr w:rsidR="00B37F05" w:rsidRPr="00D06E2E" w14:paraId="19752054" w14:textId="77777777" w:rsidTr="00B37F05">
        <w:trPr>
          <w:trHeight w:val="330"/>
          <w:jc w:val="center"/>
        </w:trPr>
        <w:tc>
          <w:tcPr>
            <w:tcW w:w="1148" w:type="dxa"/>
            <w:shd w:val="clear" w:color="000000" w:fill="FFFFFF"/>
            <w:vAlign w:val="center"/>
            <w:hideMark/>
          </w:tcPr>
          <w:p w14:paraId="75F30EB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413000</w:t>
            </w:r>
          </w:p>
        </w:tc>
        <w:tc>
          <w:tcPr>
            <w:tcW w:w="2575" w:type="dxa"/>
            <w:shd w:val="clear" w:color="000000" w:fill="FFFFFF"/>
            <w:vAlign w:val="center"/>
            <w:hideMark/>
          </w:tcPr>
          <w:p w14:paraId="0887D21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Compensations in kind</w:t>
            </w:r>
          </w:p>
        </w:tc>
        <w:tc>
          <w:tcPr>
            <w:tcW w:w="1479" w:type="dxa"/>
            <w:shd w:val="clear" w:color="000000" w:fill="FFFFFF"/>
            <w:vAlign w:val="center"/>
            <w:hideMark/>
          </w:tcPr>
          <w:p w14:paraId="5D93163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000000" w:fill="FFFFFF"/>
            <w:vAlign w:val="center"/>
            <w:hideMark/>
          </w:tcPr>
          <w:p w14:paraId="6EC82AB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399.960,00</w:t>
            </w:r>
          </w:p>
        </w:tc>
        <w:tc>
          <w:tcPr>
            <w:tcW w:w="1802" w:type="dxa"/>
            <w:shd w:val="clear" w:color="auto" w:fill="auto"/>
            <w:vAlign w:val="center"/>
            <w:hideMark/>
          </w:tcPr>
          <w:p w14:paraId="101BE6E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99,99</w:t>
            </w:r>
          </w:p>
        </w:tc>
      </w:tr>
      <w:tr w:rsidR="00B37F05" w:rsidRPr="00D06E2E" w14:paraId="702D9BAA" w14:textId="77777777" w:rsidTr="00B37F05">
        <w:trPr>
          <w:trHeight w:val="615"/>
          <w:jc w:val="center"/>
        </w:trPr>
        <w:tc>
          <w:tcPr>
            <w:tcW w:w="1148" w:type="dxa"/>
            <w:shd w:val="clear" w:color="000000" w:fill="DAEEF3"/>
            <w:vAlign w:val="center"/>
            <w:hideMark/>
          </w:tcPr>
          <w:p w14:paraId="3D660125"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p w14:paraId="0D46BEFD"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413</w:t>
            </w:r>
          </w:p>
        </w:tc>
        <w:tc>
          <w:tcPr>
            <w:tcW w:w="2575" w:type="dxa"/>
            <w:shd w:val="clear" w:color="000000" w:fill="DAEEF3"/>
            <w:vAlign w:val="center"/>
            <w:hideMark/>
          </w:tcPr>
          <w:p w14:paraId="6E199B84"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67700C37"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400.000,00</w:t>
            </w:r>
          </w:p>
        </w:tc>
        <w:tc>
          <w:tcPr>
            <w:tcW w:w="1816" w:type="dxa"/>
            <w:shd w:val="clear" w:color="000000" w:fill="DAEEF3"/>
            <w:vAlign w:val="center"/>
            <w:hideMark/>
          </w:tcPr>
          <w:p w14:paraId="50917E29"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399.960,00</w:t>
            </w:r>
          </w:p>
        </w:tc>
        <w:tc>
          <w:tcPr>
            <w:tcW w:w="1802" w:type="dxa"/>
            <w:shd w:val="clear" w:color="000000" w:fill="DDEBF7"/>
            <w:vAlign w:val="center"/>
            <w:hideMark/>
          </w:tcPr>
          <w:p w14:paraId="78A1BF1C"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99,99</w:t>
            </w:r>
          </w:p>
        </w:tc>
      </w:tr>
      <w:tr w:rsidR="00B37F05" w:rsidRPr="00D06E2E" w14:paraId="765AC5DE" w14:textId="77777777" w:rsidTr="00B37F05">
        <w:trPr>
          <w:trHeight w:val="555"/>
          <w:jc w:val="center"/>
        </w:trPr>
        <w:tc>
          <w:tcPr>
            <w:tcW w:w="1148" w:type="dxa"/>
            <w:shd w:val="clear" w:color="auto" w:fill="auto"/>
            <w:vAlign w:val="center"/>
            <w:hideMark/>
          </w:tcPr>
          <w:p w14:paraId="20B9CAC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414</w:t>
            </w:r>
          </w:p>
        </w:tc>
        <w:tc>
          <w:tcPr>
            <w:tcW w:w="2575" w:type="dxa"/>
            <w:shd w:val="clear" w:color="auto" w:fill="auto"/>
            <w:vAlign w:val="center"/>
            <w:hideMark/>
          </w:tcPr>
          <w:p w14:paraId="12A4540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Social benefits to employees</w:t>
            </w:r>
          </w:p>
        </w:tc>
        <w:tc>
          <w:tcPr>
            <w:tcW w:w="1479" w:type="dxa"/>
            <w:shd w:val="clear" w:color="auto" w:fill="auto"/>
            <w:vAlign w:val="center"/>
            <w:hideMark/>
          </w:tcPr>
          <w:p w14:paraId="4537C14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06FE472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63FCDA9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0FF94823" w14:textId="77777777" w:rsidTr="00B37F05">
        <w:trPr>
          <w:trHeight w:val="330"/>
          <w:jc w:val="center"/>
        </w:trPr>
        <w:tc>
          <w:tcPr>
            <w:tcW w:w="1148" w:type="dxa"/>
            <w:shd w:val="clear" w:color="auto" w:fill="auto"/>
            <w:vAlign w:val="center"/>
            <w:hideMark/>
          </w:tcPr>
          <w:p w14:paraId="1365CEE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lastRenderedPageBreak/>
              <w:t>414121</w:t>
            </w:r>
          </w:p>
        </w:tc>
        <w:tc>
          <w:tcPr>
            <w:tcW w:w="2575" w:type="dxa"/>
            <w:shd w:val="clear" w:color="auto" w:fill="auto"/>
            <w:vAlign w:val="center"/>
            <w:hideMark/>
          </w:tcPr>
          <w:p w14:paraId="43BE8A0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Sick leave over 30 days</w:t>
            </w:r>
          </w:p>
        </w:tc>
        <w:tc>
          <w:tcPr>
            <w:tcW w:w="1479" w:type="dxa"/>
            <w:shd w:val="clear" w:color="auto" w:fill="auto"/>
            <w:vAlign w:val="center"/>
            <w:hideMark/>
          </w:tcPr>
          <w:p w14:paraId="7FC2AEF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000000" w:fill="FFFFFF"/>
            <w:vAlign w:val="center"/>
            <w:hideMark/>
          </w:tcPr>
          <w:p w14:paraId="6ABE69C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50.770,34</w:t>
            </w:r>
          </w:p>
        </w:tc>
        <w:tc>
          <w:tcPr>
            <w:tcW w:w="1802" w:type="dxa"/>
            <w:shd w:val="clear" w:color="auto" w:fill="auto"/>
            <w:vAlign w:val="center"/>
            <w:hideMark/>
          </w:tcPr>
          <w:p w14:paraId="25ECFED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2,24</w:t>
            </w:r>
          </w:p>
        </w:tc>
      </w:tr>
      <w:tr w:rsidR="00B37F05" w:rsidRPr="00D06E2E" w14:paraId="6940DE49" w14:textId="77777777" w:rsidTr="00B37F05">
        <w:trPr>
          <w:trHeight w:val="555"/>
          <w:jc w:val="center"/>
        </w:trPr>
        <w:tc>
          <w:tcPr>
            <w:tcW w:w="1148" w:type="dxa"/>
            <w:shd w:val="clear" w:color="auto" w:fill="auto"/>
            <w:vAlign w:val="center"/>
            <w:hideMark/>
          </w:tcPr>
          <w:p w14:paraId="69512BD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414311</w:t>
            </w:r>
          </w:p>
        </w:tc>
        <w:tc>
          <w:tcPr>
            <w:tcW w:w="2575" w:type="dxa"/>
            <w:shd w:val="clear" w:color="auto" w:fill="auto"/>
            <w:vAlign w:val="center"/>
            <w:hideMark/>
          </w:tcPr>
          <w:p w14:paraId="6A0CFCF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Retirement awards</w:t>
            </w:r>
          </w:p>
        </w:tc>
        <w:tc>
          <w:tcPr>
            <w:tcW w:w="1479" w:type="dxa"/>
            <w:shd w:val="clear" w:color="auto" w:fill="auto"/>
            <w:vAlign w:val="center"/>
            <w:hideMark/>
          </w:tcPr>
          <w:p w14:paraId="0F50E88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000000" w:fill="FFFFFF"/>
            <w:vAlign w:val="center"/>
            <w:hideMark/>
          </w:tcPr>
          <w:p w14:paraId="2DF5F66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231.328,00</w:t>
            </w:r>
          </w:p>
        </w:tc>
        <w:tc>
          <w:tcPr>
            <w:tcW w:w="1802" w:type="dxa"/>
            <w:shd w:val="clear" w:color="auto" w:fill="auto"/>
            <w:vAlign w:val="center"/>
            <w:hideMark/>
          </w:tcPr>
          <w:p w14:paraId="4FFAF2C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10,23</w:t>
            </w:r>
          </w:p>
        </w:tc>
      </w:tr>
      <w:tr w:rsidR="00B37F05" w:rsidRPr="00D06E2E" w14:paraId="03D62663" w14:textId="77777777" w:rsidTr="00B37F05">
        <w:trPr>
          <w:trHeight w:val="825"/>
          <w:jc w:val="center"/>
        </w:trPr>
        <w:tc>
          <w:tcPr>
            <w:tcW w:w="1148" w:type="dxa"/>
            <w:shd w:val="clear" w:color="auto" w:fill="auto"/>
            <w:vAlign w:val="center"/>
            <w:hideMark/>
          </w:tcPr>
          <w:p w14:paraId="789C8B7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414314</w:t>
            </w:r>
          </w:p>
        </w:tc>
        <w:tc>
          <w:tcPr>
            <w:tcW w:w="2575" w:type="dxa"/>
            <w:shd w:val="clear" w:color="auto" w:fill="auto"/>
            <w:vAlign w:val="center"/>
            <w:hideMark/>
          </w:tcPr>
          <w:p w14:paraId="289FDC4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Assistance in case of the death of an employee or an immediate family member</w:t>
            </w:r>
          </w:p>
        </w:tc>
        <w:tc>
          <w:tcPr>
            <w:tcW w:w="1479" w:type="dxa"/>
            <w:shd w:val="clear" w:color="auto" w:fill="auto"/>
            <w:vAlign w:val="center"/>
            <w:hideMark/>
          </w:tcPr>
          <w:p w14:paraId="17D26D8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000000" w:fill="FFFFFF"/>
            <w:vAlign w:val="center"/>
            <w:hideMark/>
          </w:tcPr>
          <w:p w14:paraId="7EC0B6C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272.421,11</w:t>
            </w:r>
          </w:p>
        </w:tc>
        <w:tc>
          <w:tcPr>
            <w:tcW w:w="1802" w:type="dxa"/>
            <w:shd w:val="clear" w:color="auto" w:fill="auto"/>
            <w:vAlign w:val="center"/>
            <w:hideMark/>
          </w:tcPr>
          <w:p w14:paraId="4231996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12,04</w:t>
            </w:r>
          </w:p>
        </w:tc>
      </w:tr>
      <w:tr w:rsidR="00B37F05" w:rsidRPr="00D06E2E" w14:paraId="5B36D9F3" w14:textId="77777777" w:rsidTr="00B37F05">
        <w:trPr>
          <w:trHeight w:val="825"/>
          <w:jc w:val="center"/>
        </w:trPr>
        <w:tc>
          <w:tcPr>
            <w:tcW w:w="1148" w:type="dxa"/>
            <w:shd w:val="clear" w:color="auto" w:fill="auto"/>
            <w:vAlign w:val="center"/>
            <w:hideMark/>
          </w:tcPr>
          <w:p w14:paraId="498B590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414411</w:t>
            </w:r>
          </w:p>
        </w:tc>
        <w:tc>
          <w:tcPr>
            <w:tcW w:w="2575" w:type="dxa"/>
            <w:shd w:val="clear" w:color="auto" w:fill="auto"/>
            <w:vAlign w:val="center"/>
            <w:hideMark/>
          </w:tcPr>
          <w:p w14:paraId="01E2B90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Assistance in medical treatment of an employee or an immediate family member</w:t>
            </w:r>
          </w:p>
        </w:tc>
        <w:tc>
          <w:tcPr>
            <w:tcW w:w="1479" w:type="dxa"/>
            <w:shd w:val="clear" w:color="auto" w:fill="auto"/>
            <w:vAlign w:val="center"/>
            <w:hideMark/>
          </w:tcPr>
          <w:p w14:paraId="71E0514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000000" w:fill="FFFFFF"/>
            <w:vAlign w:val="center"/>
            <w:hideMark/>
          </w:tcPr>
          <w:p w14:paraId="459BCD1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541.347,14</w:t>
            </w:r>
          </w:p>
        </w:tc>
        <w:tc>
          <w:tcPr>
            <w:tcW w:w="1802" w:type="dxa"/>
            <w:shd w:val="clear" w:color="auto" w:fill="auto"/>
            <w:vAlign w:val="center"/>
            <w:hideMark/>
          </w:tcPr>
          <w:p w14:paraId="0516EAB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23,93</w:t>
            </w:r>
          </w:p>
        </w:tc>
      </w:tr>
      <w:tr w:rsidR="00B37F05" w:rsidRPr="00D06E2E" w14:paraId="373014BD" w14:textId="77777777" w:rsidTr="00B37F05">
        <w:trPr>
          <w:trHeight w:val="555"/>
          <w:jc w:val="center"/>
        </w:trPr>
        <w:tc>
          <w:tcPr>
            <w:tcW w:w="1148" w:type="dxa"/>
            <w:shd w:val="clear" w:color="auto" w:fill="auto"/>
            <w:vAlign w:val="center"/>
            <w:hideMark/>
          </w:tcPr>
          <w:p w14:paraId="625421F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414419</w:t>
            </w:r>
          </w:p>
        </w:tc>
        <w:tc>
          <w:tcPr>
            <w:tcW w:w="2575" w:type="dxa"/>
            <w:shd w:val="clear" w:color="auto" w:fill="auto"/>
            <w:vAlign w:val="center"/>
            <w:hideMark/>
          </w:tcPr>
          <w:p w14:paraId="50A7964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forms of assistance to employees</w:t>
            </w:r>
          </w:p>
        </w:tc>
        <w:tc>
          <w:tcPr>
            <w:tcW w:w="1479" w:type="dxa"/>
            <w:shd w:val="clear" w:color="auto" w:fill="auto"/>
            <w:vAlign w:val="center"/>
            <w:hideMark/>
          </w:tcPr>
          <w:p w14:paraId="483E3A8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000000" w:fill="FFFFFF"/>
            <w:vAlign w:val="center"/>
            <w:hideMark/>
          </w:tcPr>
          <w:p w14:paraId="1658211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78.326,00</w:t>
            </w:r>
          </w:p>
        </w:tc>
        <w:tc>
          <w:tcPr>
            <w:tcW w:w="1802" w:type="dxa"/>
            <w:shd w:val="clear" w:color="auto" w:fill="auto"/>
            <w:vAlign w:val="center"/>
            <w:hideMark/>
          </w:tcPr>
          <w:p w14:paraId="4DFB27B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3,46</w:t>
            </w:r>
          </w:p>
        </w:tc>
      </w:tr>
      <w:tr w:rsidR="00B37F05" w:rsidRPr="00D06E2E" w14:paraId="4C590092" w14:textId="77777777" w:rsidTr="00B37F05">
        <w:trPr>
          <w:trHeight w:val="615"/>
          <w:jc w:val="center"/>
        </w:trPr>
        <w:tc>
          <w:tcPr>
            <w:tcW w:w="1148" w:type="dxa"/>
            <w:shd w:val="clear" w:color="000000" w:fill="DAEEF3"/>
            <w:vAlign w:val="center"/>
            <w:hideMark/>
          </w:tcPr>
          <w:p w14:paraId="4A986E67"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p w14:paraId="54D033CB"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414</w:t>
            </w:r>
          </w:p>
        </w:tc>
        <w:tc>
          <w:tcPr>
            <w:tcW w:w="2575" w:type="dxa"/>
            <w:shd w:val="clear" w:color="000000" w:fill="DAEEF3"/>
            <w:vAlign w:val="center"/>
            <w:hideMark/>
          </w:tcPr>
          <w:p w14:paraId="525FCC6F"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4032A86C"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2.262.000,00</w:t>
            </w:r>
          </w:p>
        </w:tc>
        <w:tc>
          <w:tcPr>
            <w:tcW w:w="1816" w:type="dxa"/>
            <w:shd w:val="clear" w:color="000000" w:fill="DAEEF3"/>
            <w:vAlign w:val="center"/>
            <w:hideMark/>
          </w:tcPr>
          <w:p w14:paraId="727418DD"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1.174.192,59</w:t>
            </w:r>
          </w:p>
        </w:tc>
        <w:tc>
          <w:tcPr>
            <w:tcW w:w="1802" w:type="dxa"/>
            <w:shd w:val="clear" w:color="000000" w:fill="DDEBF7"/>
            <w:vAlign w:val="center"/>
            <w:hideMark/>
          </w:tcPr>
          <w:p w14:paraId="6AEACA1F"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51,91</w:t>
            </w:r>
          </w:p>
        </w:tc>
      </w:tr>
      <w:tr w:rsidR="00B37F05" w:rsidRPr="00D06E2E" w14:paraId="3859A790" w14:textId="77777777" w:rsidTr="00B37F05">
        <w:trPr>
          <w:trHeight w:val="315"/>
          <w:jc w:val="center"/>
        </w:trPr>
        <w:tc>
          <w:tcPr>
            <w:tcW w:w="1148" w:type="dxa"/>
            <w:shd w:val="clear" w:color="auto" w:fill="auto"/>
            <w:vAlign w:val="center"/>
            <w:hideMark/>
          </w:tcPr>
          <w:p w14:paraId="0D77BDE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415</w:t>
            </w:r>
          </w:p>
        </w:tc>
        <w:tc>
          <w:tcPr>
            <w:tcW w:w="2575" w:type="dxa"/>
            <w:shd w:val="clear" w:color="auto" w:fill="auto"/>
            <w:vAlign w:val="center"/>
            <w:hideMark/>
          </w:tcPr>
          <w:p w14:paraId="45BC163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Compensations for employees</w:t>
            </w:r>
          </w:p>
        </w:tc>
        <w:tc>
          <w:tcPr>
            <w:tcW w:w="1479" w:type="dxa"/>
            <w:shd w:val="clear" w:color="auto" w:fill="auto"/>
            <w:vAlign w:val="center"/>
            <w:hideMark/>
          </w:tcPr>
          <w:p w14:paraId="5BADF02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AE3321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39060E2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720FED4D" w14:textId="77777777" w:rsidTr="00B37F05">
        <w:trPr>
          <w:trHeight w:val="555"/>
          <w:jc w:val="center"/>
        </w:trPr>
        <w:tc>
          <w:tcPr>
            <w:tcW w:w="1148" w:type="dxa"/>
            <w:shd w:val="clear" w:color="auto" w:fill="auto"/>
            <w:vAlign w:val="center"/>
            <w:hideMark/>
          </w:tcPr>
          <w:p w14:paraId="627E1E6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415112</w:t>
            </w:r>
          </w:p>
        </w:tc>
        <w:tc>
          <w:tcPr>
            <w:tcW w:w="2575" w:type="dxa"/>
            <w:shd w:val="clear" w:color="auto" w:fill="auto"/>
            <w:vAlign w:val="center"/>
            <w:hideMark/>
          </w:tcPr>
          <w:p w14:paraId="1B60F5C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Commuting costs</w:t>
            </w:r>
          </w:p>
        </w:tc>
        <w:tc>
          <w:tcPr>
            <w:tcW w:w="1479" w:type="dxa"/>
            <w:shd w:val="clear" w:color="auto" w:fill="auto"/>
            <w:vAlign w:val="center"/>
            <w:hideMark/>
          </w:tcPr>
          <w:p w14:paraId="71C20BD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C4D1F8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2.029.674,86</w:t>
            </w:r>
          </w:p>
        </w:tc>
        <w:tc>
          <w:tcPr>
            <w:tcW w:w="1802" w:type="dxa"/>
            <w:shd w:val="clear" w:color="auto" w:fill="auto"/>
            <w:vAlign w:val="center"/>
            <w:hideMark/>
          </w:tcPr>
          <w:p w14:paraId="75C06C8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72,49</w:t>
            </w:r>
          </w:p>
        </w:tc>
      </w:tr>
      <w:tr w:rsidR="00B37F05" w:rsidRPr="00D06E2E" w14:paraId="736B9A5B" w14:textId="77777777" w:rsidTr="00B37F05">
        <w:trPr>
          <w:trHeight w:val="615"/>
          <w:jc w:val="center"/>
        </w:trPr>
        <w:tc>
          <w:tcPr>
            <w:tcW w:w="1148" w:type="dxa"/>
            <w:shd w:val="clear" w:color="000000" w:fill="DAEEF3"/>
            <w:vAlign w:val="center"/>
            <w:hideMark/>
          </w:tcPr>
          <w:p w14:paraId="680F8BCC"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p w14:paraId="3772EF72"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xml:space="preserve"> 415</w:t>
            </w:r>
          </w:p>
        </w:tc>
        <w:tc>
          <w:tcPr>
            <w:tcW w:w="2575" w:type="dxa"/>
            <w:shd w:val="clear" w:color="000000" w:fill="DAEEF3"/>
            <w:vAlign w:val="center"/>
            <w:hideMark/>
          </w:tcPr>
          <w:p w14:paraId="4F58B630"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19523E1C"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2.800.000,00</w:t>
            </w:r>
          </w:p>
        </w:tc>
        <w:tc>
          <w:tcPr>
            <w:tcW w:w="1816" w:type="dxa"/>
            <w:shd w:val="clear" w:color="000000" w:fill="DAEEF3"/>
            <w:vAlign w:val="center"/>
            <w:hideMark/>
          </w:tcPr>
          <w:p w14:paraId="03257684"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2.029.674,86</w:t>
            </w:r>
          </w:p>
        </w:tc>
        <w:tc>
          <w:tcPr>
            <w:tcW w:w="1802" w:type="dxa"/>
            <w:shd w:val="clear" w:color="000000" w:fill="DDEBF7"/>
            <w:vAlign w:val="center"/>
            <w:hideMark/>
          </w:tcPr>
          <w:p w14:paraId="4F405E39"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72,49</w:t>
            </w:r>
          </w:p>
        </w:tc>
      </w:tr>
      <w:tr w:rsidR="00B37F05" w:rsidRPr="00D06E2E" w14:paraId="5FCEE938" w14:textId="77777777" w:rsidTr="00B37F05">
        <w:trPr>
          <w:trHeight w:val="315"/>
          <w:jc w:val="center"/>
        </w:trPr>
        <w:tc>
          <w:tcPr>
            <w:tcW w:w="1148" w:type="dxa"/>
            <w:shd w:val="clear" w:color="auto" w:fill="auto"/>
            <w:vAlign w:val="center"/>
            <w:hideMark/>
          </w:tcPr>
          <w:p w14:paraId="020D8A4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416111</w:t>
            </w:r>
          </w:p>
        </w:tc>
        <w:tc>
          <w:tcPr>
            <w:tcW w:w="2575" w:type="dxa"/>
            <w:shd w:val="clear" w:color="auto" w:fill="auto"/>
            <w:vAlign w:val="center"/>
            <w:hideMark/>
          </w:tcPr>
          <w:p w14:paraId="5C7D700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Jubilee awards</w:t>
            </w:r>
          </w:p>
        </w:tc>
        <w:tc>
          <w:tcPr>
            <w:tcW w:w="1479" w:type="dxa"/>
            <w:shd w:val="clear" w:color="auto" w:fill="auto"/>
            <w:vAlign w:val="center"/>
            <w:hideMark/>
          </w:tcPr>
          <w:p w14:paraId="533F678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4274871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328.546,33</w:t>
            </w:r>
          </w:p>
        </w:tc>
        <w:tc>
          <w:tcPr>
            <w:tcW w:w="1802" w:type="dxa"/>
            <w:shd w:val="clear" w:color="auto" w:fill="auto"/>
            <w:vAlign w:val="center"/>
            <w:hideMark/>
          </w:tcPr>
          <w:p w14:paraId="0B6FEC7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36,51</w:t>
            </w:r>
          </w:p>
        </w:tc>
      </w:tr>
      <w:tr w:rsidR="00B37F05" w:rsidRPr="00D06E2E" w14:paraId="052D385A" w14:textId="77777777" w:rsidTr="00B37F05">
        <w:trPr>
          <w:trHeight w:val="615"/>
          <w:jc w:val="center"/>
        </w:trPr>
        <w:tc>
          <w:tcPr>
            <w:tcW w:w="1148" w:type="dxa"/>
            <w:shd w:val="clear" w:color="000000" w:fill="DAEEF3"/>
            <w:vAlign w:val="center"/>
            <w:hideMark/>
          </w:tcPr>
          <w:p w14:paraId="1FD5E356"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p w14:paraId="6B7F137C"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416</w:t>
            </w:r>
          </w:p>
        </w:tc>
        <w:tc>
          <w:tcPr>
            <w:tcW w:w="2575" w:type="dxa"/>
            <w:shd w:val="clear" w:color="000000" w:fill="DAEEF3"/>
            <w:vAlign w:val="center"/>
            <w:hideMark/>
          </w:tcPr>
          <w:p w14:paraId="051B7390"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092D0401"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900.000,00</w:t>
            </w:r>
          </w:p>
        </w:tc>
        <w:tc>
          <w:tcPr>
            <w:tcW w:w="1816" w:type="dxa"/>
            <w:shd w:val="clear" w:color="000000" w:fill="DAEEF3"/>
            <w:vAlign w:val="center"/>
            <w:hideMark/>
          </w:tcPr>
          <w:p w14:paraId="1EFF3FAE"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328.546,33</w:t>
            </w:r>
          </w:p>
        </w:tc>
        <w:tc>
          <w:tcPr>
            <w:tcW w:w="1802" w:type="dxa"/>
            <w:shd w:val="clear" w:color="000000" w:fill="DDEBF7"/>
            <w:vAlign w:val="center"/>
            <w:hideMark/>
          </w:tcPr>
          <w:p w14:paraId="413ABB38"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36,51</w:t>
            </w:r>
          </w:p>
        </w:tc>
      </w:tr>
      <w:tr w:rsidR="00B37F05" w:rsidRPr="00D06E2E" w14:paraId="727178D9" w14:textId="77777777" w:rsidTr="00B37F05">
        <w:trPr>
          <w:trHeight w:val="315"/>
          <w:jc w:val="center"/>
        </w:trPr>
        <w:tc>
          <w:tcPr>
            <w:tcW w:w="1148" w:type="dxa"/>
            <w:shd w:val="clear" w:color="auto" w:fill="auto"/>
            <w:vAlign w:val="center"/>
            <w:hideMark/>
          </w:tcPr>
          <w:p w14:paraId="32D7827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w:t>
            </w:r>
          </w:p>
        </w:tc>
        <w:tc>
          <w:tcPr>
            <w:tcW w:w="2575" w:type="dxa"/>
            <w:shd w:val="clear" w:color="auto" w:fill="auto"/>
            <w:vAlign w:val="center"/>
            <w:hideMark/>
          </w:tcPr>
          <w:p w14:paraId="10B55B7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Constant expenses</w:t>
            </w:r>
          </w:p>
        </w:tc>
        <w:tc>
          <w:tcPr>
            <w:tcW w:w="1479" w:type="dxa"/>
            <w:shd w:val="clear" w:color="auto" w:fill="auto"/>
            <w:vAlign w:val="center"/>
            <w:hideMark/>
          </w:tcPr>
          <w:p w14:paraId="188383B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0861750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1DD43E9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0AABB8F8" w14:textId="77777777" w:rsidTr="00B37F05">
        <w:trPr>
          <w:trHeight w:val="555"/>
          <w:jc w:val="center"/>
        </w:trPr>
        <w:tc>
          <w:tcPr>
            <w:tcW w:w="1148" w:type="dxa"/>
            <w:shd w:val="clear" w:color="auto" w:fill="auto"/>
            <w:vAlign w:val="center"/>
            <w:hideMark/>
          </w:tcPr>
          <w:p w14:paraId="063608C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421111</w:t>
            </w:r>
          </w:p>
        </w:tc>
        <w:tc>
          <w:tcPr>
            <w:tcW w:w="2575" w:type="dxa"/>
            <w:shd w:val="clear" w:color="auto" w:fill="auto"/>
            <w:vAlign w:val="center"/>
            <w:hideMark/>
          </w:tcPr>
          <w:p w14:paraId="61FC96E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Costs of payment operations</w:t>
            </w:r>
          </w:p>
        </w:tc>
        <w:tc>
          <w:tcPr>
            <w:tcW w:w="1479" w:type="dxa"/>
            <w:shd w:val="clear" w:color="auto" w:fill="auto"/>
            <w:vAlign w:val="center"/>
            <w:hideMark/>
          </w:tcPr>
          <w:p w14:paraId="32372F5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0A1FA7E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1.310,52</w:t>
            </w:r>
          </w:p>
        </w:tc>
        <w:tc>
          <w:tcPr>
            <w:tcW w:w="1802" w:type="dxa"/>
            <w:shd w:val="clear" w:color="auto" w:fill="auto"/>
            <w:vAlign w:val="center"/>
            <w:hideMark/>
          </w:tcPr>
          <w:p w14:paraId="7B79CC9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0,02</w:t>
            </w:r>
          </w:p>
        </w:tc>
      </w:tr>
      <w:tr w:rsidR="00B37F05" w:rsidRPr="00D06E2E" w14:paraId="4BD078E7" w14:textId="77777777" w:rsidTr="00B37F05">
        <w:trPr>
          <w:trHeight w:val="555"/>
          <w:jc w:val="center"/>
        </w:trPr>
        <w:tc>
          <w:tcPr>
            <w:tcW w:w="1148" w:type="dxa"/>
            <w:shd w:val="clear" w:color="auto" w:fill="auto"/>
            <w:vAlign w:val="center"/>
            <w:hideMark/>
          </w:tcPr>
          <w:p w14:paraId="78E3C76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421121</w:t>
            </w:r>
          </w:p>
        </w:tc>
        <w:tc>
          <w:tcPr>
            <w:tcW w:w="2575" w:type="dxa"/>
            <w:shd w:val="clear" w:color="auto" w:fill="auto"/>
            <w:vAlign w:val="center"/>
            <w:hideMark/>
          </w:tcPr>
          <w:p w14:paraId="556594E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Costs of bank services</w:t>
            </w:r>
          </w:p>
        </w:tc>
        <w:tc>
          <w:tcPr>
            <w:tcW w:w="1479" w:type="dxa"/>
            <w:shd w:val="clear" w:color="auto" w:fill="auto"/>
            <w:vAlign w:val="center"/>
            <w:hideMark/>
          </w:tcPr>
          <w:p w14:paraId="350F587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28C267B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13.360,33</w:t>
            </w:r>
          </w:p>
        </w:tc>
        <w:tc>
          <w:tcPr>
            <w:tcW w:w="1802" w:type="dxa"/>
            <w:shd w:val="clear" w:color="auto" w:fill="auto"/>
            <w:vAlign w:val="center"/>
            <w:hideMark/>
          </w:tcPr>
          <w:p w14:paraId="451182B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0,21</w:t>
            </w:r>
          </w:p>
        </w:tc>
      </w:tr>
      <w:tr w:rsidR="00B37F05" w:rsidRPr="00D06E2E" w14:paraId="534C4ADA" w14:textId="77777777" w:rsidTr="00B37F05">
        <w:trPr>
          <w:trHeight w:val="555"/>
          <w:jc w:val="center"/>
        </w:trPr>
        <w:tc>
          <w:tcPr>
            <w:tcW w:w="1148" w:type="dxa"/>
            <w:shd w:val="clear" w:color="auto" w:fill="auto"/>
            <w:vAlign w:val="center"/>
            <w:hideMark/>
          </w:tcPr>
          <w:p w14:paraId="17BB084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421211</w:t>
            </w:r>
          </w:p>
        </w:tc>
        <w:tc>
          <w:tcPr>
            <w:tcW w:w="2575" w:type="dxa"/>
            <w:shd w:val="clear" w:color="auto" w:fill="auto"/>
            <w:vAlign w:val="center"/>
            <w:hideMark/>
          </w:tcPr>
          <w:p w14:paraId="7D38E41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Electric power service</w:t>
            </w:r>
          </w:p>
        </w:tc>
        <w:tc>
          <w:tcPr>
            <w:tcW w:w="1479" w:type="dxa"/>
            <w:shd w:val="clear" w:color="auto" w:fill="auto"/>
            <w:vAlign w:val="center"/>
            <w:hideMark/>
          </w:tcPr>
          <w:p w14:paraId="0A92C92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C3AC63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21.300,95</w:t>
            </w:r>
          </w:p>
        </w:tc>
        <w:tc>
          <w:tcPr>
            <w:tcW w:w="1802" w:type="dxa"/>
            <w:shd w:val="clear" w:color="auto" w:fill="auto"/>
            <w:vAlign w:val="center"/>
            <w:hideMark/>
          </w:tcPr>
          <w:p w14:paraId="35D1F90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0,34</w:t>
            </w:r>
          </w:p>
        </w:tc>
      </w:tr>
      <w:tr w:rsidR="00B37F05" w:rsidRPr="00D06E2E" w14:paraId="316A6268" w14:textId="77777777" w:rsidTr="00B37F05">
        <w:trPr>
          <w:trHeight w:val="315"/>
          <w:jc w:val="center"/>
        </w:trPr>
        <w:tc>
          <w:tcPr>
            <w:tcW w:w="1148" w:type="dxa"/>
            <w:shd w:val="clear" w:color="auto" w:fill="auto"/>
            <w:vAlign w:val="center"/>
            <w:hideMark/>
          </w:tcPr>
          <w:p w14:paraId="30E072F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421225</w:t>
            </w:r>
          </w:p>
        </w:tc>
        <w:tc>
          <w:tcPr>
            <w:tcW w:w="2575" w:type="dxa"/>
            <w:shd w:val="clear" w:color="auto" w:fill="auto"/>
            <w:vAlign w:val="center"/>
            <w:hideMark/>
          </w:tcPr>
          <w:p w14:paraId="2DA6A16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Central heating</w:t>
            </w:r>
          </w:p>
        </w:tc>
        <w:tc>
          <w:tcPr>
            <w:tcW w:w="1479" w:type="dxa"/>
            <w:shd w:val="clear" w:color="auto" w:fill="auto"/>
            <w:vAlign w:val="center"/>
            <w:hideMark/>
          </w:tcPr>
          <w:p w14:paraId="6C89DC8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7FDF170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122.516,24</w:t>
            </w:r>
          </w:p>
        </w:tc>
        <w:tc>
          <w:tcPr>
            <w:tcW w:w="1802" w:type="dxa"/>
            <w:shd w:val="clear" w:color="auto" w:fill="auto"/>
            <w:vAlign w:val="center"/>
            <w:hideMark/>
          </w:tcPr>
          <w:p w14:paraId="2C82CFC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1,97</w:t>
            </w:r>
          </w:p>
        </w:tc>
      </w:tr>
      <w:tr w:rsidR="00B37F05" w:rsidRPr="00D06E2E" w14:paraId="5F22812C" w14:textId="77777777" w:rsidTr="00B37F05">
        <w:trPr>
          <w:trHeight w:val="315"/>
          <w:jc w:val="center"/>
        </w:trPr>
        <w:tc>
          <w:tcPr>
            <w:tcW w:w="1148" w:type="dxa"/>
            <w:shd w:val="clear" w:color="auto" w:fill="auto"/>
            <w:vAlign w:val="center"/>
            <w:hideMark/>
          </w:tcPr>
          <w:p w14:paraId="594E0A7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421323</w:t>
            </w:r>
          </w:p>
        </w:tc>
        <w:tc>
          <w:tcPr>
            <w:tcW w:w="2575" w:type="dxa"/>
            <w:shd w:val="clear" w:color="auto" w:fill="auto"/>
            <w:vAlign w:val="center"/>
            <w:hideMark/>
          </w:tcPr>
          <w:p w14:paraId="21F3890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Property protection services</w:t>
            </w:r>
          </w:p>
        </w:tc>
        <w:tc>
          <w:tcPr>
            <w:tcW w:w="1479" w:type="dxa"/>
            <w:shd w:val="clear" w:color="auto" w:fill="auto"/>
            <w:vAlign w:val="center"/>
            <w:hideMark/>
          </w:tcPr>
          <w:p w14:paraId="16DC0A8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128C15F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1.361.763,56</w:t>
            </w:r>
          </w:p>
        </w:tc>
        <w:tc>
          <w:tcPr>
            <w:tcW w:w="1802" w:type="dxa"/>
            <w:shd w:val="clear" w:color="auto" w:fill="auto"/>
            <w:vAlign w:val="center"/>
            <w:hideMark/>
          </w:tcPr>
          <w:p w14:paraId="2332639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21,88</w:t>
            </w:r>
          </w:p>
        </w:tc>
      </w:tr>
      <w:tr w:rsidR="00B37F05" w:rsidRPr="00D06E2E" w14:paraId="59F252D2" w14:textId="77777777" w:rsidTr="00B37F05">
        <w:trPr>
          <w:trHeight w:val="555"/>
          <w:jc w:val="center"/>
        </w:trPr>
        <w:tc>
          <w:tcPr>
            <w:tcW w:w="1148" w:type="dxa"/>
            <w:shd w:val="clear" w:color="auto" w:fill="auto"/>
            <w:vAlign w:val="center"/>
            <w:hideMark/>
          </w:tcPr>
          <w:p w14:paraId="49C26A7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421411</w:t>
            </w:r>
          </w:p>
        </w:tc>
        <w:tc>
          <w:tcPr>
            <w:tcW w:w="2575" w:type="dxa"/>
            <w:shd w:val="clear" w:color="auto" w:fill="auto"/>
            <w:vAlign w:val="center"/>
            <w:hideMark/>
          </w:tcPr>
          <w:p w14:paraId="427B769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Telephone, telex and fax</w:t>
            </w:r>
          </w:p>
        </w:tc>
        <w:tc>
          <w:tcPr>
            <w:tcW w:w="1479" w:type="dxa"/>
            <w:shd w:val="clear" w:color="auto" w:fill="auto"/>
            <w:vAlign w:val="center"/>
            <w:hideMark/>
          </w:tcPr>
          <w:p w14:paraId="1581D93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176388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405.632,91</w:t>
            </w:r>
          </w:p>
        </w:tc>
        <w:tc>
          <w:tcPr>
            <w:tcW w:w="1802" w:type="dxa"/>
            <w:shd w:val="clear" w:color="auto" w:fill="auto"/>
            <w:vAlign w:val="center"/>
            <w:hideMark/>
          </w:tcPr>
          <w:p w14:paraId="1F63FD1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6,52</w:t>
            </w:r>
          </w:p>
        </w:tc>
      </w:tr>
      <w:tr w:rsidR="00B37F05" w:rsidRPr="00D06E2E" w14:paraId="2B9126EC" w14:textId="77777777" w:rsidTr="00B37F05">
        <w:trPr>
          <w:trHeight w:val="315"/>
          <w:jc w:val="center"/>
        </w:trPr>
        <w:tc>
          <w:tcPr>
            <w:tcW w:w="1148" w:type="dxa"/>
            <w:shd w:val="clear" w:color="auto" w:fill="auto"/>
            <w:vAlign w:val="center"/>
            <w:hideMark/>
          </w:tcPr>
          <w:p w14:paraId="406023D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421412</w:t>
            </w:r>
          </w:p>
        </w:tc>
        <w:tc>
          <w:tcPr>
            <w:tcW w:w="2575" w:type="dxa"/>
            <w:shd w:val="clear" w:color="auto" w:fill="auto"/>
            <w:vAlign w:val="center"/>
            <w:hideMark/>
          </w:tcPr>
          <w:p w14:paraId="434C025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Internet and similar</w:t>
            </w:r>
          </w:p>
        </w:tc>
        <w:tc>
          <w:tcPr>
            <w:tcW w:w="1479" w:type="dxa"/>
            <w:shd w:val="clear" w:color="auto" w:fill="auto"/>
            <w:vAlign w:val="center"/>
            <w:hideMark/>
          </w:tcPr>
          <w:p w14:paraId="56029A8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CEED52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129.822,03</w:t>
            </w:r>
          </w:p>
        </w:tc>
        <w:tc>
          <w:tcPr>
            <w:tcW w:w="1802" w:type="dxa"/>
            <w:shd w:val="clear" w:color="auto" w:fill="auto"/>
            <w:vAlign w:val="center"/>
            <w:hideMark/>
          </w:tcPr>
          <w:p w14:paraId="317333A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2,09</w:t>
            </w:r>
          </w:p>
        </w:tc>
      </w:tr>
      <w:tr w:rsidR="00B37F05" w:rsidRPr="00D06E2E" w14:paraId="26A75CBA" w14:textId="77777777" w:rsidTr="00B37F05">
        <w:trPr>
          <w:trHeight w:val="915"/>
          <w:jc w:val="center"/>
        </w:trPr>
        <w:tc>
          <w:tcPr>
            <w:tcW w:w="1148" w:type="dxa"/>
            <w:shd w:val="clear" w:color="auto" w:fill="auto"/>
            <w:vAlign w:val="center"/>
            <w:hideMark/>
          </w:tcPr>
          <w:p w14:paraId="7A8EE76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421414</w:t>
            </w:r>
          </w:p>
        </w:tc>
        <w:tc>
          <w:tcPr>
            <w:tcW w:w="2575" w:type="dxa"/>
            <w:shd w:val="clear" w:color="auto" w:fill="auto"/>
            <w:vAlign w:val="center"/>
            <w:hideMark/>
          </w:tcPr>
          <w:p w14:paraId="574F3E31" w14:textId="77777777" w:rsidR="00B37F05" w:rsidRPr="00D06E2E" w:rsidRDefault="00B37F05" w:rsidP="00B37F05">
            <w:pPr>
              <w:spacing w:after="0"/>
              <w:jc w:val="center"/>
              <w:rPr>
                <w:rFonts w:eastAsia="Times New Roman" w:cs="Calibri"/>
                <w:color w:val="000000"/>
                <w:sz w:val="20"/>
                <w:szCs w:val="20"/>
                <w:lang w:val="sr-Latn-RS" w:eastAsia="sr-Latn-RS"/>
              </w:rPr>
            </w:pPr>
            <w:r w:rsidRPr="00D06E2E">
              <w:rPr>
                <w:rFonts w:eastAsia="Times New Roman" w:cs="Calibri"/>
                <w:color w:val="000000"/>
                <w:sz w:val="20"/>
                <w:szCs w:val="20"/>
                <w:lang w:val="sr-Latn-RS" w:eastAsia="sr-Latn-RS"/>
              </w:rPr>
              <w:t>Cell phone services</w:t>
            </w:r>
          </w:p>
          <w:p w14:paraId="1611C26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w:t>
            </w:r>
            <w:r w:rsidRPr="00D06E2E">
              <w:rPr>
                <w:rFonts w:eastAsia="Times New Roman" w:cs="Calibri"/>
                <w:i/>
                <w:color w:val="000000"/>
                <w:sz w:val="20"/>
                <w:szCs w:val="20"/>
                <w:lang w:val="sr-Latn-RS" w:eastAsia="sr-Latn-RS"/>
              </w:rPr>
              <w:t>cell phones, internet</w:t>
            </w:r>
            <w:r w:rsidRPr="00D06E2E">
              <w:rPr>
                <w:rFonts w:eastAsia="Times New Roman" w:cs="Calibri"/>
                <w:color w:val="000000"/>
                <w:sz w:val="20"/>
                <w:szCs w:val="20"/>
                <w:lang w:val="sr-Latn-RS" w:eastAsia="sr-Latn-RS"/>
              </w:rPr>
              <w:t>)</w:t>
            </w:r>
          </w:p>
        </w:tc>
        <w:tc>
          <w:tcPr>
            <w:tcW w:w="1479" w:type="dxa"/>
            <w:shd w:val="clear" w:color="auto" w:fill="auto"/>
            <w:vAlign w:val="center"/>
            <w:hideMark/>
          </w:tcPr>
          <w:p w14:paraId="425CCDA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7D4960E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1.456.136,99</w:t>
            </w:r>
          </w:p>
        </w:tc>
        <w:tc>
          <w:tcPr>
            <w:tcW w:w="1802" w:type="dxa"/>
            <w:shd w:val="clear" w:color="auto" w:fill="auto"/>
            <w:vAlign w:val="center"/>
            <w:hideMark/>
          </w:tcPr>
          <w:p w14:paraId="03170F0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23,39</w:t>
            </w:r>
          </w:p>
        </w:tc>
      </w:tr>
      <w:tr w:rsidR="00B37F05" w:rsidRPr="00D06E2E" w14:paraId="00626004" w14:textId="77777777" w:rsidTr="00B37F05">
        <w:trPr>
          <w:trHeight w:val="315"/>
          <w:jc w:val="center"/>
        </w:trPr>
        <w:tc>
          <w:tcPr>
            <w:tcW w:w="1148" w:type="dxa"/>
            <w:shd w:val="clear" w:color="auto" w:fill="auto"/>
            <w:vAlign w:val="center"/>
            <w:hideMark/>
          </w:tcPr>
          <w:p w14:paraId="7D9D0A5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421422</w:t>
            </w:r>
          </w:p>
        </w:tc>
        <w:tc>
          <w:tcPr>
            <w:tcW w:w="2575" w:type="dxa"/>
            <w:shd w:val="clear" w:color="auto" w:fill="auto"/>
            <w:vAlign w:val="center"/>
            <w:hideMark/>
          </w:tcPr>
          <w:p w14:paraId="0CA3648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Delivery services</w:t>
            </w:r>
          </w:p>
        </w:tc>
        <w:tc>
          <w:tcPr>
            <w:tcW w:w="1479" w:type="dxa"/>
            <w:shd w:val="clear" w:color="auto" w:fill="auto"/>
            <w:vAlign w:val="center"/>
            <w:hideMark/>
          </w:tcPr>
          <w:p w14:paraId="7353971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8D7E1E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901.358,00</w:t>
            </w:r>
          </w:p>
        </w:tc>
        <w:tc>
          <w:tcPr>
            <w:tcW w:w="1802" w:type="dxa"/>
            <w:shd w:val="clear" w:color="auto" w:fill="auto"/>
            <w:vAlign w:val="center"/>
            <w:hideMark/>
          </w:tcPr>
          <w:p w14:paraId="3D01929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14,48</w:t>
            </w:r>
          </w:p>
        </w:tc>
      </w:tr>
      <w:tr w:rsidR="00B37F05" w:rsidRPr="00D06E2E" w14:paraId="636A126A" w14:textId="77777777" w:rsidTr="00B37F05">
        <w:trPr>
          <w:trHeight w:val="315"/>
          <w:jc w:val="center"/>
        </w:trPr>
        <w:tc>
          <w:tcPr>
            <w:tcW w:w="1148" w:type="dxa"/>
            <w:shd w:val="clear" w:color="auto" w:fill="auto"/>
            <w:vAlign w:val="center"/>
            <w:hideMark/>
          </w:tcPr>
          <w:p w14:paraId="590A17C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421512</w:t>
            </w:r>
          </w:p>
        </w:tc>
        <w:tc>
          <w:tcPr>
            <w:tcW w:w="2575" w:type="dxa"/>
            <w:shd w:val="clear" w:color="auto" w:fill="auto"/>
            <w:vAlign w:val="center"/>
            <w:hideMark/>
          </w:tcPr>
          <w:p w14:paraId="733FDC9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Vehicle insurance</w:t>
            </w:r>
          </w:p>
        </w:tc>
        <w:tc>
          <w:tcPr>
            <w:tcW w:w="1479" w:type="dxa"/>
            <w:shd w:val="clear" w:color="auto" w:fill="auto"/>
            <w:vAlign w:val="center"/>
            <w:hideMark/>
          </w:tcPr>
          <w:p w14:paraId="73FEF2F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16BB9A5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94.081,29</w:t>
            </w:r>
          </w:p>
        </w:tc>
        <w:tc>
          <w:tcPr>
            <w:tcW w:w="1802" w:type="dxa"/>
            <w:shd w:val="clear" w:color="auto" w:fill="auto"/>
            <w:vAlign w:val="center"/>
            <w:hideMark/>
          </w:tcPr>
          <w:p w14:paraId="361BCBE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1,51</w:t>
            </w:r>
          </w:p>
        </w:tc>
      </w:tr>
      <w:tr w:rsidR="00B37F05" w:rsidRPr="00D06E2E" w14:paraId="0A29F648" w14:textId="77777777" w:rsidTr="00B37F05">
        <w:trPr>
          <w:trHeight w:val="315"/>
          <w:jc w:val="center"/>
        </w:trPr>
        <w:tc>
          <w:tcPr>
            <w:tcW w:w="1148" w:type="dxa"/>
            <w:shd w:val="clear" w:color="auto" w:fill="auto"/>
            <w:vAlign w:val="center"/>
            <w:hideMark/>
          </w:tcPr>
          <w:p w14:paraId="775160D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421513</w:t>
            </w:r>
          </w:p>
        </w:tc>
        <w:tc>
          <w:tcPr>
            <w:tcW w:w="2575" w:type="dxa"/>
            <w:shd w:val="clear" w:color="auto" w:fill="auto"/>
            <w:vAlign w:val="center"/>
            <w:hideMark/>
          </w:tcPr>
          <w:p w14:paraId="07FE283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Equipment insurance</w:t>
            </w:r>
          </w:p>
        </w:tc>
        <w:tc>
          <w:tcPr>
            <w:tcW w:w="1479" w:type="dxa"/>
            <w:shd w:val="clear" w:color="auto" w:fill="auto"/>
            <w:vAlign w:val="center"/>
            <w:hideMark/>
          </w:tcPr>
          <w:p w14:paraId="3C59EB0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09B0B1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35.661,00</w:t>
            </w:r>
          </w:p>
        </w:tc>
        <w:tc>
          <w:tcPr>
            <w:tcW w:w="1802" w:type="dxa"/>
            <w:shd w:val="clear" w:color="auto" w:fill="auto"/>
            <w:vAlign w:val="center"/>
            <w:hideMark/>
          </w:tcPr>
          <w:p w14:paraId="37065CF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0,57</w:t>
            </w:r>
          </w:p>
        </w:tc>
      </w:tr>
      <w:tr w:rsidR="00B37F05" w:rsidRPr="00D06E2E" w14:paraId="6A9B4549" w14:textId="77777777" w:rsidTr="00B37F05">
        <w:trPr>
          <w:trHeight w:val="555"/>
          <w:jc w:val="center"/>
        </w:trPr>
        <w:tc>
          <w:tcPr>
            <w:tcW w:w="1148" w:type="dxa"/>
            <w:shd w:val="clear" w:color="auto" w:fill="auto"/>
            <w:vAlign w:val="center"/>
            <w:hideMark/>
          </w:tcPr>
          <w:p w14:paraId="06D9ED9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421521</w:t>
            </w:r>
          </w:p>
        </w:tc>
        <w:tc>
          <w:tcPr>
            <w:tcW w:w="2575" w:type="dxa"/>
            <w:shd w:val="clear" w:color="auto" w:fill="auto"/>
            <w:vAlign w:val="center"/>
            <w:hideMark/>
          </w:tcPr>
          <w:p w14:paraId="717D887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Employee insurance in case of work accident</w:t>
            </w:r>
          </w:p>
        </w:tc>
        <w:tc>
          <w:tcPr>
            <w:tcW w:w="1479" w:type="dxa"/>
            <w:shd w:val="clear" w:color="auto" w:fill="auto"/>
            <w:vAlign w:val="center"/>
            <w:hideMark/>
          </w:tcPr>
          <w:p w14:paraId="77E9DED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216468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45.375,00</w:t>
            </w:r>
          </w:p>
        </w:tc>
        <w:tc>
          <w:tcPr>
            <w:tcW w:w="1802" w:type="dxa"/>
            <w:shd w:val="clear" w:color="auto" w:fill="auto"/>
            <w:vAlign w:val="center"/>
            <w:hideMark/>
          </w:tcPr>
          <w:p w14:paraId="0B9B947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0,73</w:t>
            </w:r>
          </w:p>
        </w:tc>
      </w:tr>
      <w:tr w:rsidR="00B37F05" w:rsidRPr="00D06E2E" w14:paraId="405346B5" w14:textId="77777777" w:rsidTr="00B37F05">
        <w:trPr>
          <w:trHeight w:val="315"/>
          <w:jc w:val="center"/>
        </w:trPr>
        <w:tc>
          <w:tcPr>
            <w:tcW w:w="1148" w:type="dxa"/>
            <w:shd w:val="clear" w:color="auto" w:fill="auto"/>
            <w:vAlign w:val="center"/>
            <w:hideMark/>
          </w:tcPr>
          <w:p w14:paraId="61BDFA3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421522</w:t>
            </w:r>
          </w:p>
        </w:tc>
        <w:tc>
          <w:tcPr>
            <w:tcW w:w="2575" w:type="dxa"/>
            <w:shd w:val="clear" w:color="auto" w:fill="auto"/>
            <w:vAlign w:val="center"/>
            <w:hideMark/>
          </w:tcPr>
          <w:p w14:paraId="503574D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Health insurance</w:t>
            </w:r>
          </w:p>
        </w:tc>
        <w:tc>
          <w:tcPr>
            <w:tcW w:w="1479" w:type="dxa"/>
            <w:shd w:val="clear" w:color="auto" w:fill="auto"/>
            <w:vAlign w:val="center"/>
            <w:hideMark/>
          </w:tcPr>
          <w:p w14:paraId="2DCF1F1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7DE777E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166.160,00</w:t>
            </w:r>
          </w:p>
        </w:tc>
        <w:tc>
          <w:tcPr>
            <w:tcW w:w="1802" w:type="dxa"/>
            <w:shd w:val="clear" w:color="auto" w:fill="auto"/>
            <w:vAlign w:val="center"/>
            <w:hideMark/>
          </w:tcPr>
          <w:p w14:paraId="33F104D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2,67</w:t>
            </w:r>
          </w:p>
        </w:tc>
      </w:tr>
      <w:tr w:rsidR="00B37F05" w:rsidRPr="00D06E2E" w14:paraId="77203A83" w14:textId="77777777" w:rsidTr="00B37F05">
        <w:trPr>
          <w:trHeight w:val="555"/>
          <w:jc w:val="center"/>
        </w:trPr>
        <w:tc>
          <w:tcPr>
            <w:tcW w:w="1148" w:type="dxa"/>
            <w:shd w:val="clear" w:color="auto" w:fill="auto"/>
            <w:vAlign w:val="center"/>
            <w:hideMark/>
          </w:tcPr>
          <w:p w14:paraId="55CC53B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421523</w:t>
            </w:r>
          </w:p>
        </w:tc>
        <w:tc>
          <w:tcPr>
            <w:tcW w:w="2575" w:type="dxa"/>
            <w:shd w:val="clear" w:color="auto" w:fill="auto"/>
            <w:vAlign w:val="center"/>
            <w:hideMark/>
          </w:tcPr>
          <w:p w14:paraId="1AB5462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Liability insurance</w:t>
            </w:r>
          </w:p>
        </w:tc>
        <w:tc>
          <w:tcPr>
            <w:tcW w:w="1479" w:type="dxa"/>
            <w:shd w:val="clear" w:color="auto" w:fill="auto"/>
            <w:vAlign w:val="center"/>
            <w:hideMark/>
          </w:tcPr>
          <w:p w14:paraId="37517E3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4C62FBD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33.450,00</w:t>
            </w:r>
          </w:p>
        </w:tc>
        <w:tc>
          <w:tcPr>
            <w:tcW w:w="1802" w:type="dxa"/>
            <w:shd w:val="clear" w:color="auto" w:fill="auto"/>
            <w:vAlign w:val="center"/>
            <w:hideMark/>
          </w:tcPr>
          <w:p w14:paraId="0C64190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0,54</w:t>
            </w:r>
          </w:p>
        </w:tc>
      </w:tr>
      <w:tr w:rsidR="00B37F05" w:rsidRPr="00D06E2E" w14:paraId="789B5A60" w14:textId="77777777" w:rsidTr="00B37F05">
        <w:trPr>
          <w:trHeight w:val="615"/>
          <w:jc w:val="center"/>
        </w:trPr>
        <w:tc>
          <w:tcPr>
            <w:tcW w:w="1148" w:type="dxa"/>
            <w:shd w:val="clear" w:color="000000" w:fill="DAEEF3"/>
            <w:vAlign w:val="center"/>
            <w:hideMark/>
          </w:tcPr>
          <w:p w14:paraId="2A71BD29"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lastRenderedPageBreak/>
              <w:t>Total</w:t>
            </w:r>
          </w:p>
          <w:p w14:paraId="68729440"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421</w:t>
            </w:r>
          </w:p>
        </w:tc>
        <w:tc>
          <w:tcPr>
            <w:tcW w:w="2575" w:type="dxa"/>
            <w:shd w:val="clear" w:color="000000" w:fill="DAEEF3"/>
            <w:vAlign w:val="center"/>
            <w:hideMark/>
          </w:tcPr>
          <w:p w14:paraId="0EAE4A99"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4F707FE9"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6.225.000,00</w:t>
            </w:r>
          </w:p>
        </w:tc>
        <w:tc>
          <w:tcPr>
            <w:tcW w:w="1816" w:type="dxa"/>
            <w:shd w:val="clear" w:color="000000" w:fill="DAEEF3"/>
            <w:vAlign w:val="center"/>
            <w:hideMark/>
          </w:tcPr>
          <w:p w14:paraId="29E7ED8E"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4.787.928,82</w:t>
            </w:r>
          </w:p>
        </w:tc>
        <w:tc>
          <w:tcPr>
            <w:tcW w:w="1802" w:type="dxa"/>
            <w:shd w:val="clear" w:color="000000" w:fill="DDEBF7"/>
            <w:vAlign w:val="center"/>
            <w:hideMark/>
          </w:tcPr>
          <w:p w14:paraId="4191273E"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76,91</w:t>
            </w:r>
          </w:p>
        </w:tc>
      </w:tr>
      <w:tr w:rsidR="00B37F05" w:rsidRPr="00D06E2E" w14:paraId="31A1D69B" w14:textId="77777777" w:rsidTr="00B37F05">
        <w:trPr>
          <w:trHeight w:val="315"/>
          <w:jc w:val="center"/>
        </w:trPr>
        <w:tc>
          <w:tcPr>
            <w:tcW w:w="1148" w:type="dxa"/>
            <w:shd w:val="clear" w:color="auto" w:fill="auto"/>
            <w:vAlign w:val="center"/>
            <w:hideMark/>
          </w:tcPr>
          <w:p w14:paraId="7AE7017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w:t>
            </w:r>
          </w:p>
        </w:tc>
        <w:tc>
          <w:tcPr>
            <w:tcW w:w="2575" w:type="dxa"/>
            <w:shd w:val="clear" w:color="auto" w:fill="auto"/>
            <w:vAlign w:val="center"/>
            <w:hideMark/>
          </w:tcPr>
          <w:p w14:paraId="0B2F53E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Travel costs</w:t>
            </w:r>
          </w:p>
        </w:tc>
        <w:tc>
          <w:tcPr>
            <w:tcW w:w="1479" w:type="dxa"/>
            <w:shd w:val="clear" w:color="auto" w:fill="auto"/>
            <w:vAlign w:val="center"/>
            <w:hideMark/>
          </w:tcPr>
          <w:p w14:paraId="31B25E2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22D379A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25EDDF7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469AF17D" w14:textId="77777777" w:rsidTr="00B37F05">
        <w:trPr>
          <w:trHeight w:val="555"/>
          <w:jc w:val="center"/>
        </w:trPr>
        <w:tc>
          <w:tcPr>
            <w:tcW w:w="1148" w:type="dxa"/>
            <w:shd w:val="clear" w:color="auto" w:fill="auto"/>
            <w:vAlign w:val="center"/>
            <w:hideMark/>
          </w:tcPr>
          <w:p w14:paraId="28B2C90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422111</w:t>
            </w:r>
          </w:p>
        </w:tc>
        <w:tc>
          <w:tcPr>
            <w:tcW w:w="2575" w:type="dxa"/>
            <w:shd w:val="clear" w:color="auto" w:fill="auto"/>
            <w:vAlign w:val="center"/>
            <w:hideMark/>
          </w:tcPr>
          <w:p w14:paraId="6DD61D4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Business trip daily allowance cost</w:t>
            </w:r>
          </w:p>
        </w:tc>
        <w:tc>
          <w:tcPr>
            <w:tcW w:w="1479" w:type="dxa"/>
            <w:shd w:val="clear" w:color="auto" w:fill="auto"/>
            <w:vAlign w:val="center"/>
            <w:hideMark/>
          </w:tcPr>
          <w:p w14:paraId="4A2D240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40CCCDA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450,00</w:t>
            </w:r>
          </w:p>
        </w:tc>
        <w:tc>
          <w:tcPr>
            <w:tcW w:w="1802" w:type="dxa"/>
            <w:shd w:val="clear" w:color="auto" w:fill="auto"/>
            <w:vAlign w:val="center"/>
            <w:hideMark/>
          </w:tcPr>
          <w:p w14:paraId="0BFB669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0,02</w:t>
            </w:r>
          </w:p>
        </w:tc>
      </w:tr>
      <w:tr w:rsidR="00B37F05" w:rsidRPr="00D06E2E" w14:paraId="12FB49F0" w14:textId="77777777" w:rsidTr="00B37F05">
        <w:trPr>
          <w:trHeight w:val="555"/>
          <w:jc w:val="center"/>
        </w:trPr>
        <w:tc>
          <w:tcPr>
            <w:tcW w:w="1148" w:type="dxa"/>
            <w:shd w:val="clear" w:color="auto" w:fill="auto"/>
            <w:vAlign w:val="center"/>
            <w:hideMark/>
          </w:tcPr>
          <w:p w14:paraId="412F2B5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422121</w:t>
            </w:r>
          </w:p>
        </w:tc>
        <w:tc>
          <w:tcPr>
            <w:tcW w:w="2575" w:type="dxa"/>
            <w:shd w:val="clear" w:color="auto" w:fill="auto"/>
            <w:vAlign w:val="center"/>
            <w:hideMark/>
          </w:tcPr>
          <w:p w14:paraId="499D934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Domestic business trip transportation costs</w:t>
            </w:r>
          </w:p>
        </w:tc>
        <w:tc>
          <w:tcPr>
            <w:tcW w:w="1479" w:type="dxa"/>
            <w:shd w:val="clear" w:color="auto" w:fill="auto"/>
            <w:vAlign w:val="center"/>
            <w:hideMark/>
          </w:tcPr>
          <w:p w14:paraId="3D27BDE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8ACCF6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99.152,72</w:t>
            </w:r>
          </w:p>
        </w:tc>
        <w:tc>
          <w:tcPr>
            <w:tcW w:w="1802" w:type="dxa"/>
            <w:shd w:val="clear" w:color="auto" w:fill="auto"/>
            <w:vAlign w:val="center"/>
            <w:hideMark/>
          </w:tcPr>
          <w:p w14:paraId="589CD09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3,45</w:t>
            </w:r>
          </w:p>
        </w:tc>
      </w:tr>
      <w:tr w:rsidR="00B37F05" w:rsidRPr="00D06E2E" w14:paraId="2DEB35FE" w14:textId="77777777" w:rsidTr="00B37F05">
        <w:trPr>
          <w:trHeight w:val="555"/>
          <w:jc w:val="center"/>
        </w:trPr>
        <w:tc>
          <w:tcPr>
            <w:tcW w:w="1148" w:type="dxa"/>
            <w:shd w:val="clear" w:color="auto" w:fill="auto"/>
            <w:vAlign w:val="center"/>
            <w:hideMark/>
          </w:tcPr>
          <w:p w14:paraId="4D50332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422131</w:t>
            </w:r>
          </w:p>
        </w:tc>
        <w:tc>
          <w:tcPr>
            <w:tcW w:w="2575" w:type="dxa"/>
            <w:shd w:val="clear" w:color="auto" w:fill="auto"/>
            <w:vAlign w:val="center"/>
            <w:hideMark/>
          </w:tcPr>
          <w:p w14:paraId="18C8785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Business trip accomodation costs</w:t>
            </w:r>
          </w:p>
        </w:tc>
        <w:tc>
          <w:tcPr>
            <w:tcW w:w="1479" w:type="dxa"/>
            <w:shd w:val="clear" w:color="auto" w:fill="auto"/>
            <w:vAlign w:val="center"/>
            <w:hideMark/>
          </w:tcPr>
          <w:p w14:paraId="5DBDEC3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5A1BB37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204.570,11</w:t>
            </w:r>
          </w:p>
        </w:tc>
        <w:tc>
          <w:tcPr>
            <w:tcW w:w="1802" w:type="dxa"/>
            <w:shd w:val="clear" w:color="auto" w:fill="auto"/>
            <w:vAlign w:val="center"/>
            <w:hideMark/>
          </w:tcPr>
          <w:p w14:paraId="73C028D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7,12</w:t>
            </w:r>
          </w:p>
        </w:tc>
      </w:tr>
      <w:tr w:rsidR="00B37F05" w:rsidRPr="00D06E2E" w14:paraId="51E8A5BD" w14:textId="77777777" w:rsidTr="00B37F05">
        <w:trPr>
          <w:trHeight w:val="825"/>
          <w:jc w:val="center"/>
        </w:trPr>
        <w:tc>
          <w:tcPr>
            <w:tcW w:w="1148" w:type="dxa"/>
            <w:shd w:val="clear" w:color="auto" w:fill="auto"/>
            <w:vAlign w:val="center"/>
            <w:hideMark/>
          </w:tcPr>
          <w:p w14:paraId="3383172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422199</w:t>
            </w:r>
          </w:p>
        </w:tc>
        <w:tc>
          <w:tcPr>
            <w:tcW w:w="2575" w:type="dxa"/>
            <w:shd w:val="clear" w:color="auto" w:fill="auto"/>
            <w:vAlign w:val="center"/>
            <w:hideMark/>
          </w:tcPr>
          <w:p w14:paraId="471D2B9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costs for domestic business trips</w:t>
            </w:r>
          </w:p>
        </w:tc>
        <w:tc>
          <w:tcPr>
            <w:tcW w:w="1479" w:type="dxa"/>
            <w:shd w:val="clear" w:color="auto" w:fill="auto"/>
            <w:vAlign w:val="center"/>
            <w:hideMark/>
          </w:tcPr>
          <w:p w14:paraId="451EC8B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4907653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976.057,11</w:t>
            </w:r>
          </w:p>
        </w:tc>
        <w:tc>
          <w:tcPr>
            <w:tcW w:w="1802" w:type="dxa"/>
            <w:shd w:val="clear" w:color="auto" w:fill="auto"/>
            <w:vAlign w:val="center"/>
            <w:hideMark/>
          </w:tcPr>
          <w:p w14:paraId="3BC3643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33,95</w:t>
            </w:r>
          </w:p>
        </w:tc>
      </w:tr>
      <w:tr w:rsidR="00B37F05" w:rsidRPr="00D06E2E" w14:paraId="04E26727" w14:textId="77777777" w:rsidTr="00B37F05">
        <w:trPr>
          <w:trHeight w:val="825"/>
          <w:jc w:val="center"/>
        </w:trPr>
        <w:tc>
          <w:tcPr>
            <w:tcW w:w="1148" w:type="dxa"/>
            <w:shd w:val="clear" w:color="auto" w:fill="auto"/>
            <w:vAlign w:val="center"/>
            <w:hideMark/>
          </w:tcPr>
          <w:p w14:paraId="652B24F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422211</w:t>
            </w:r>
          </w:p>
        </w:tc>
        <w:tc>
          <w:tcPr>
            <w:tcW w:w="2575" w:type="dxa"/>
            <w:shd w:val="clear" w:color="auto" w:fill="auto"/>
            <w:vAlign w:val="center"/>
            <w:hideMark/>
          </w:tcPr>
          <w:p w14:paraId="4336FC3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Business trip abroad daily allowance costs</w:t>
            </w:r>
          </w:p>
        </w:tc>
        <w:tc>
          <w:tcPr>
            <w:tcW w:w="1479" w:type="dxa"/>
            <w:shd w:val="clear" w:color="auto" w:fill="auto"/>
            <w:vAlign w:val="center"/>
            <w:hideMark/>
          </w:tcPr>
          <w:p w14:paraId="2F77937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1960236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938.845,26</w:t>
            </w:r>
          </w:p>
        </w:tc>
        <w:tc>
          <w:tcPr>
            <w:tcW w:w="1802" w:type="dxa"/>
            <w:shd w:val="clear" w:color="auto" w:fill="auto"/>
            <w:vAlign w:val="center"/>
            <w:hideMark/>
          </w:tcPr>
          <w:p w14:paraId="183A051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32,66</w:t>
            </w:r>
          </w:p>
        </w:tc>
      </w:tr>
      <w:tr w:rsidR="00B37F05" w:rsidRPr="00D06E2E" w14:paraId="699B5A93" w14:textId="77777777" w:rsidTr="00B37F05">
        <w:trPr>
          <w:trHeight w:val="555"/>
          <w:jc w:val="center"/>
        </w:trPr>
        <w:tc>
          <w:tcPr>
            <w:tcW w:w="1148" w:type="dxa"/>
            <w:shd w:val="clear" w:color="auto" w:fill="auto"/>
            <w:vAlign w:val="center"/>
            <w:hideMark/>
          </w:tcPr>
          <w:p w14:paraId="7C9BF93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422221</w:t>
            </w:r>
          </w:p>
        </w:tc>
        <w:tc>
          <w:tcPr>
            <w:tcW w:w="2575" w:type="dxa"/>
            <w:shd w:val="clear" w:color="auto" w:fill="auto"/>
            <w:vAlign w:val="center"/>
            <w:hideMark/>
          </w:tcPr>
          <w:p w14:paraId="06B3A53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Business trip abroad transportation costs</w:t>
            </w:r>
          </w:p>
        </w:tc>
        <w:tc>
          <w:tcPr>
            <w:tcW w:w="1479" w:type="dxa"/>
            <w:shd w:val="clear" w:color="auto" w:fill="auto"/>
            <w:vAlign w:val="center"/>
            <w:hideMark/>
          </w:tcPr>
          <w:p w14:paraId="34D615B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140B9BB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3.931,44</w:t>
            </w:r>
          </w:p>
        </w:tc>
        <w:tc>
          <w:tcPr>
            <w:tcW w:w="1802" w:type="dxa"/>
            <w:shd w:val="clear" w:color="auto" w:fill="auto"/>
            <w:vAlign w:val="center"/>
            <w:hideMark/>
          </w:tcPr>
          <w:p w14:paraId="1C61A8F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0,14</w:t>
            </w:r>
          </w:p>
        </w:tc>
      </w:tr>
      <w:tr w:rsidR="00B37F05" w:rsidRPr="00D06E2E" w14:paraId="56571EE0" w14:textId="77777777" w:rsidTr="00B37F05">
        <w:trPr>
          <w:trHeight w:val="825"/>
          <w:jc w:val="center"/>
        </w:trPr>
        <w:tc>
          <w:tcPr>
            <w:tcW w:w="1148" w:type="dxa"/>
            <w:shd w:val="clear" w:color="auto" w:fill="auto"/>
            <w:vAlign w:val="center"/>
            <w:hideMark/>
          </w:tcPr>
          <w:p w14:paraId="07EEB39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422299</w:t>
            </w:r>
          </w:p>
        </w:tc>
        <w:tc>
          <w:tcPr>
            <w:tcW w:w="2575" w:type="dxa"/>
            <w:shd w:val="clear" w:color="auto" w:fill="auto"/>
            <w:vAlign w:val="center"/>
            <w:hideMark/>
          </w:tcPr>
          <w:p w14:paraId="6B6D4B5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Business trip abroad accomodation costs</w:t>
            </w:r>
          </w:p>
        </w:tc>
        <w:tc>
          <w:tcPr>
            <w:tcW w:w="1479" w:type="dxa"/>
            <w:shd w:val="clear" w:color="auto" w:fill="auto"/>
            <w:vAlign w:val="center"/>
            <w:hideMark/>
          </w:tcPr>
          <w:p w14:paraId="5AEF9F5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5BFE37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98.835,67</w:t>
            </w:r>
          </w:p>
        </w:tc>
        <w:tc>
          <w:tcPr>
            <w:tcW w:w="1802" w:type="dxa"/>
            <w:shd w:val="clear" w:color="auto" w:fill="auto"/>
            <w:vAlign w:val="center"/>
            <w:hideMark/>
          </w:tcPr>
          <w:p w14:paraId="1D86C59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3,44</w:t>
            </w:r>
          </w:p>
        </w:tc>
      </w:tr>
      <w:tr w:rsidR="00B37F05" w:rsidRPr="00D06E2E" w14:paraId="365CFD53" w14:textId="77777777" w:rsidTr="00B37F05">
        <w:trPr>
          <w:trHeight w:val="615"/>
          <w:jc w:val="center"/>
        </w:trPr>
        <w:tc>
          <w:tcPr>
            <w:tcW w:w="1148" w:type="dxa"/>
            <w:shd w:val="clear" w:color="000000" w:fill="DAEEF3"/>
            <w:vAlign w:val="center"/>
            <w:hideMark/>
          </w:tcPr>
          <w:p w14:paraId="67485C3A"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p w14:paraId="5E0709A4"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422</w:t>
            </w:r>
          </w:p>
        </w:tc>
        <w:tc>
          <w:tcPr>
            <w:tcW w:w="2575" w:type="dxa"/>
            <w:shd w:val="clear" w:color="000000" w:fill="DAEEF3"/>
            <w:vAlign w:val="center"/>
            <w:hideMark/>
          </w:tcPr>
          <w:p w14:paraId="4F09B9FC"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4330D77B"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2.875.000,00</w:t>
            </w:r>
          </w:p>
        </w:tc>
        <w:tc>
          <w:tcPr>
            <w:tcW w:w="1816" w:type="dxa"/>
            <w:shd w:val="clear" w:color="000000" w:fill="DAEEF3"/>
            <w:vAlign w:val="center"/>
            <w:hideMark/>
          </w:tcPr>
          <w:p w14:paraId="43C768D8"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2.321.842,31</w:t>
            </w:r>
          </w:p>
        </w:tc>
        <w:tc>
          <w:tcPr>
            <w:tcW w:w="1802" w:type="dxa"/>
            <w:shd w:val="clear" w:color="000000" w:fill="DDEBF7"/>
            <w:vAlign w:val="center"/>
            <w:hideMark/>
          </w:tcPr>
          <w:p w14:paraId="540DF42B"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80,76</w:t>
            </w:r>
          </w:p>
        </w:tc>
      </w:tr>
      <w:tr w:rsidR="00B37F05" w:rsidRPr="00D06E2E" w14:paraId="5FC32758" w14:textId="77777777" w:rsidTr="00B37F05">
        <w:trPr>
          <w:trHeight w:val="315"/>
          <w:jc w:val="center"/>
        </w:trPr>
        <w:tc>
          <w:tcPr>
            <w:tcW w:w="1148" w:type="dxa"/>
            <w:shd w:val="clear" w:color="auto" w:fill="auto"/>
            <w:vAlign w:val="center"/>
            <w:hideMark/>
          </w:tcPr>
          <w:p w14:paraId="286F1B9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 НПМ</w:t>
            </w:r>
          </w:p>
        </w:tc>
        <w:tc>
          <w:tcPr>
            <w:tcW w:w="2575" w:type="dxa"/>
            <w:shd w:val="clear" w:color="auto" w:fill="auto"/>
            <w:vAlign w:val="center"/>
            <w:hideMark/>
          </w:tcPr>
          <w:p w14:paraId="4983344B"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auto" w:fill="auto"/>
            <w:vAlign w:val="center"/>
            <w:hideMark/>
          </w:tcPr>
          <w:p w14:paraId="497A0E6B"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816" w:type="dxa"/>
            <w:shd w:val="clear" w:color="auto" w:fill="auto"/>
            <w:vAlign w:val="center"/>
            <w:hideMark/>
          </w:tcPr>
          <w:p w14:paraId="6A87EB4C"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802" w:type="dxa"/>
            <w:shd w:val="clear" w:color="auto" w:fill="auto"/>
            <w:vAlign w:val="center"/>
            <w:hideMark/>
          </w:tcPr>
          <w:p w14:paraId="7B5AA6EF"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r>
      <w:tr w:rsidR="00B37F05" w:rsidRPr="00D06E2E" w14:paraId="308596E3" w14:textId="77777777" w:rsidTr="00B37F05">
        <w:trPr>
          <w:trHeight w:val="555"/>
          <w:jc w:val="center"/>
        </w:trPr>
        <w:tc>
          <w:tcPr>
            <w:tcW w:w="1148" w:type="dxa"/>
            <w:shd w:val="clear" w:color="auto" w:fill="auto"/>
            <w:vAlign w:val="center"/>
            <w:hideMark/>
          </w:tcPr>
          <w:p w14:paraId="5CC9330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422111</w:t>
            </w:r>
          </w:p>
        </w:tc>
        <w:tc>
          <w:tcPr>
            <w:tcW w:w="2575" w:type="dxa"/>
            <w:shd w:val="clear" w:color="auto" w:fill="auto"/>
            <w:vAlign w:val="center"/>
            <w:hideMark/>
          </w:tcPr>
          <w:p w14:paraId="2DB6BDF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Business trip daily allowance costs</w:t>
            </w:r>
          </w:p>
        </w:tc>
        <w:tc>
          <w:tcPr>
            <w:tcW w:w="1479" w:type="dxa"/>
            <w:shd w:val="clear" w:color="auto" w:fill="auto"/>
            <w:vAlign w:val="center"/>
            <w:hideMark/>
          </w:tcPr>
          <w:p w14:paraId="56A2E906"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816" w:type="dxa"/>
            <w:shd w:val="clear" w:color="auto" w:fill="auto"/>
            <w:vAlign w:val="center"/>
            <w:hideMark/>
          </w:tcPr>
          <w:p w14:paraId="42D276C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1.125,00</w:t>
            </w:r>
          </w:p>
        </w:tc>
        <w:tc>
          <w:tcPr>
            <w:tcW w:w="1802" w:type="dxa"/>
            <w:shd w:val="clear" w:color="auto" w:fill="auto"/>
            <w:vAlign w:val="center"/>
            <w:hideMark/>
          </w:tcPr>
          <w:p w14:paraId="1F2383D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0,07</w:t>
            </w:r>
          </w:p>
        </w:tc>
      </w:tr>
      <w:tr w:rsidR="00B37F05" w:rsidRPr="00D06E2E" w14:paraId="415642A8" w14:textId="77777777" w:rsidTr="00B37F05">
        <w:trPr>
          <w:trHeight w:val="555"/>
          <w:jc w:val="center"/>
        </w:trPr>
        <w:tc>
          <w:tcPr>
            <w:tcW w:w="1148" w:type="dxa"/>
            <w:shd w:val="clear" w:color="auto" w:fill="auto"/>
            <w:vAlign w:val="center"/>
            <w:hideMark/>
          </w:tcPr>
          <w:p w14:paraId="0FFA5CC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422131</w:t>
            </w:r>
          </w:p>
        </w:tc>
        <w:tc>
          <w:tcPr>
            <w:tcW w:w="2575" w:type="dxa"/>
            <w:shd w:val="clear" w:color="auto" w:fill="auto"/>
            <w:vAlign w:val="center"/>
            <w:hideMark/>
          </w:tcPr>
          <w:p w14:paraId="12C52D3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Business trip accomodation costs</w:t>
            </w:r>
          </w:p>
        </w:tc>
        <w:tc>
          <w:tcPr>
            <w:tcW w:w="1479" w:type="dxa"/>
            <w:shd w:val="clear" w:color="auto" w:fill="auto"/>
            <w:vAlign w:val="center"/>
            <w:hideMark/>
          </w:tcPr>
          <w:p w14:paraId="31651776"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816" w:type="dxa"/>
            <w:shd w:val="clear" w:color="auto" w:fill="auto"/>
            <w:vAlign w:val="center"/>
            <w:hideMark/>
          </w:tcPr>
          <w:p w14:paraId="0E41DA5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129.290,00</w:t>
            </w:r>
          </w:p>
        </w:tc>
        <w:tc>
          <w:tcPr>
            <w:tcW w:w="1802" w:type="dxa"/>
            <w:shd w:val="clear" w:color="auto" w:fill="auto"/>
            <w:vAlign w:val="center"/>
            <w:hideMark/>
          </w:tcPr>
          <w:p w14:paraId="0F62189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8,08</w:t>
            </w:r>
          </w:p>
        </w:tc>
      </w:tr>
      <w:tr w:rsidR="00B37F05" w:rsidRPr="00D06E2E" w14:paraId="2D2C7C87" w14:textId="77777777" w:rsidTr="00B37F05">
        <w:trPr>
          <w:trHeight w:val="825"/>
          <w:jc w:val="center"/>
        </w:trPr>
        <w:tc>
          <w:tcPr>
            <w:tcW w:w="1148" w:type="dxa"/>
            <w:shd w:val="clear" w:color="auto" w:fill="auto"/>
            <w:vAlign w:val="center"/>
            <w:hideMark/>
          </w:tcPr>
          <w:p w14:paraId="2547ECC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422199</w:t>
            </w:r>
          </w:p>
        </w:tc>
        <w:tc>
          <w:tcPr>
            <w:tcW w:w="2575" w:type="dxa"/>
            <w:shd w:val="clear" w:color="auto" w:fill="auto"/>
            <w:vAlign w:val="center"/>
            <w:hideMark/>
          </w:tcPr>
          <w:p w14:paraId="5353DF5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costs for domestic business trips</w:t>
            </w:r>
          </w:p>
        </w:tc>
        <w:tc>
          <w:tcPr>
            <w:tcW w:w="1479" w:type="dxa"/>
            <w:shd w:val="clear" w:color="auto" w:fill="auto"/>
            <w:vAlign w:val="center"/>
            <w:hideMark/>
          </w:tcPr>
          <w:p w14:paraId="53AC0444"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816" w:type="dxa"/>
            <w:shd w:val="clear" w:color="auto" w:fill="auto"/>
            <w:vAlign w:val="center"/>
            <w:hideMark/>
          </w:tcPr>
          <w:p w14:paraId="092C819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18.078,48</w:t>
            </w:r>
          </w:p>
        </w:tc>
        <w:tc>
          <w:tcPr>
            <w:tcW w:w="1802" w:type="dxa"/>
            <w:shd w:val="clear" w:color="auto" w:fill="auto"/>
            <w:vAlign w:val="center"/>
            <w:hideMark/>
          </w:tcPr>
          <w:p w14:paraId="0B7546D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1,13</w:t>
            </w:r>
          </w:p>
        </w:tc>
      </w:tr>
      <w:tr w:rsidR="00B37F05" w:rsidRPr="00D06E2E" w14:paraId="78052F5E" w14:textId="77777777" w:rsidTr="00B37F05">
        <w:trPr>
          <w:trHeight w:val="825"/>
          <w:jc w:val="center"/>
        </w:trPr>
        <w:tc>
          <w:tcPr>
            <w:tcW w:w="1148" w:type="dxa"/>
            <w:shd w:val="clear" w:color="auto" w:fill="auto"/>
            <w:vAlign w:val="center"/>
            <w:hideMark/>
          </w:tcPr>
          <w:p w14:paraId="1EB224A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422211</w:t>
            </w:r>
          </w:p>
        </w:tc>
        <w:tc>
          <w:tcPr>
            <w:tcW w:w="2575" w:type="dxa"/>
            <w:shd w:val="clear" w:color="auto" w:fill="auto"/>
            <w:vAlign w:val="center"/>
            <w:hideMark/>
          </w:tcPr>
          <w:p w14:paraId="3334094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Business trip abroad daily allowance costs</w:t>
            </w:r>
          </w:p>
        </w:tc>
        <w:tc>
          <w:tcPr>
            <w:tcW w:w="1479" w:type="dxa"/>
            <w:shd w:val="clear" w:color="auto" w:fill="auto"/>
            <w:vAlign w:val="center"/>
            <w:hideMark/>
          </w:tcPr>
          <w:p w14:paraId="6E55E6DA"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816" w:type="dxa"/>
            <w:shd w:val="clear" w:color="auto" w:fill="auto"/>
            <w:vAlign w:val="center"/>
            <w:hideMark/>
          </w:tcPr>
          <w:p w14:paraId="70861A2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31.883,42</w:t>
            </w:r>
          </w:p>
        </w:tc>
        <w:tc>
          <w:tcPr>
            <w:tcW w:w="1802" w:type="dxa"/>
            <w:shd w:val="clear" w:color="auto" w:fill="auto"/>
            <w:vAlign w:val="center"/>
            <w:hideMark/>
          </w:tcPr>
          <w:p w14:paraId="63A625C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1,99</w:t>
            </w:r>
          </w:p>
        </w:tc>
      </w:tr>
      <w:tr w:rsidR="00B37F05" w:rsidRPr="00D06E2E" w14:paraId="33C8B4D2" w14:textId="77777777" w:rsidTr="00B37F05">
        <w:trPr>
          <w:trHeight w:val="555"/>
          <w:jc w:val="center"/>
        </w:trPr>
        <w:tc>
          <w:tcPr>
            <w:tcW w:w="1148" w:type="dxa"/>
            <w:shd w:val="clear" w:color="auto" w:fill="auto"/>
            <w:vAlign w:val="center"/>
            <w:hideMark/>
          </w:tcPr>
          <w:p w14:paraId="79F719B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422221</w:t>
            </w:r>
          </w:p>
        </w:tc>
        <w:tc>
          <w:tcPr>
            <w:tcW w:w="2575" w:type="dxa"/>
            <w:shd w:val="clear" w:color="auto" w:fill="auto"/>
            <w:vAlign w:val="center"/>
            <w:hideMark/>
          </w:tcPr>
          <w:p w14:paraId="17A16E8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Business trip abroad transportation costs</w:t>
            </w:r>
          </w:p>
        </w:tc>
        <w:tc>
          <w:tcPr>
            <w:tcW w:w="1479" w:type="dxa"/>
            <w:shd w:val="clear" w:color="auto" w:fill="auto"/>
            <w:vAlign w:val="center"/>
            <w:hideMark/>
          </w:tcPr>
          <w:p w14:paraId="271AC335"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816" w:type="dxa"/>
            <w:shd w:val="clear" w:color="auto" w:fill="auto"/>
            <w:vAlign w:val="center"/>
            <w:hideMark/>
          </w:tcPr>
          <w:p w14:paraId="48BF93A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219.752,97</w:t>
            </w:r>
          </w:p>
        </w:tc>
        <w:tc>
          <w:tcPr>
            <w:tcW w:w="1802" w:type="dxa"/>
            <w:shd w:val="clear" w:color="auto" w:fill="auto"/>
            <w:vAlign w:val="center"/>
            <w:hideMark/>
          </w:tcPr>
          <w:p w14:paraId="788F7D5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13,73</w:t>
            </w:r>
          </w:p>
        </w:tc>
      </w:tr>
      <w:tr w:rsidR="00B37F05" w:rsidRPr="00D06E2E" w14:paraId="43A2B68A" w14:textId="77777777" w:rsidTr="00B37F05">
        <w:trPr>
          <w:trHeight w:val="555"/>
          <w:jc w:val="center"/>
        </w:trPr>
        <w:tc>
          <w:tcPr>
            <w:tcW w:w="1148" w:type="dxa"/>
            <w:shd w:val="clear" w:color="auto" w:fill="auto"/>
            <w:vAlign w:val="center"/>
            <w:hideMark/>
          </w:tcPr>
          <w:p w14:paraId="35CDAEF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422231</w:t>
            </w:r>
          </w:p>
        </w:tc>
        <w:tc>
          <w:tcPr>
            <w:tcW w:w="2575" w:type="dxa"/>
            <w:shd w:val="clear" w:color="auto" w:fill="auto"/>
            <w:vAlign w:val="center"/>
            <w:hideMark/>
          </w:tcPr>
          <w:p w14:paraId="2EBCEE1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Business trip abroad accomodation costs</w:t>
            </w:r>
          </w:p>
        </w:tc>
        <w:tc>
          <w:tcPr>
            <w:tcW w:w="1479" w:type="dxa"/>
            <w:shd w:val="clear" w:color="auto" w:fill="auto"/>
            <w:vAlign w:val="center"/>
            <w:hideMark/>
          </w:tcPr>
          <w:p w14:paraId="21063448"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816" w:type="dxa"/>
            <w:shd w:val="clear" w:color="auto" w:fill="auto"/>
            <w:vAlign w:val="center"/>
            <w:hideMark/>
          </w:tcPr>
          <w:p w14:paraId="06107EC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104.312,52</w:t>
            </w:r>
          </w:p>
        </w:tc>
        <w:tc>
          <w:tcPr>
            <w:tcW w:w="1802" w:type="dxa"/>
            <w:shd w:val="clear" w:color="auto" w:fill="auto"/>
            <w:vAlign w:val="center"/>
            <w:hideMark/>
          </w:tcPr>
          <w:p w14:paraId="41DC833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6,52</w:t>
            </w:r>
          </w:p>
        </w:tc>
      </w:tr>
      <w:tr w:rsidR="00B37F05" w:rsidRPr="00D06E2E" w14:paraId="137A748E" w14:textId="77777777" w:rsidTr="00B37F05">
        <w:trPr>
          <w:trHeight w:val="825"/>
          <w:jc w:val="center"/>
        </w:trPr>
        <w:tc>
          <w:tcPr>
            <w:tcW w:w="1148" w:type="dxa"/>
            <w:shd w:val="clear" w:color="auto" w:fill="auto"/>
            <w:vAlign w:val="center"/>
            <w:hideMark/>
          </w:tcPr>
          <w:p w14:paraId="544192A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422299</w:t>
            </w:r>
          </w:p>
        </w:tc>
        <w:tc>
          <w:tcPr>
            <w:tcW w:w="2575" w:type="dxa"/>
            <w:shd w:val="clear" w:color="auto" w:fill="auto"/>
            <w:vAlign w:val="center"/>
            <w:hideMark/>
          </w:tcPr>
          <w:p w14:paraId="72A3747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costs for business trips abroad</w:t>
            </w:r>
          </w:p>
        </w:tc>
        <w:tc>
          <w:tcPr>
            <w:tcW w:w="1479" w:type="dxa"/>
            <w:shd w:val="clear" w:color="auto" w:fill="auto"/>
            <w:vAlign w:val="center"/>
            <w:hideMark/>
          </w:tcPr>
          <w:p w14:paraId="03B8FA97"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816" w:type="dxa"/>
            <w:shd w:val="clear" w:color="auto" w:fill="auto"/>
            <w:vAlign w:val="center"/>
            <w:hideMark/>
          </w:tcPr>
          <w:p w14:paraId="6A722D3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12.592,10</w:t>
            </w:r>
          </w:p>
        </w:tc>
        <w:tc>
          <w:tcPr>
            <w:tcW w:w="1802" w:type="dxa"/>
            <w:shd w:val="clear" w:color="auto" w:fill="auto"/>
            <w:vAlign w:val="center"/>
            <w:hideMark/>
          </w:tcPr>
          <w:p w14:paraId="393DD0A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0,79</w:t>
            </w:r>
          </w:p>
        </w:tc>
      </w:tr>
      <w:tr w:rsidR="00B37F05" w:rsidRPr="00D06E2E" w14:paraId="101C2D49" w14:textId="77777777" w:rsidTr="00B37F05">
        <w:trPr>
          <w:trHeight w:val="615"/>
          <w:jc w:val="center"/>
        </w:trPr>
        <w:tc>
          <w:tcPr>
            <w:tcW w:w="1148" w:type="dxa"/>
            <w:shd w:val="clear" w:color="000000" w:fill="DAEEF3"/>
            <w:vAlign w:val="center"/>
            <w:hideMark/>
          </w:tcPr>
          <w:p w14:paraId="5BD635EA"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 422 NPM</w:t>
            </w:r>
          </w:p>
        </w:tc>
        <w:tc>
          <w:tcPr>
            <w:tcW w:w="2575" w:type="dxa"/>
            <w:shd w:val="clear" w:color="000000" w:fill="DAEEF3"/>
            <w:vAlign w:val="center"/>
            <w:hideMark/>
          </w:tcPr>
          <w:p w14:paraId="43DF330A"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64B5E916"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1.600.000,00</w:t>
            </w:r>
          </w:p>
        </w:tc>
        <w:tc>
          <w:tcPr>
            <w:tcW w:w="1816" w:type="dxa"/>
            <w:shd w:val="clear" w:color="000000" w:fill="DAEEF3"/>
            <w:vAlign w:val="center"/>
            <w:hideMark/>
          </w:tcPr>
          <w:p w14:paraId="31BBE4C2"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517.034,49</w:t>
            </w:r>
          </w:p>
        </w:tc>
        <w:tc>
          <w:tcPr>
            <w:tcW w:w="1802" w:type="dxa"/>
            <w:shd w:val="clear" w:color="000000" w:fill="DDEBF7"/>
            <w:vAlign w:val="center"/>
            <w:hideMark/>
          </w:tcPr>
          <w:p w14:paraId="1043B24F"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32,31</w:t>
            </w:r>
          </w:p>
        </w:tc>
      </w:tr>
      <w:tr w:rsidR="00B37F05" w:rsidRPr="00D06E2E" w14:paraId="64E4A26E" w14:textId="77777777" w:rsidTr="00B37F05">
        <w:trPr>
          <w:trHeight w:val="615"/>
          <w:jc w:val="center"/>
        </w:trPr>
        <w:tc>
          <w:tcPr>
            <w:tcW w:w="1148" w:type="dxa"/>
            <w:shd w:val="clear" w:color="000000" w:fill="DAEEF3"/>
            <w:vAlign w:val="center"/>
            <w:hideMark/>
          </w:tcPr>
          <w:p w14:paraId="2401FFEB"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Account position</w:t>
            </w:r>
          </w:p>
        </w:tc>
        <w:tc>
          <w:tcPr>
            <w:tcW w:w="2575" w:type="dxa"/>
            <w:shd w:val="clear" w:color="000000" w:fill="DAEEF3"/>
            <w:vAlign w:val="center"/>
            <w:hideMark/>
          </w:tcPr>
          <w:p w14:paraId="7BC3AF43"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Description</w:t>
            </w:r>
          </w:p>
        </w:tc>
        <w:tc>
          <w:tcPr>
            <w:tcW w:w="1479" w:type="dxa"/>
            <w:shd w:val="clear" w:color="000000" w:fill="DAEEF3"/>
            <w:vAlign w:val="center"/>
            <w:hideMark/>
          </w:tcPr>
          <w:p w14:paraId="1D2795D4"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Approved</w:t>
            </w:r>
          </w:p>
        </w:tc>
        <w:tc>
          <w:tcPr>
            <w:tcW w:w="1816" w:type="dxa"/>
            <w:shd w:val="clear" w:color="000000" w:fill="DAEEF3"/>
            <w:vAlign w:val="center"/>
            <w:hideMark/>
          </w:tcPr>
          <w:p w14:paraId="12AB9C7E"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Accomplished</w:t>
            </w:r>
          </w:p>
        </w:tc>
        <w:tc>
          <w:tcPr>
            <w:tcW w:w="1802" w:type="dxa"/>
            <w:shd w:val="clear" w:color="000000" w:fill="DAEEF3"/>
            <w:vAlign w:val="center"/>
            <w:hideMark/>
          </w:tcPr>
          <w:p w14:paraId="5C9F4345"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r>
      <w:tr w:rsidR="00B37F05" w:rsidRPr="00D06E2E" w14:paraId="62CA8494" w14:textId="77777777" w:rsidTr="00B37F05">
        <w:trPr>
          <w:trHeight w:val="315"/>
          <w:jc w:val="center"/>
        </w:trPr>
        <w:tc>
          <w:tcPr>
            <w:tcW w:w="1148" w:type="dxa"/>
            <w:shd w:val="clear" w:color="auto" w:fill="auto"/>
            <w:vAlign w:val="center"/>
            <w:hideMark/>
          </w:tcPr>
          <w:p w14:paraId="3238332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w:t>
            </w:r>
          </w:p>
        </w:tc>
        <w:tc>
          <w:tcPr>
            <w:tcW w:w="2575" w:type="dxa"/>
            <w:shd w:val="clear" w:color="auto" w:fill="auto"/>
            <w:vAlign w:val="center"/>
            <w:hideMark/>
          </w:tcPr>
          <w:p w14:paraId="310FF75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Contracted services</w:t>
            </w:r>
          </w:p>
        </w:tc>
        <w:tc>
          <w:tcPr>
            <w:tcW w:w="1479" w:type="dxa"/>
            <w:shd w:val="clear" w:color="auto" w:fill="auto"/>
            <w:vAlign w:val="center"/>
            <w:hideMark/>
          </w:tcPr>
          <w:p w14:paraId="4C900AE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4CFF6BBA" w14:textId="77777777" w:rsidR="00B37F05" w:rsidRPr="00D06E2E" w:rsidRDefault="00B37F05" w:rsidP="00B37F05">
            <w:pPr>
              <w:spacing w:after="0"/>
              <w:jc w:val="center"/>
              <w:rPr>
                <w:rFonts w:eastAsia="Times New Roman" w:cs="Calibri"/>
                <w:color w:val="000000"/>
                <w:sz w:val="20"/>
                <w:szCs w:val="20"/>
                <w:lang w:val="sr-Latn-RS"/>
              </w:rPr>
            </w:pPr>
          </w:p>
        </w:tc>
        <w:tc>
          <w:tcPr>
            <w:tcW w:w="1802" w:type="dxa"/>
            <w:shd w:val="clear" w:color="auto" w:fill="auto"/>
            <w:vAlign w:val="center"/>
            <w:hideMark/>
          </w:tcPr>
          <w:p w14:paraId="7DD4ABA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700BF13C" w14:textId="77777777" w:rsidTr="00B37F05">
        <w:trPr>
          <w:trHeight w:val="315"/>
          <w:jc w:val="center"/>
        </w:trPr>
        <w:tc>
          <w:tcPr>
            <w:tcW w:w="1148" w:type="dxa"/>
            <w:shd w:val="clear" w:color="auto" w:fill="auto"/>
            <w:vAlign w:val="center"/>
            <w:hideMark/>
          </w:tcPr>
          <w:p w14:paraId="0E4D0A4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423111</w:t>
            </w:r>
          </w:p>
        </w:tc>
        <w:tc>
          <w:tcPr>
            <w:tcW w:w="2575" w:type="dxa"/>
            <w:shd w:val="clear" w:color="auto" w:fill="auto"/>
            <w:vAlign w:val="center"/>
            <w:hideMark/>
          </w:tcPr>
          <w:p w14:paraId="3C90A1A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Translation services</w:t>
            </w:r>
          </w:p>
        </w:tc>
        <w:tc>
          <w:tcPr>
            <w:tcW w:w="1479" w:type="dxa"/>
            <w:shd w:val="clear" w:color="auto" w:fill="auto"/>
            <w:vAlign w:val="center"/>
            <w:hideMark/>
          </w:tcPr>
          <w:p w14:paraId="13959B2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D6DA55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866.772,00</w:t>
            </w:r>
          </w:p>
        </w:tc>
        <w:tc>
          <w:tcPr>
            <w:tcW w:w="1802" w:type="dxa"/>
            <w:shd w:val="clear" w:color="auto" w:fill="auto"/>
            <w:vAlign w:val="center"/>
            <w:hideMark/>
          </w:tcPr>
          <w:p w14:paraId="226DF99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7,73</w:t>
            </w:r>
          </w:p>
        </w:tc>
      </w:tr>
      <w:tr w:rsidR="00B37F05" w:rsidRPr="00D06E2E" w14:paraId="4D4DB2D4" w14:textId="77777777" w:rsidTr="00B37F05">
        <w:trPr>
          <w:trHeight w:val="555"/>
          <w:jc w:val="center"/>
        </w:trPr>
        <w:tc>
          <w:tcPr>
            <w:tcW w:w="1148" w:type="dxa"/>
            <w:shd w:val="clear" w:color="auto" w:fill="auto"/>
            <w:vAlign w:val="center"/>
            <w:hideMark/>
          </w:tcPr>
          <w:p w14:paraId="1532888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423212</w:t>
            </w:r>
          </w:p>
        </w:tc>
        <w:tc>
          <w:tcPr>
            <w:tcW w:w="2575" w:type="dxa"/>
            <w:shd w:val="clear" w:color="auto" w:fill="auto"/>
            <w:vAlign w:val="center"/>
            <w:hideMark/>
          </w:tcPr>
          <w:p w14:paraId="4EAC751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Software execution services</w:t>
            </w:r>
          </w:p>
        </w:tc>
        <w:tc>
          <w:tcPr>
            <w:tcW w:w="1479" w:type="dxa"/>
            <w:shd w:val="clear" w:color="auto" w:fill="auto"/>
            <w:vAlign w:val="center"/>
            <w:hideMark/>
          </w:tcPr>
          <w:p w14:paraId="4914C93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D786FB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589.985,45</w:t>
            </w:r>
          </w:p>
        </w:tc>
        <w:tc>
          <w:tcPr>
            <w:tcW w:w="1802" w:type="dxa"/>
            <w:shd w:val="clear" w:color="auto" w:fill="auto"/>
            <w:vAlign w:val="center"/>
            <w:hideMark/>
          </w:tcPr>
          <w:p w14:paraId="5061A6E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5,26</w:t>
            </w:r>
          </w:p>
        </w:tc>
      </w:tr>
      <w:tr w:rsidR="00B37F05" w:rsidRPr="00D06E2E" w14:paraId="2340E0E5" w14:textId="77777777" w:rsidTr="00B37F05">
        <w:trPr>
          <w:trHeight w:val="555"/>
          <w:jc w:val="center"/>
        </w:trPr>
        <w:tc>
          <w:tcPr>
            <w:tcW w:w="1148" w:type="dxa"/>
            <w:shd w:val="clear" w:color="auto" w:fill="auto"/>
            <w:vAlign w:val="center"/>
            <w:hideMark/>
          </w:tcPr>
          <w:p w14:paraId="38D25BF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lastRenderedPageBreak/>
              <w:t>423221</w:t>
            </w:r>
          </w:p>
        </w:tc>
        <w:tc>
          <w:tcPr>
            <w:tcW w:w="2575" w:type="dxa"/>
            <w:shd w:val="clear" w:color="auto" w:fill="auto"/>
            <w:vAlign w:val="center"/>
            <w:hideMark/>
          </w:tcPr>
          <w:p w14:paraId="791ECA4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Computer maintenance services</w:t>
            </w:r>
          </w:p>
        </w:tc>
        <w:tc>
          <w:tcPr>
            <w:tcW w:w="1479" w:type="dxa"/>
            <w:shd w:val="clear" w:color="auto" w:fill="auto"/>
            <w:vAlign w:val="center"/>
            <w:hideMark/>
          </w:tcPr>
          <w:p w14:paraId="2D41E9F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54B8A39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187.905,60</w:t>
            </w:r>
          </w:p>
        </w:tc>
        <w:tc>
          <w:tcPr>
            <w:tcW w:w="1802" w:type="dxa"/>
            <w:shd w:val="clear" w:color="auto" w:fill="auto"/>
            <w:vAlign w:val="center"/>
            <w:hideMark/>
          </w:tcPr>
          <w:p w14:paraId="4A686D9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1,68</w:t>
            </w:r>
          </w:p>
        </w:tc>
      </w:tr>
      <w:tr w:rsidR="00B37F05" w:rsidRPr="00D06E2E" w14:paraId="17B3ABE9" w14:textId="77777777" w:rsidTr="00B37F05">
        <w:trPr>
          <w:trHeight w:val="555"/>
          <w:jc w:val="center"/>
        </w:trPr>
        <w:tc>
          <w:tcPr>
            <w:tcW w:w="1148" w:type="dxa"/>
            <w:shd w:val="clear" w:color="auto" w:fill="auto"/>
            <w:vAlign w:val="center"/>
            <w:hideMark/>
          </w:tcPr>
          <w:p w14:paraId="0B007D0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423291</w:t>
            </w:r>
          </w:p>
        </w:tc>
        <w:tc>
          <w:tcPr>
            <w:tcW w:w="2575" w:type="dxa"/>
            <w:shd w:val="clear" w:color="auto" w:fill="auto"/>
            <w:vAlign w:val="center"/>
            <w:hideMark/>
          </w:tcPr>
          <w:p w14:paraId="2CC8FBC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computer services</w:t>
            </w:r>
          </w:p>
        </w:tc>
        <w:tc>
          <w:tcPr>
            <w:tcW w:w="1479" w:type="dxa"/>
            <w:shd w:val="clear" w:color="auto" w:fill="auto"/>
            <w:vAlign w:val="center"/>
            <w:hideMark/>
          </w:tcPr>
          <w:p w14:paraId="356F449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08A79CD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25.272,00</w:t>
            </w:r>
          </w:p>
        </w:tc>
        <w:tc>
          <w:tcPr>
            <w:tcW w:w="1802" w:type="dxa"/>
            <w:shd w:val="clear" w:color="auto" w:fill="auto"/>
            <w:vAlign w:val="center"/>
            <w:hideMark/>
          </w:tcPr>
          <w:p w14:paraId="2138B63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0,23</w:t>
            </w:r>
          </w:p>
        </w:tc>
      </w:tr>
      <w:tr w:rsidR="00B37F05" w:rsidRPr="00D06E2E" w14:paraId="1DE6DD2E" w14:textId="77777777" w:rsidTr="00B37F05">
        <w:trPr>
          <w:trHeight w:val="315"/>
          <w:jc w:val="center"/>
        </w:trPr>
        <w:tc>
          <w:tcPr>
            <w:tcW w:w="1148" w:type="dxa"/>
            <w:shd w:val="clear" w:color="auto" w:fill="auto"/>
            <w:vAlign w:val="center"/>
            <w:hideMark/>
          </w:tcPr>
          <w:p w14:paraId="62D6BF2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423321</w:t>
            </w:r>
          </w:p>
        </w:tc>
        <w:tc>
          <w:tcPr>
            <w:tcW w:w="2575" w:type="dxa"/>
            <w:shd w:val="clear" w:color="auto" w:fill="auto"/>
            <w:hideMark/>
          </w:tcPr>
          <w:p w14:paraId="636FBC7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Seminar fee</w:t>
            </w:r>
          </w:p>
        </w:tc>
        <w:tc>
          <w:tcPr>
            <w:tcW w:w="1479" w:type="dxa"/>
            <w:shd w:val="clear" w:color="auto" w:fill="auto"/>
            <w:vAlign w:val="center"/>
            <w:hideMark/>
          </w:tcPr>
          <w:p w14:paraId="509D184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5B89AA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24.000,00</w:t>
            </w:r>
          </w:p>
        </w:tc>
        <w:tc>
          <w:tcPr>
            <w:tcW w:w="1802" w:type="dxa"/>
            <w:shd w:val="clear" w:color="auto" w:fill="auto"/>
            <w:vAlign w:val="center"/>
            <w:hideMark/>
          </w:tcPr>
          <w:p w14:paraId="0612E4F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0,21</w:t>
            </w:r>
          </w:p>
        </w:tc>
      </w:tr>
      <w:tr w:rsidR="00B37F05" w:rsidRPr="00D06E2E" w14:paraId="71A7D965" w14:textId="77777777" w:rsidTr="00B37F05">
        <w:trPr>
          <w:trHeight w:val="555"/>
          <w:jc w:val="center"/>
        </w:trPr>
        <w:tc>
          <w:tcPr>
            <w:tcW w:w="1148" w:type="dxa"/>
            <w:shd w:val="clear" w:color="auto" w:fill="auto"/>
            <w:vAlign w:val="center"/>
            <w:hideMark/>
          </w:tcPr>
          <w:p w14:paraId="3CBFF47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423399</w:t>
            </w:r>
          </w:p>
        </w:tc>
        <w:tc>
          <w:tcPr>
            <w:tcW w:w="2575" w:type="dxa"/>
            <w:shd w:val="clear" w:color="auto" w:fill="auto"/>
            <w:hideMark/>
          </w:tcPr>
          <w:p w14:paraId="2B117EE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expenses for professional education</w:t>
            </w:r>
          </w:p>
        </w:tc>
        <w:tc>
          <w:tcPr>
            <w:tcW w:w="1479" w:type="dxa"/>
            <w:shd w:val="clear" w:color="auto" w:fill="auto"/>
            <w:vAlign w:val="center"/>
            <w:hideMark/>
          </w:tcPr>
          <w:p w14:paraId="593D197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1806A5A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365.220,00</w:t>
            </w:r>
          </w:p>
        </w:tc>
        <w:tc>
          <w:tcPr>
            <w:tcW w:w="1802" w:type="dxa"/>
            <w:shd w:val="clear" w:color="auto" w:fill="auto"/>
            <w:vAlign w:val="center"/>
            <w:hideMark/>
          </w:tcPr>
          <w:p w14:paraId="520DACB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3,26</w:t>
            </w:r>
          </w:p>
        </w:tc>
      </w:tr>
      <w:tr w:rsidR="00B37F05" w:rsidRPr="00D06E2E" w14:paraId="01EA8091" w14:textId="77777777" w:rsidTr="00B37F05">
        <w:trPr>
          <w:trHeight w:val="555"/>
          <w:jc w:val="center"/>
        </w:trPr>
        <w:tc>
          <w:tcPr>
            <w:tcW w:w="1148" w:type="dxa"/>
            <w:shd w:val="clear" w:color="auto" w:fill="auto"/>
            <w:vAlign w:val="center"/>
            <w:hideMark/>
          </w:tcPr>
          <w:p w14:paraId="4F4BEDA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423413</w:t>
            </w:r>
          </w:p>
        </w:tc>
        <w:tc>
          <w:tcPr>
            <w:tcW w:w="2575" w:type="dxa"/>
            <w:shd w:val="clear" w:color="auto" w:fill="auto"/>
            <w:vAlign w:val="center"/>
            <w:hideMark/>
          </w:tcPr>
          <w:p w14:paraId="2EE80FB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Publication printing services</w:t>
            </w:r>
          </w:p>
        </w:tc>
        <w:tc>
          <w:tcPr>
            <w:tcW w:w="1479" w:type="dxa"/>
            <w:shd w:val="clear" w:color="auto" w:fill="auto"/>
            <w:vAlign w:val="center"/>
            <w:hideMark/>
          </w:tcPr>
          <w:p w14:paraId="17B0556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2C8E31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8.500,00</w:t>
            </w:r>
          </w:p>
        </w:tc>
        <w:tc>
          <w:tcPr>
            <w:tcW w:w="1802" w:type="dxa"/>
            <w:shd w:val="clear" w:color="auto" w:fill="auto"/>
            <w:vAlign w:val="center"/>
            <w:hideMark/>
          </w:tcPr>
          <w:p w14:paraId="4FBC328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0,08</w:t>
            </w:r>
          </w:p>
        </w:tc>
      </w:tr>
      <w:tr w:rsidR="00B37F05" w:rsidRPr="00D06E2E" w14:paraId="04EF7240" w14:textId="77777777" w:rsidTr="00B37F05">
        <w:trPr>
          <w:trHeight w:val="315"/>
          <w:jc w:val="center"/>
        </w:trPr>
        <w:tc>
          <w:tcPr>
            <w:tcW w:w="1148" w:type="dxa"/>
            <w:shd w:val="clear" w:color="auto" w:fill="auto"/>
            <w:vAlign w:val="center"/>
            <w:hideMark/>
          </w:tcPr>
          <w:p w14:paraId="1C52FE4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423419</w:t>
            </w:r>
          </w:p>
        </w:tc>
        <w:tc>
          <w:tcPr>
            <w:tcW w:w="2575" w:type="dxa"/>
            <w:shd w:val="clear" w:color="auto" w:fill="auto"/>
            <w:vAlign w:val="center"/>
            <w:hideMark/>
          </w:tcPr>
          <w:p w14:paraId="36F1240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printing services</w:t>
            </w:r>
          </w:p>
        </w:tc>
        <w:tc>
          <w:tcPr>
            <w:tcW w:w="1479" w:type="dxa"/>
            <w:shd w:val="clear" w:color="auto" w:fill="auto"/>
            <w:vAlign w:val="center"/>
            <w:hideMark/>
          </w:tcPr>
          <w:p w14:paraId="5C0059F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14892E4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644.270,00</w:t>
            </w:r>
          </w:p>
        </w:tc>
        <w:tc>
          <w:tcPr>
            <w:tcW w:w="1802" w:type="dxa"/>
            <w:shd w:val="clear" w:color="auto" w:fill="auto"/>
            <w:vAlign w:val="center"/>
            <w:hideMark/>
          </w:tcPr>
          <w:p w14:paraId="6DC04A4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5,75</w:t>
            </w:r>
          </w:p>
        </w:tc>
      </w:tr>
      <w:tr w:rsidR="00B37F05" w:rsidRPr="00D06E2E" w14:paraId="24E9FF73" w14:textId="77777777" w:rsidTr="00B37F05">
        <w:trPr>
          <w:trHeight w:val="555"/>
          <w:jc w:val="center"/>
        </w:trPr>
        <w:tc>
          <w:tcPr>
            <w:tcW w:w="1148" w:type="dxa"/>
            <w:shd w:val="clear" w:color="auto" w:fill="auto"/>
            <w:vAlign w:val="center"/>
            <w:hideMark/>
          </w:tcPr>
          <w:p w14:paraId="70FEA18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423421</w:t>
            </w:r>
          </w:p>
        </w:tc>
        <w:tc>
          <w:tcPr>
            <w:tcW w:w="2575" w:type="dxa"/>
            <w:shd w:val="clear" w:color="auto" w:fill="auto"/>
            <w:hideMark/>
          </w:tcPr>
          <w:p w14:paraId="7388365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Public information services</w:t>
            </w:r>
          </w:p>
        </w:tc>
        <w:tc>
          <w:tcPr>
            <w:tcW w:w="1479" w:type="dxa"/>
            <w:shd w:val="clear" w:color="auto" w:fill="auto"/>
            <w:vAlign w:val="center"/>
            <w:hideMark/>
          </w:tcPr>
          <w:p w14:paraId="4B99E10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95B9F2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443.392,13</w:t>
            </w:r>
          </w:p>
        </w:tc>
        <w:tc>
          <w:tcPr>
            <w:tcW w:w="1802" w:type="dxa"/>
            <w:shd w:val="clear" w:color="auto" w:fill="auto"/>
            <w:vAlign w:val="center"/>
            <w:hideMark/>
          </w:tcPr>
          <w:p w14:paraId="7AF505B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3,95</w:t>
            </w:r>
          </w:p>
        </w:tc>
      </w:tr>
      <w:tr w:rsidR="00B37F05" w:rsidRPr="00D06E2E" w14:paraId="60A690AB" w14:textId="77777777" w:rsidTr="00B37F05">
        <w:trPr>
          <w:trHeight w:val="555"/>
          <w:jc w:val="center"/>
        </w:trPr>
        <w:tc>
          <w:tcPr>
            <w:tcW w:w="1148" w:type="dxa"/>
            <w:shd w:val="clear" w:color="auto" w:fill="auto"/>
            <w:vAlign w:val="center"/>
            <w:hideMark/>
          </w:tcPr>
          <w:p w14:paraId="3FF9A5E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423432</w:t>
            </w:r>
          </w:p>
        </w:tc>
        <w:tc>
          <w:tcPr>
            <w:tcW w:w="2575" w:type="dxa"/>
            <w:shd w:val="clear" w:color="auto" w:fill="auto"/>
            <w:hideMark/>
          </w:tcPr>
          <w:p w14:paraId="675DB76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Tender and informative advertisements publication</w:t>
            </w:r>
          </w:p>
        </w:tc>
        <w:tc>
          <w:tcPr>
            <w:tcW w:w="1479" w:type="dxa"/>
            <w:shd w:val="clear" w:color="auto" w:fill="auto"/>
            <w:vAlign w:val="center"/>
            <w:hideMark/>
          </w:tcPr>
          <w:p w14:paraId="1151BE4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07FCF40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501.600,00</w:t>
            </w:r>
          </w:p>
        </w:tc>
        <w:tc>
          <w:tcPr>
            <w:tcW w:w="1802" w:type="dxa"/>
            <w:shd w:val="clear" w:color="auto" w:fill="auto"/>
            <w:vAlign w:val="center"/>
            <w:hideMark/>
          </w:tcPr>
          <w:p w14:paraId="0E29477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4,47</w:t>
            </w:r>
          </w:p>
        </w:tc>
      </w:tr>
      <w:tr w:rsidR="00B37F05" w:rsidRPr="00D06E2E" w14:paraId="42177D2A" w14:textId="77777777" w:rsidTr="00B37F05">
        <w:trPr>
          <w:trHeight w:val="315"/>
          <w:jc w:val="center"/>
        </w:trPr>
        <w:tc>
          <w:tcPr>
            <w:tcW w:w="1148" w:type="dxa"/>
            <w:shd w:val="clear" w:color="auto" w:fill="auto"/>
            <w:vAlign w:val="center"/>
            <w:hideMark/>
          </w:tcPr>
          <w:p w14:paraId="7108C90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423449</w:t>
            </w:r>
          </w:p>
        </w:tc>
        <w:tc>
          <w:tcPr>
            <w:tcW w:w="2575" w:type="dxa"/>
            <w:shd w:val="clear" w:color="auto" w:fill="auto"/>
            <w:vAlign w:val="center"/>
            <w:hideMark/>
          </w:tcPr>
          <w:p w14:paraId="7916359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media services</w:t>
            </w:r>
          </w:p>
        </w:tc>
        <w:tc>
          <w:tcPr>
            <w:tcW w:w="1479" w:type="dxa"/>
            <w:shd w:val="clear" w:color="auto" w:fill="auto"/>
            <w:vAlign w:val="center"/>
            <w:hideMark/>
          </w:tcPr>
          <w:p w14:paraId="6412C67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F555AC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384.000,00</w:t>
            </w:r>
          </w:p>
        </w:tc>
        <w:tc>
          <w:tcPr>
            <w:tcW w:w="1802" w:type="dxa"/>
            <w:shd w:val="clear" w:color="auto" w:fill="auto"/>
            <w:vAlign w:val="center"/>
            <w:hideMark/>
          </w:tcPr>
          <w:p w14:paraId="4888C5C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3,43</w:t>
            </w:r>
          </w:p>
        </w:tc>
      </w:tr>
      <w:tr w:rsidR="00B37F05" w:rsidRPr="00D06E2E" w14:paraId="66DB94D8" w14:textId="77777777" w:rsidTr="00B37F05">
        <w:trPr>
          <w:trHeight w:val="315"/>
          <w:jc w:val="center"/>
        </w:trPr>
        <w:tc>
          <w:tcPr>
            <w:tcW w:w="1148" w:type="dxa"/>
            <w:shd w:val="clear" w:color="auto" w:fill="auto"/>
            <w:vAlign w:val="center"/>
            <w:hideMark/>
          </w:tcPr>
          <w:p w14:paraId="1A299E5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423511</w:t>
            </w:r>
          </w:p>
        </w:tc>
        <w:tc>
          <w:tcPr>
            <w:tcW w:w="2575" w:type="dxa"/>
            <w:shd w:val="clear" w:color="auto" w:fill="auto"/>
            <w:vAlign w:val="center"/>
            <w:hideMark/>
          </w:tcPr>
          <w:p w14:paraId="49ACEAB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Auditing services</w:t>
            </w:r>
          </w:p>
        </w:tc>
        <w:tc>
          <w:tcPr>
            <w:tcW w:w="1479" w:type="dxa"/>
            <w:shd w:val="clear" w:color="auto" w:fill="auto"/>
            <w:vAlign w:val="center"/>
            <w:hideMark/>
          </w:tcPr>
          <w:p w14:paraId="09B455C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64B861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820.657,80</w:t>
            </w:r>
          </w:p>
        </w:tc>
        <w:tc>
          <w:tcPr>
            <w:tcW w:w="1802" w:type="dxa"/>
            <w:shd w:val="clear" w:color="auto" w:fill="auto"/>
            <w:vAlign w:val="center"/>
            <w:hideMark/>
          </w:tcPr>
          <w:p w14:paraId="7A63EF2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7,32</w:t>
            </w:r>
          </w:p>
        </w:tc>
      </w:tr>
      <w:tr w:rsidR="00B37F05" w:rsidRPr="00D06E2E" w14:paraId="3AB6D3D6" w14:textId="77777777" w:rsidTr="00B37F05">
        <w:trPr>
          <w:trHeight w:val="885"/>
          <w:jc w:val="center"/>
        </w:trPr>
        <w:tc>
          <w:tcPr>
            <w:tcW w:w="1148" w:type="dxa"/>
            <w:shd w:val="clear" w:color="auto" w:fill="auto"/>
            <w:vAlign w:val="center"/>
            <w:hideMark/>
          </w:tcPr>
          <w:p w14:paraId="10EA1A4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423599</w:t>
            </w:r>
          </w:p>
        </w:tc>
        <w:tc>
          <w:tcPr>
            <w:tcW w:w="2575" w:type="dxa"/>
            <w:shd w:val="clear" w:color="auto" w:fill="auto"/>
            <w:vAlign w:val="center"/>
            <w:hideMark/>
          </w:tcPr>
          <w:p w14:paraId="7FFF00A3" w14:textId="77777777" w:rsidR="00B37F05" w:rsidRPr="00D06E2E" w:rsidRDefault="00B37F05" w:rsidP="00B37F05">
            <w:pPr>
              <w:spacing w:after="0"/>
              <w:jc w:val="center"/>
              <w:rPr>
                <w:rFonts w:eastAsia="Times New Roman" w:cs="Calibri"/>
                <w:color w:val="000000"/>
                <w:sz w:val="20"/>
                <w:szCs w:val="20"/>
                <w:lang w:val="sr-Latn-RS" w:eastAsia="sr-Latn-RS"/>
              </w:rPr>
            </w:pPr>
            <w:r w:rsidRPr="00D06E2E">
              <w:rPr>
                <w:rFonts w:eastAsia="Times New Roman" w:cs="Calibri"/>
                <w:color w:val="000000"/>
                <w:sz w:val="20"/>
                <w:szCs w:val="20"/>
                <w:lang w:val="sr-Latn-RS" w:eastAsia="sr-Latn-RS"/>
              </w:rPr>
              <w:t xml:space="preserve">Other professional services </w:t>
            </w:r>
          </w:p>
          <w:p w14:paraId="74C86E2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i/>
                <w:iCs/>
                <w:color w:val="000000"/>
                <w:sz w:val="20"/>
                <w:szCs w:val="20"/>
                <w:lang w:val="sr-Latn-RS" w:eastAsia="sr-Latn-RS"/>
              </w:rPr>
              <w:t>(engagement of external associates, experts)</w:t>
            </w:r>
          </w:p>
        </w:tc>
        <w:tc>
          <w:tcPr>
            <w:tcW w:w="1479" w:type="dxa"/>
            <w:shd w:val="clear" w:color="auto" w:fill="auto"/>
            <w:vAlign w:val="center"/>
            <w:hideMark/>
          </w:tcPr>
          <w:p w14:paraId="4837325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089277B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2.210.422,52</w:t>
            </w:r>
          </w:p>
        </w:tc>
        <w:tc>
          <w:tcPr>
            <w:tcW w:w="1802" w:type="dxa"/>
            <w:shd w:val="clear" w:color="auto" w:fill="auto"/>
            <w:vAlign w:val="center"/>
            <w:hideMark/>
          </w:tcPr>
          <w:p w14:paraId="7608627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19,72</w:t>
            </w:r>
          </w:p>
        </w:tc>
      </w:tr>
      <w:tr w:rsidR="00B37F05" w:rsidRPr="00D06E2E" w14:paraId="56EC77A0" w14:textId="77777777" w:rsidTr="00B37F05">
        <w:trPr>
          <w:trHeight w:val="1065"/>
          <w:jc w:val="center"/>
        </w:trPr>
        <w:tc>
          <w:tcPr>
            <w:tcW w:w="1148" w:type="dxa"/>
            <w:shd w:val="clear" w:color="auto" w:fill="auto"/>
            <w:vAlign w:val="center"/>
            <w:hideMark/>
          </w:tcPr>
          <w:p w14:paraId="12E999C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423621</w:t>
            </w:r>
          </w:p>
        </w:tc>
        <w:tc>
          <w:tcPr>
            <w:tcW w:w="2575" w:type="dxa"/>
            <w:shd w:val="clear" w:color="auto" w:fill="auto"/>
            <w:vAlign w:val="center"/>
            <w:hideMark/>
          </w:tcPr>
          <w:p w14:paraId="26BD2363" w14:textId="77777777" w:rsidR="00B37F05" w:rsidRPr="00D06E2E" w:rsidRDefault="00B37F05" w:rsidP="00B37F05">
            <w:pPr>
              <w:spacing w:after="0"/>
              <w:jc w:val="center"/>
              <w:rPr>
                <w:rFonts w:eastAsia="Times New Roman" w:cs="Calibri"/>
                <w:color w:val="000000"/>
                <w:sz w:val="20"/>
                <w:szCs w:val="20"/>
                <w:lang w:val="sr-Latn-RS" w:eastAsia="sr-Latn-RS"/>
              </w:rPr>
            </w:pPr>
            <w:r w:rsidRPr="00D06E2E">
              <w:rPr>
                <w:rFonts w:eastAsia="Times New Roman" w:cs="Calibri"/>
                <w:color w:val="000000"/>
                <w:sz w:val="20"/>
                <w:szCs w:val="20"/>
                <w:lang w:val="sr-Latn-RS" w:eastAsia="sr-Latn-RS"/>
              </w:rPr>
              <w:t>Catering services</w:t>
            </w:r>
          </w:p>
          <w:p w14:paraId="41035A5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i/>
                <w:iCs/>
                <w:color w:val="000000"/>
                <w:sz w:val="20"/>
                <w:szCs w:val="20"/>
                <w:lang w:val="sr-Latn-RS" w:eastAsia="sr-Latn-RS"/>
              </w:rPr>
              <w:t>(organization of conferences, round tables, meetings)</w:t>
            </w:r>
          </w:p>
        </w:tc>
        <w:tc>
          <w:tcPr>
            <w:tcW w:w="1479" w:type="dxa"/>
            <w:shd w:val="clear" w:color="auto" w:fill="auto"/>
            <w:vAlign w:val="center"/>
            <w:hideMark/>
          </w:tcPr>
          <w:p w14:paraId="38AE93F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1C6FB0C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257.505,70</w:t>
            </w:r>
          </w:p>
        </w:tc>
        <w:tc>
          <w:tcPr>
            <w:tcW w:w="1802" w:type="dxa"/>
            <w:shd w:val="clear" w:color="auto" w:fill="auto"/>
            <w:vAlign w:val="center"/>
            <w:hideMark/>
          </w:tcPr>
          <w:p w14:paraId="03DD2BF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2,30</w:t>
            </w:r>
          </w:p>
        </w:tc>
      </w:tr>
      <w:tr w:rsidR="00B37F05" w:rsidRPr="00D06E2E" w14:paraId="35034859" w14:textId="77777777" w:rsidTr="00B37F05">
        <w:trPr>
          <w:trHeight w:val="1080"/>
          <w:jc w:val="center"/>
        </w:trPr>
        <w:tc>
          <w:tcPr>
            <w:tcW w:w="1148" w:type="dxa"/>
            <w:shd w:val="clear" w:color="auto" w:fill="auto"/>
            <w:vAlign w:val="center"/>
            <w:hideMark/>
          </w:tcPr>
          <w:p w14:paraId="48B6073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423711</w:t>
            </w:r>
          </w:p>
        </w:tc>
        <w:tc>
          <w:tcPr>
            <w:tcW w:w="2575" w:type="dxa"/>
            <w:shd w:val="clear" w:color="auto" w:fill="auto"/>
            <w:vAlign w:val="center"/>
            <w:hideMark/>
          </w:tcPr>
          <w:p w14:paraId="0A40D8BA" w14:textId="77777777" w:rsidR="00B37F05" w:rsidRPr="00D06E2E" w:rsidRDefault="00B37F05" w:rsidP="00B37F05">
            <w:pPr>
              <w:spacing w:after="0"/>
              <w:jc w:val="center"/>
              <w:rPr>
                <w:rFonts w:eastAsia="Times New Roman" w:cs="Calibri"/>
                <w:color w:val="000000"/>
                <w:sz w:val="20"/>
                <w:szCs w:val="20"/>
                <w:lang w:val="sr-Latn-RS" w:eastAsia="sr-Latn-RS"/>
              </w:rPr>
            </w:pPr>
            <w:r w:rsidRPr="00D06E2E">
              <w:rPr>
                <w:rFonts w:eastAsia="Times New Roman" w:cs="Calibri"/>
                <w:color w:val="000000"/>
                <w:sz w:val="20"/>
                <w:szCs w:val="20"/>
                <w:lang w:val="sr-Latn-RS" w:eastAsia="sr-Latn-RS"/>
              </w:rPr>
              <w:t xml:space="preserve">Representation </w:t>
            </w:r>
          </w:p>
          <w:p w14:paraId="74C70D11" w14:textId="77777777" w:rsidR="00B37F05" w:rsidRPr="00D06E2E" w:rsidRDefault="00B37F05" w:rsidP="00B37F05">
            <w:pPr>
              <w:spacing w:after="0"/>
              <w:jc w:val="center"/>
              <w:rPr>
                <w:rFonts w:eastAsia="Times New Roman" w:cs="Calibri"/>
                <w:i/>
                <w:iCs/>
                <w:color w:val="000000"/>
                <w:sz w:val="20"/>
                <w:szCs w:val="20"/>
                <w:lang w:val="sr-Latn-RS"/>
              </w:rPr>
            </w:pPr>
            <w:r w:rsidRPr="00D06E2E">
              <w:rPr>
                <w:rFonts w:eastAsia="Times New Roman" w:cs="Calibri"/>
                <w:i/>
                <w:iCs/>
                <w:color w:val="000000"/>
                <w:sz w:val="20"/>
                <w:szCs w:val="20"/>
                <w:lang w:val="sr-Latn-RS" w:eastAsia="sr-Latn-RS"/>
              </w:rPr>
              <w:t>(organization of conferences, round tables, meetings)</w:t>
            </w:r>
          </w:p>
        </w:tc>
        <w:tc>
          <w:tcPr>
            <w:tcW w:w="1479" w:type="dxa"/>
            <w:shd w:val="clear" w:color="auto" w:fill="auto"/>
            <w:vAlign w:val="center"/>
            <w:hideMark/>
          </w:tcPr>
          <w:p w14:paraId="134D398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14A5406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222.917,04</w:t>
            </w:r>
          </w:p>
        </w:tc>
        <w:tc>
          <w:tcPr>
            <w:tcW w:w="1802" w:type="dxa"/>
            <w:shd w:val="clear" w:color="auto" w:fill="auto"/>
            <w:vAlign w:val="center"/>
            <w:hideMark/>
          </w:tcPr>
          <w:p w14:paraId="22A5282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1,99</w:t>
            </w:r>
          </w:p>
        </w:tc>
      </w:tr>
      <w:tr w:rsidR="00B37F05" w:rsidRPr="00D06E2E" w14:paraId="0FAD5F99" w14:textId="77777777" w:rsidTr="00B37F05">
        <w:trPr>
          <w:trHeight w:val="315"/>
          <w:jc w:val="center"/>
        </w:trPr>
        <w:tc>
          <w:tcPr>
            <w:tcW w:w="1148" w:type="dxa"/>
            <w:shd w:val="clear" w:color="auto" w:fill="auto"/>
            <w:vAlign w:val="center"/>
            <w:hideMark/>
          </w:tcPr>
          <w:p w14:paraId="59FB5DC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423712</w:t>
            </w:r>
          </w:p>
        </w:tc>
        <w:tc>
          <w:tcPr>
            <w:tcW w:w="2575" w:type="dxa"/>
            <w:shd w:val="clear" w:color="auto" w:fill="auto"/>
            <w:vAlign w:val="center"/>
            <w:hideMark/>
          </w:tcPr>
          <w:p w14:paraId="1B49F7F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Gifts</w:t>
            </w:r>
          </w:p>
        </w:tc>
        <w:tc>
          <w:tcPr>
            <w:tcW w:w="1479" w:type="dxa"/>
            <w:shd w:val="clear" w:color="auto" w:fill="auto"/>
            <w:vAlign w:val="center"/>
            <w:hideMark/>
          </w:tcPr>
          <w:p w14:paraId="7FBA493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2897D3A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73.000,00</w:t>
            </w:r>
          </w:p>
        </w:tc>
        <w:tc>
          <w:tcPr>
            <w:tcW w:w="1802" w:type="dxa"/>
            <w:shd w:val="clear" w:color="auto" w:fill="auto"/>
            <w:vAlign w:val="center"/>
            <w:hideMark/>
          </w:tcPr>
          <w:p w14:paraId="63A0175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0,65</w:t>
            </w:r>
          </w:p>
        </w:tc>
      </w:tr>
      <w:tr w:rsidR="00B37F05" w:rsidRPr="00D06E2E" w14:paraId="37AEBF52" w14:textId="77777777" w:rsidTr="00B37F05">
        <w:trPr>
          <w:trHeight w:val="315"/>
          <w:jc w:val="center"/>
        </w:trPr>
        <w:tc>
          <w:tcPr>
            <w:tcW w:w="1148" w:type="dxa"/>
            <w:shd w:val="clear" w:color="auto" w:fill="auto"/>
            <w:vAlign w:val="center"/>
            <w:hideMark/>
          </w:tcPr>
          <w:p w14:paraId="09391A0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423911</w:t>
            </w:r>
          </w:p>
        </w:tc>
        <w:tc>
          <w:tcPr>
            <w:tcW w:w="2575" w:type="dxa"/>
            <w:shd w:val="clear" w:color="auto" w:fill="auto"/>
            <w:vAlign w:val="center"/>
            <w:hideMark/>
          </w:tcPr>
          <w:p w14:paraId="6EA7F67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general services</w:t>
            </w:r>
          </w:p>
        </w:tc>
        <w:tc>
          <w:tcPr>
            <w:tcW w:w="1479" w:type="dxa"/>
            <w:shd w:val="clear" w:color="auto" w:fill="auto"/>
            <w:vAlign w:val="center"/>
            <w:hideMark/>
          </w:tcPr>
          <w:p w14:paraId="3CA6824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5AE1ACC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252.300,20</w:t>
            </w:r>
          </w:p>
        </w:tc>
        <w:tc>
          <w:tcPr>
            <w:tcW w:w="1802" w:type="dxa"/>
            <w:shd w:val="clear" w:color="auto" w:fill="auto"/>
            <w:vAlign w:val="center"/>
            <w:hideMark/>
          </w:tcPr>
          <w:p w14:paraId="1EAEEC5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2,25</w:t>
            </w:r>
          </w:p>
        </w:tc>
      </w:tr>
      <w:tr w:rsidR="00B37F05" w:rsidRPr="00D06E2E" w14:paraId="7BA3A251" w14:textId="77777777" w:rsidTr="00B37F05">
        <w:trPr>
          <w:trHeight w:val="615"/>
          <w:jc w:val="center"/>
        </w:trPr>
        <w:tc>
          <w:tcPr>
            <w:tcW w:w="1148" w:type="dxa"/>
            <w:shd w:val="clear" w:color="000000" w:fill="DAEEF3"/>
            <w:vAlign w:val="center"/>
            <w:hideMark/>
          </w:tcPr>
          <w:p w14:paraId="45EE7937"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p w14:paraId="68AD174F"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423</w:t>
            </w:r>
          </w:p>
        </w:tc>
        <w:tc>
          <w:tcPr>
            <w:tcW w:w="2575" w:type="dxa"/>
            <w:shd w:val="clear" w:color="000000" w:fill="DAEEF3"/>
            <w:vAlign w:val="center"/>
            <w:hideMark/>
          </w:tcPr>
          <w:p w14:paraId="536413DB"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415A9073"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11.211.000,00</w:t>
            </w:r>
          </w:p>
        </w:tc>
        <w:tc>
          <w:tcPr>
            <w:tcW w:w="1816" w:type="dxa"/>
            <w:shd w:val="clear" w:color="000000" w:fill="DAEEF3"/>
            <w:vAlign w:val="center"/>
            <w:hideMark/>
          </w:tcPr>
          <w:p w14:paraId="4A646817"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7.877.720,44</w:t>
            </w:r>
          </w:p>
        </w:tc>
        <w:tc>
          <w:tcPr>
            <w:tcW w:w="1802" w:type="dxa"/>
            <w:shd w:val="clear" w:color="000000" w:fill="DDEBF7"/>
            <w:vAlign w:val="center"/>
            <w:hideMark/>
          </w:tcPr>
          <w:p w14:paraId="08FA0BCE"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70,27</w:t>
            </w:r>
          </w:p>
        </w:tc>
      </w:tr>
      <w:tr w:rsidR="00B37F05" w:rsidRPr="00D06E2E" w14:paraId="0D77535D" w14:textId="77777777" w:rsidTr="00B37F05">
        <w:trPr>
          <w:trHeight w:val="315"/>
          <w:jc w:val="center"/>
        </w:trPr>
        <w:tc>
          <w:tcPr>
            <w:tcW w:w="1148" w:type="dxa"/>
            <w:shd w:val="clear" w:color="auto" w:fill="auto"/>
            <w:vAlign w:val="center"/>
            <w:hideMark/>
          </w:tcPr>
          <w:p w14:paraId="4F96FE6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 NPM</w:t>
            </w:r>
          </w:p>
        </w:tc>
        <w:tc>
          <w:tcPr>
            <w:tcW w:w="2575" w:type="dxa"/>
            <w:shd w:val="clear" w:color="auto" w:fill="auto"/>
            <w:vAlign w:val="center"/>
            <w:hideMark/>
          </w:tcPr>
          <w:p w14:paraId="6EA999F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479" w:type="dxa"/>
            <w:shd w:val="clear" w:color="auto" w:fill="auto"/>
            <w:vAlign w:val="center"/>
            <w:hideMark/>
          </w:tcPr>
          <w:p w14:paraId="7B83900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013A83A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3CD9E01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20B386B5" w14:textId="77777777" w:rsidTr="00B37F05">
        <w:trPr>
          <w:trHeight w:val="315"/>
          <w:jc w:val="center"/>
        </w:trPr>
        <w:tc>
          <w:tcPr>
            <w:tcW w:w="1148" w:type="dxa"/>
            <w:shd w:val="clear" w:color="auto" w:fill="auto"/>
            <w:vAlign w:val="center"/>
            <w:hideMark/>
          </w:tcPr>
          <w:p w14:paraId="35C5D6C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423111</w:t>
            </w:r>
          </w:p>
        </w:tc>
        <w:tc>
          <w:tcPr>
            <w:tcW w:w="2575" w:type="dxa"/>
            <w:shd w:val="clear" w:color="auto" w:fill="auto"/>
            <w:vAlign w:val="center"/>
            <w:hideMark/>
          </w:tcPr>
          <w:p w14:paraId="01CD486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Translation services</w:t>
            </w:r>
          </w:p>
        </w:tc>
        <w:tc>
          <w:tcPr>
            <w:tcW w:w="1479" w:type="dxa"/>
            <w:shd w:val="clear" w:color="auto" w:fill="auto"/>
            <w:vAlign w:val="center"/>
            <w:hideMark/>
          </w:tcPr>
          <w:p w14:paraId="3B5FE63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90FD8C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147.564,00</w:t>
            </w:r>
          </w:p>
        </w:tc>
        <w:tc>
          <w:tcPr>
            <w:tcW w:w="1802" w:type="dxa"/>
            <w:shd w:val="clear" w:color="auto" w:fill="auto"/>
            <w:vAlign w:val="center"/>
            <w:hideMark/>
          </w:tcPr>
          <w:p w14:paraId="1FFBFA0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8,68</w:t>
            </w:r>
          </w:p>
        </w:tc>
      </w:tr>
      <w:tr w:rsidR="00B37F05" w:rsidRPr="00D06E2E" w14:paraId="035C036A" w14:textId="77777777" w:rsidTr="00B37F05">
        <w:trPr>
          <w:trHeight w:val="555"/>
          <w:jc w:val="center"/>
        </w:trPr>
        <w:tc>
          <w:tcPr>
            <w:tcW w:w="1148" w:type="dxa"/>
            <w:shd w:val="clear" w:color="auto" w:fill="auto"/>
            <w:vAlign w:val="center"/>
            <w:hideMark/>
          </w:tcPr>
          <w:p w14:paraId="22438F0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423413</w:t>
            </w:r>
          </w:p>
        </w:tc>
        <w:tc>
          <w:tcPr>
            <w:tcW w:w="2575" w:type="dxa"/>
            <w:shd w:val="clear" w:color="auto" w:fill="auto"/>
            <w:vAlign w:val="center"/>
            <w:hideMark/>
          </w:tcPr>
          <w:p w14:paraId="14D26E5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Publication printing services</w:t>
            </w:r>
          </w:p>
        </w:tc>
        <w:tc>
          <w:tcPr>
            <w:tcW w:w="1479" w:type="dxa"/>
            <w:shd w:val="clear" w:color="auto" w:fill="auto"/>
            <w:vAlign w:val="center"/>
            <w:hideMark/>
          </w:tcPr>
          <w:p w14:paraId="67DEAF1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4EF7F0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171.600,00</w:t>
            </w:r>
          </w:p>
        </w:tc>
        <w:tc>
          <w:tcPr>
            <w:tcW w:w="1802" w:type="dxa"/>
            <w:shd w:val="clear" w:color="auto" w:fill="auto"/>
            <w:vAlign w:val="center"/>
            <w:hideMark/>
          </w:tcPr>
          <w:p w14:paraId="52EA58C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10,09</w:t>
            </w:r>
          </w:p>
        </w:tc>
      </w:tr>
      <w:tr w:rsidR="00B37F05" w:rsidRPr="00D06E2E" w14:paraId="5D78C08A" w14:textId="77777777" w:rsidTr="00B37F05">
        <w:trPr>
          <w:trHeight w:val="315"/>
          <w:jc w:val="center"/>
        </w:trPr>
        <w:tc>
          <w:tcPr>
            <w:tcW w:w="1148" w:type="dxa"/>
            <w:shd w:val="clear" w:color="auto" w:fill="auto"/>
            <w:vAlign w:val="center"/>
            <w:hideMark/>
          </w:tcPr>
          <w:p w14:paraId="7BFBB36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423531</w:t>
            </w:r>
          </w:p>
        </w:tc>
        <w:tc>
          <w:tcPr>
            <w:tcW w:w="2575" w:type="dxa"/>
            <w:shd w:val="clear" w:color="auto" w:fill="auto"/>
            <w:vAlign w:val="center"/>
            <w:hideMark/>
          </w:tcPr>
          <w:p w14:paraId="021F461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Court expertise services</w:t>
            </w:r>
          </w:p>
        </w:tc>
        <w:tc>
          <w:tcPr>
            <w:tcW w:w="1479" w:type="dxa"/>
            <w:shd w:val="clear" w:color="auto" w:fill="auto"/>
            <w:vAlign w:val="center"/>
            <w:hideMark/>
          </w:tcPr>
          <w:p w14:paraId="04D0FD5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0936DF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589.197,75</w:t>
            </w:r>
          </w:p>
        </w:tc>
        <w:tc>
          <w:tcPr>
            <w:tcW w:w="1802" w:type="dxa"/>
            <w:shd w:val="clear" w:color="auto" w:fill="auto"/>
            <w:vAlign w:val="center"/>
            <w:hideMark/>
          </w:tcPr>
          <w:p w14:paraId="12EE5D2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34,66</w:t>
            </w:r>
          </w:p>
        </w:tc>
      </w:tr>
      <w:tr w:rsidR="00B37F05" w:rsidRPr="00D06E2E" w14:paraId="253B9E0B" w14:textId="77777777" w:rsidTr="00B37F05">
        <w:trPr>
          <w:trHeight w:val="885"/>
          <w:jc w:val="center"/>
        </w:trPr>
        <w:tc>
          <w:tcPr>
            <w:tcW w:w="1148" w:type="dxa"/>
            <w:shd w:val="clear" w:color="auto" w:fill="auto"/>
            <w:vAlign w:val="center"/>
            <w:hideMark/>
          </w:tcPr>
          <w:p w14:paraId="7C7F556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423599</w:t>
            </w:r>
          </w:p>
        </w:tc>
        <w:tc>
          <w:tcPr>
            <w:tcW w:w="2575" w:type="dxa"/>
            <w:shd w:val="clear" w:color="auto" w:fill="auto"/>
            <w:vAlign w:val="center"/>
            <w:hideMark/>
          </w:tcPr>
          <w:p w14:paraId="3BFB75FB" w14:textId="77777777" w:rsidR="00B37F05" w:rsidRPr="00D06E2E" w:rsidRDefault="00B37F05" w:rsidP="00B37F05">
            <w:pPr>
              <w:spacing w:after="0"/>
              <w:jc w:val="center"/>
              <w:rPr>
                <w:rFonts w:eastAsia="Times New Roman" w:cs="Calibri"/>
                <w:color w:val="000000"/>
                <w:sz w:val="20"/>
                <w:szCs w:val="20"/>
                <w:lang w:val="sr-Latn-RS" w:eastAsia="sr-Latn-RS"/>
              </w:rPr>
            </w:pPr>
            <w:r w:rsidRPr="00D06E2E">
              <w:rPr>
                <w:rFonts w:eastAsia="Times New Roman" w:cs="Calibri"/>
                <w:color w:val="000000"/>
                <w:sz w:val="20"/>
                <w:szCs w:val="20"/>
                <w:lang w:val="sr-Latn-RS" w:eastAsia="sr-Latn-RS"/>
              </w:rPr>
              <w:t>Other professional services</w:t>
            </w:r>
          </w:p>
          <w:p w14:paraId="38E9EEE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 xml:space="preserve"> </w:t>
            </w:r>
            <w:r w:rsidRPr="00D06E2E">
              <w:rPr>
                <w:rFonts w:eastAsia="Times New Roman" w:cs="Calibri"/>
                <w:i/>
                <w:iCs/>
                <w:color w:val="000000"/>
                <w:sz w:val="20"/>
                <w:szCs w:val="20"/>
                <w:lang w:val="sr-Latn-RS" w:eastAsia="sr-Latn-RS"/>
              </w:rPr>
              <w:t>(engagement of external associates, experts)</w:t>
            </w:r>
          </w:p>
        </w:tc>
        <w:tc>
          <w:tcPr>
            <w:tcW w:w="1479" w:type="dxa"/>
            <w:shd w:val="clear" w:color="auto" w:fill="auto"/>
            <w:vAlign w:val="center"/>
            <w:hideMark/>
          </w:tcPr>
          <w:p w14:paraId="017E1FA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5E9040E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277.777,77</w:t>
            </w:r>
          </w:p>
        </w:tc>
        <w:tc>
          <w:tcPr>
            <w:tcW w:w="1802" w:type="dxa"/>
            <w:shd w:val="clear" w:color="auto" w:fill="auto"/>
            <w:vAlign w:val="center"/>
            <w:hideMark/>
          </w:tcPr>
          <w:p w14:paraId="5F178AF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16,34</w:t>
            </w:r>
          </w:p>
        </w:tc>
      </w:tr>
      <w:tr w:rsidR="00B37F05" w:rsidRPr="00D06E2E" w14:paraId="39862441" w14:textId="77777777" w:rsidTr="00B37F05">
        <w:trPr>
          <w:trHeight w:val="315"/>
          <w:jc w:val="center"/>
        </w:trPr>
        <w:tc>
          <w:tcPr>
            <w:tcW w:w="1148" w:type="dxa"/>
            <w:shd w:val="clear" w:color="auto" w:fill="auto"/>
            <w:vAlign w:val="center"/>
            <w:hideMark/>
          </w:tcPr>
          <w:p w14:paraId="7B2AE42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423711</w:t>
            </w:r>
          </w:p>
        </w:tc>
        <w:tc>
          <w:tcPr>
            <w:tcW w:w="2575" w:type="dxa"/>
            <w:shd w:val="clear" w:color="auto" w:fill="auto"/>
            <w:vAlign w:val="center"/>
            <w:hideMark/>
          </w:tcPr>
          <w:p w14:paraId="3780D74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Gifts</w:t>
            </w:r>
          </w:p>
        </w:tc>
        <w:tc>
          <w:tcPr>
            <w:tcW w:w="1479" w:type="dxa"/>
            <w:shd w:val="clear" w:color="auto" w:fill="auto"/>
            <w:vAlign w:val="center"/>
            <w:hideMark/>
          </w:tcPr>
          <w:p w14:paraId="64CEE64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7066045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104.730,00</w:t>
            </w:r>
          </w:p>
        </w:tc>
        <w:tc>
          <w:tcPr>
            <w:tcW w:w="1802" w:type="dxa"/>
            <w:shd w:val="clear" w:color="auto" w:fill="auto"/>
            <w:vAlign w:val="center"/>
            <w:hideMark/>
          </w:tcPr>
          <w:p w14:paraId="14C08A4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6,16</w:t>
            </w:r>
          </w:p>
        </w:tc>
      </w:tr>
      <w:tr w:rsidR="00B37F05" w:rsidRPr="00D06E2E" w14:paraId="6035D074" w14:textId="77777777" w:rsidTr="00B37F05">
        <w:trPr>
          <w:trHeight w:val="615"/>
          <w:jc w:val="center"/>
        </w:trPr>
        <w:tc>
          <w:tcPr>
            <w:tcW w:w="1148" w:type="dxa"/>
            <w:shd w:val="clear" w:color="000000" w:fill="DAEEF3"/>
            <w:vAlign w:val="center"/>
            <w:hideMark/>
          </w:tcPr>
          <w:p w14:paraId="6A29B69D"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    423 NPM</w:t>
            </w:r>
          </w:p>
        </w:tc>
        <w:tc>
          <w:tcPr>
            <w:tcW w:w="2575" w:type="dxa"/>
            <w:shd w:val="clear" w:color="000000" w:fill="DAEEF3"/>
            <w:vAlign w:val="center"/>
            <w:hideMark/>
          </w:tcPr>
          <w:p w14:paraId="5D4F9F8B"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52A870A9"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1.700.000,00</w:t>
            </w:r>
          </w:p>
        </w:tc>
        <w:tc>
          <w:tcPr>
            <w:tcW w:w="1816" w:type="dxa"/>
            <w:shd w:val="clear" w:color="000000" w:fill="DAEEF3"/>
            <w:vAlign w:val="center"/>
            <w:hideMark/>
          </w:tcPr>
          <w:p w14:paraId="22F6E314"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1.290.869,52</w:t>
            </w:r>
          </w:p>
        </w:tc>
        <w:tc>
          <w:tcPr>
            <w:tcW w:w="1802" w:type="dxa"/>
            <w:shd w:val="clear" w:color="000000" w:fill="DDEBF7"/>
            <w:vAlign w:val="center"/>
            <w:hideMark/>
          </w:tcPr>
          <w:p w14:paraId="74724E61"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75,93</w:t>
            </w:r>
          </w:p>
        </w:tc>
      </w:tr>
      <w:tr w:rsidR="00B37F05" w:rsidRPr="00D06E2E" w14:paraId="1886CE60" w14:textId="77777777" w:rsidTr="00B37F05">
        <w:trPr>
          <w:trHeight w:val="315"/>
          <w:jc w:val="center"/>
        </w:trPr>
        <w:tc>
          <w:tcPr>
            <w:tcW w:w="1148" w:type="dxa"/>
            <w:shd w:val="clear" w:color="auto" w:fill="auto"/>
            <w:vAlign w:val="center"/>
            <w:hideMark/>
          </w:tcPr>
          <w:p w14:paraId="0B8ADDA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425</w:t>
            </w:r>
          </w:p>
        </w:tc>
        <w:tc>
          <w:tcPr>
            <w:tcW w:w="2575" w:type="dxa"/>
            <w:shd w:val="clear" w:color="auto" w:fill="auto"/>
            <w:vAlign w:val="center"/>
            <w:hideMark/>
          </w:tcPr>
          <w:p w14:paraId="69668F5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Repairs and maintenance</w:t>
            </w:r>
          </w:p>
        </w:tc>
        <w:tc>
          <w:tcPr>
            <w:tcW w:w="1479" w:type="dxa"/>
            <w:shd w:val="clear" w:color="auto" w:fill="auto"/>
            <w:vAlign w:val="center"/>
            <w:hideMark/>
          </w:tcPr>
          <w:p w14:paraId="1E95A22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D7A3F5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05DD5EB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38CAF6CF" w14:textId="77777777" w:rsidTr="00B37F05">
        <w:trPr>
          <w:trHeight w:val="825"/>
          <w:jc w:val="center"/>
        </w:trPr>
        <w:tc>
          <w:tcPr>
            <w:tcW w:w="1148" w:type="dxa"/>
            <w:shd w:val="clear" w:color="auto" w:fill="auto"/>
            <w:vAlign w:val="center"/>
            <w:hideMark/>
          </w:tcPr>
          <w:p w14:paraId="06A7E81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425219</w:t>
            </w:r>
          </w:p>
        </w:tc>
        <w:tc>
          <w:tcPr>
            <w:tcW w:w="2575" w:type="dxa"/>
            <w:shd w:val="clear" w:color="auto" w:fill="auto"/>
            <w:vAlign w:val="center"/>
            <w:hideMark/>
          </w:tcPr>
          <w:p w14:paraId="727F31B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repairs and maintenance of transportation equipment</w:t>
            </w:r>
          </w:p>
        </w:tc>
        <w:tc>
          <w:tcPr>
            <w:tcW w:w="1479" w:type="dxa"/>
            <w:shd w:val="clear" w:color="auto" w:fill="auto"/>
            <w:vAlign w:val="center"/>
            <w:hideMark/>
          </w:tcPr>
          <w:p w14:paraId="14A3FDC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724B4DC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241.379,47</w:t>
            </w:r>
          </w:p>
        </w:tc>
        <w:tc>
          <w:tcPr>
            <w:tcW w:w="1802" w:type="dxa"/>
            <w:shd w:val="clear" w:color="auto" w:fill="auto"/>
            <w:vAlign w:val="center"/>
            <w:hideMark/>
          </w:tcPr>
          <w:p w14:paraId="4DF4862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21,38</w:t>
            </w:r>
          </w:p>
        </w:tc>
      </w:tr>
      <w:tr w:rsidR="00B37F05" w:rsidRPr="00D06E2E" w14:paraId="68F00F74" w14:textId="77777777" w:rsidTr="00B37F05">
        <w:trPr>
          <w:trHeight w:val="825"/>
          <w:jc w:val="center"/>
        </w:trPr>
        <w:tc>
          <w:tcPr>
            <w:tcW w:w="1148" w:type="dxa"/>
            <w:shd w:val="clear" w:color="auto" w:fill="auto"/>
            <w:vAlign w:val="center"/>
            <w:hideMark/>
          </w:tcPr>
          <w:p w14:paraId="5D6B33F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lastRenderedPageBreak/>
              <w:t>425229</w:t>
            </w:r>
          </w:p>
        </w:tc>
        <w:tc>
          <w:tcPr>
            <w:tcW w:w="2575" w:type="dxa"/>
            <w:shd w:val="clear" w:color="auto" w:fill="auto"/>
            <w:vAlign w:val="center"/>
            <w:hideMark/>
          </w:tcPr>
          <w:p w14:paraId="74B5A9F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repairs and maintenance of administrative equipment</w:t>
            </w:r>
          </w:p>
        </w:tc>
        <w:tc>
          <w:tcPr>
            <w:tcW w:w="1479" w:type="dxa"/>
            <w:shd w:val="clear" w:color="auto" w:fill="auto"/>
            <w:vAlign w:val="center"/>
            <w:hideMark/>
          </w:tcPr>
          <w:p w14:paraId="7845CEF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2921544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63.300,00</w:t>
            </w:r>
          </w:p>
        </w:tc>
        <w:tc>
          <w:tcPr>
            <w:tcW w:w="1802" w:type="dxa"/>
            <w:shd w:val="clear" w:color="auto" w:fill="auto"/>
            <w:vAlign w:val="center"/>
            <w:hideMark/>
          </w:tcPr>
          <w:p w14:paraId="7EAA5E4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5,61</w:t>
            </w:r>
          </w:p>
        </w:tc>
      </w:tr>
      <w:tr w:rsidR="00B37F05" w:rsidRPr="00D06E2E" w14:paraId="25C84738" w14:textId="77777777" w:rsidTr="00B37F05">
        <w:trPr>
          <w:trHeight w:val="1095"/>
          <w:jc w:val="center"/>
        </w:trPr>
        <w:tc>
          <w:tcPr>
            <w:tcW w:w="1148" w:type="dxa"/>
            <w:shd w:val="clear" w:color="auto" w:fill="auto"/>
            <w:vAlign w:val="center"/>
            <w:hideMark/>
          </w:tcPr>
          <w:p w14:paraId="5C8DB59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425291</w:t>
            </w:r>
          </w:p>
        </w:tc>
        <w:tc>
          <w:tcPr>
            <w:tcW w:w="2575" w:type="dxa"/>
            <w:shd w:val="clear" w:color="auto" w:fill="auto"/>
            <w:vAlign w:val="center"/>
            <w:hideMark/>
          </w:tcPr>
          <w:p w14:paraId="437B997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Current repairs and maintenance of production, motorized, stationary and non-motorized equipment</w:t>
            </w:r>
          </w:p>
        </w:tc>
        <w:tc>
          <w:tcPr>
            <w:tcW w:w="1479" w:type="dxa"/>
            <w:shd w:val="clear" w:color="auto" w:fill="auto"/>
            <w:vAlign w:val="center"/>
            <w:hideMark/>
          </w:tcPr>
          <w:p w14:paraId="77BBA55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74C2505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189.000,00</w:t>
            </w:r>
          </w:p>
        </w:tc>
        <w:tc>
          <w:tcPr>
            <w:tcW w:w="1802" w:type="dxa"/>
            <w:shd w:val="clear" w:color="auto" w:fill="auto"/>
            <w:vAlign w:val="center"/>
            <w:hideMark/>
          </w:tcPr>
          <w:p w14:paraId="5D912F1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16,74</w:t>
            </w:r>
          </w:p>
        </w:tc>
      </w:tr>
      <w:tr w:rsidR="00B37F05" w:rsidRPr="00D06E2E" w14:paraId="102E02DC" w14:textId="77777777" w:rsidTr="00B37F05">
        <w:trPr>
          <w:trHeight w:val="615"/>
          <w:jc w:val="center"/>
        </w:trPr>
        <w:tc>
          <w:tcPr>
            <w:tcW w:w="1148" w:type="dxa"/>
            <w:shd w:val="clear" w:color="000000" w:fill="DAEEF3"/>
            <w:vAlign w:val="center"/>
            <w:hideMark/>
          </w:tcPr>
          <w:p w14:paraId="0F60FC39"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p w14:paraId="16B8D81F"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425</w:t>
            </w:r>
          </w:p>
        </w:tc>
        <w:tc>
          <w:tcPr>
            <w:tcW w:w="2575" w:type="dxa"/>
            <w:shd w:val="clear" w:color="000000" w:fill="DAEEF3"/>
            <w:vAlign w:val="center"/>
            <w:hideMark/>
          </w:tcPr>
          <w:p w14:paraId="4C47E6B1"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7D69EE70"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1.129.000,00</w:t>
            </w:r>
          </w:p>
        </w:tc>
        <w:tc>
          <w:tcPr>
            <w:tcW w:w="1816" w:type="dxa"/>
            <w:shd w:val="clear" w:color="000000" w:fill="DAEEF3"/>
            <w:vAlign w:val="center"/>
            <w:hideMark/>
          </w:tcPr>
          <w:p w14:paraId="63ED2C3B"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493.679,47</w:t>
            </w:r>
          </w:p>
        </w:tc>
        <w:tc>
          <w:tcPr>
            <w:tcW w:w="1802" w:type="dxa"/>
            <w:shd w:val="clear" w:color="000000" w:fill="DDEBF7"/>
            <w:vAlign w:val="center"/>
            <w:hideMark/>
          </w:tcPr>
          <w:p w14:paraId="1CC6C2DB"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43,73</w:t>
            </w:r>
          </w:p>
        </w:tc>
      </w:tr>
      <w:tr w:rsidR="00B37F05" w:rsidRPr="00D06E2E" w14:paraId="3E9DF1E5" w14:textId="77777777" w:rsidTr="00B37F05">
        <w:trPr>
          <w:trHeight w:val="315"/>
          <w:jc w:val="center"/>
        </w:trPr>
        <w:tc>
          <w:tcPr>
            <w:tcW w:w="1148" w:type="dxa"/>
            <w:shd w:val="clear" w:color="auto" w:fill="auto"/>
            <w:vAlign w:val="center"/>
            <w:hideMark/>
          </w:tcPr>
          <w:p w14:paraId="5030675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426</w:t>
            </w:r>
          </w:p>
        </w:tc>
        <w:tc>
          <w:tcPr>
            <w:tcW w:w="2575" w:type="dxa"/>
            <w:shd w:val="clear" w:color="auto" w:fill="auto"/>
            <w:vAlign w:val="center"/>
            <w:hideMark/>
          </w:tcPr>
          <w:p w14:paraId="6BF9885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Material</w:t>
            </w:r>
          </w:p>
        </w:tc>
        <w:tc>
          <w:tcPr>
            <w:tcW w:w="1479" w:type="dxa"/>
            <w:shd w:val="clear" w:color="auto" w:fill="auto"/>
            <w:vAlign w:val="center"/>
            <w:hideMark/>
          </w:tcPr>
          <w:p w14:paraId="5EF1391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7290BF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2CBBE07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53735524" w14:textId="77777777" w:rsidTr="00B37F05">
        <w:trPr>
          <w:trHeight w:val="315"/>
          <w:jc w:val="center"/>
        </w:trPr>
        <w:tc>
          <w:tcPr>
            <w:tcW w:w="1148" w:type="dxa"/>
            <w:shd w:val="clear" w:color="auto" w:fill="auto"/>
            <w:vAlign w:val="center"/>
            <w:hideMark/>
          </w:tcPr>
          <w:p w14:paraId="4C55A36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426111</w:t>
            </w:r>
          </w:p>
        </w:tc>
        <w:tc>
          <w:tcPr>
            <w:tcW w:w="2575" w:type="dxa"/>
            <w:shd w:val="clear" w:color="auto" w:fill="auto"/>
            <w:vAlign w:val="center"/>
            <w:hideMark/>
          </w:tcPr>
          <w:p w14:paraId="0C6B602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Office supplies</w:t>
            </w:r>
          </w:p>
        </w:tc>
        <w:tc>
          <w:tcPr>
            <w:tcW w:w="1479" w:type="dxa"/>
            <w:shd w:val="clear" w:color="auto" w:fill="auto"/>
            <w:vAlign w:val="center"/>
            <w:hideMark/>
          </w:tcPr>
          <w:p w14:paraId="0E54333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4F3DEBF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752.796,20</w:t>
            </w:r>
          </w:p>
        </w:tc>
        <w:tc>
          <w:tcPr>
            <w:tcW w:w="1802" w:type="dxa"/>
            <w:shd w:val="clear" w:color="auto" w:fill="auto"/>
            <w:vAlign w:val="center"/>
            <w:hideMark/>
          </w:tcPr>
          <w:p w14:paraId="15936AC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10,08</w:t>
            </w:r>
          </w:p>
        </w:tc>
      </w:tr>
      <w:tr w:rsidR="00B37F05" w:rsidRPr="00D06E2E" w14:paraId="6C936A41" w14:textId="77777777" w:rsidTr="00B37F05">
        <w:trPr>
          <w:trHeight w:val="555"/>
          <w:jc w:val="center"/>
        </w:trPr>
        <w:tc>
          <w:tcPr>
            <w:tcW w:w="1148" w:type="dxa"/>
            <w:shd w:val="clear" w:color="auto" w:fill="auto"/>
            <w:vAlign w:val="center"/>
            <w:hideMark/>
          </w:tcPr>
          <w:p w14:paraId="0A96168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426191</w:t>
            </w:r>
          </w:p>
        </w:tc>
        <w:tc>
          <w:tcPr>
            <w:tcW w:w="2575" w:type="dxa"/>
            <w:shd w:val="clear" w:color="auto" w:fill="auto"/>
            <w:vAlign w:val="center"/>
            <w:hideMark/>
          </w:tcPr>
          <w:p w14:paraId="3AEBFC3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administrative material</w:t>
            </w:r>
          </w:p>
        </w:tc>
        <w:tc>
          <w:tcPr>
            <w:tcW w:w="1479" w:type="dxa"/>
            <w:shd w:val="clear" w:color="auto" w:fill="auto"/>
            <w:vAlign w:val="center"/>
            <w:hideMark/>
          </w:tcPr>
          <w:p w14:paraId="0A37670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0A7949D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260.520,00</w:t>
            </w:r>
          </w:p>
        </w:tc>
        <w:tc>
          <w:tcPr>
            <w:tcW w:w="1802" w:type="dxa"/>
            <w:shd w:val="clear" w:color="auto" w:fill="auto"/>
            <w:vAlign w:val="center"/>
            <w:hideMark/>
          </w:tcPr>
          <w:p w14:paraId="6A12C16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3,49</w:t>
            </w:r>
          </w:p>
        </w:tc>
      </w:tr>
      <w:tr w:rsidR="00B37F05" w:rsidRPr="00D06E2E" w14:paraId="3655F6C0" w14:textId="77777777" w:rsidTr="00B37F05">
        <w:trPr>
          <w:trHeight w:val="825"/>
          <w:jc w:val="center"/>
        </w:trPr>
        <w:tc>
          <w:tcPr>
            <w:tcW w:w="1148" w:type="dxa"/>
            <w:shd w:val="clear" w:color="auto" w:fill="auto"/>
            <w:vAlign w:val="center"/>
            <w:hideMark/>
          </w:tcPr>
          <w:p w14:paraId="6E6042E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426311</w:t>
            </w:r>
          </w:p>
        </w:tc>
        <w:tc>
          <w:tcPr>
            <w:tcW w:w="2575" w:type="dxa"/>
            <w:shd w:val="clear" w:color="auto" w:fill="auto"/>
            <w:vAlign w:val="center"/>
            <w:hideMark/>
          </w:tcPr>
          <w:p w14:paraId="7DF2E14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Profesional reference books for regular use of employees</w:t>
            </w:r>
          </w:p>
        </w:tc>
        <w:tc>
          <w:tcPr>
            <w:tcW w:w="1479" w:type="dxa"/>
            <w:shd w:val="clear" w:color="auto" w:fill="auto"/>
            <w:vAlign w:val="center"/>
            <w:hideMark/>
          </w:tcPr>
          <w:p w14:paraId="69B9EA9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1C687AF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274.716,00</w:t>
            </w:r>
          </w:p>
        </w:tc>
        <w:tc>
          <w:tcPr>
            <w:tcW w:w="1802" w:type="dxa"/>
            <w:shd w:val="clear" w:color="auto" w:fill="auto"/>
            <w:vAlign w:val="center"/>
            <w:hideMark/>
          </w:tcPr>
          <w:p w14:paraId="6F41473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3,68</w:t>
            </w:r>
          </w:p>
        </w:tc>
      </w:tr>
      <w:tr w:rsidR="00B37F05" w:rsidRPr="00D06E2E" w14:paraId="1D90BABF" w14:textId="77777777" w:rsidTr="00B37F05">
        <w:trPr>
          <w:trHeight w:val="555"/>
          <w:jc w:val="center"/>
        </w:trPr>
        <w:tc>
          <w:tcPr>
            <w:tcW w:w="1148" w:type="dxa"/>
            <w:shd w:val="clear" w:color="auto" w:fill="auto"/>
            <w:vAlign w:val="center"/>
            <w:hideMark/>
          </w:tcPr>
          <w:p w14:paraId="1AE801A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426312</w:t>
            </w:r>
          </w:p>
        </w:tc>
        <w:tc>
          <w:tcPr>
            <w:tcW w:w="2575" w:type="dxa"/>
            <w:shd w:val="clear" w:color="auto" w:fill="auto"/>
            <w:vAlign w:val="center"/>
            <w:hideMark/>
          </w:tcPr>
          <w:p w14:paraId="5193948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Profesional reference books for education of employees</w:t>
            </w:r>
          </w:p>
        </w:tc>
        <w:tc>
          <w:tcPr>
            <w:tcW w:w="1479" w:type="dxa"/>
            <w:shd w:val="clear" w:color="auto" w:fill="auto"/>
            <w:vAlign w:val="center"/>
            <w:hideMark/>
          </w:tcPr>
          <w:p w14:paraId="25B6798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6461127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584.420,80</w:t>
            </w:r>
          </w:p>
        </w:tc>
        <w:tc>
          <w:tcPr>
            <w:tcW w:w="1802" w:type="dxa"/>
            <w:shd w:val="clear" w:color="auto" w:fill="auto"/>
            <w:vAlign w:val="center"/>
            <w:hideMark/>
          </w:tcPr>
          <w:p w14:paraId="7B0F85E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7,82</w:t>
            </w:r>
          </w:p>
        </w:tc>
      </w:tr>
      <w:tr w:rsidR="00B37F05" w:rsidRPr="00D06E2E" w14:paraId="1CFC5033" w14:textId="77777777" w:rsidTr="00B37F05">
        <w:trPr>
          <w:trHeight w:val="315"/>
          <w:jc w:val="center"/>
        </w:trPr>
        <w:tc>
          <w:tcPr>
            <w:tcW w:w="1148" w:type="dxa"/>
            <w:shd w:val="clear" w:color="auto" w:fill="auto"/>
            <w:vAlign w:val="center"/>
            <w:hideMark/>
          </w:tcPr>
          <w:p w14:paraId="5459045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426411</w:t>
            </w:r>
          </w:p>
        </w:tc>
        <w:tc>
          <w:tcPr>
            <w:tcW w:w="2575" w:type="dxa"/>
            <w:shd w:val="clear" w:color="auto" w:fill="auto"/>
            <w:vAlign w:val="center"/>
            <w:hideMark/>
          </w:tcPr>
          <w:p w14:paraId="76080DA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Fuel</w:t>
            </w:r>
          </w:p>
        </w:tc>
        <w:tc>
          <w:tcPr>
            <w:tcW w:w="1479" w:type="dxa"/>
            <w:shd w:val="clear" w:color="auto" w:fill="auto"/>
            <w:vAlign w:val="center"/>
            <w:hideMark/>
          </w:tcPr>
          <w:p w14:paraId="2E00217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5610F12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1.200.000,00</w:t>
            </w:r>
          </w:p>
        </w:tc>
        <w:tc>
          <w:tcPr>
            <w:tcW w:w="1802" w:type="dxa"/>
            <w:shd w:val="clear" w:color="auto" w:fill="auto"/>
            <w:vAlign w:val="center"/>
            <w:hideMark/>
          </w:tcPr>
          <w:p w14:paraId="630048F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16,06</w:t>
            </w:r>
          </w:p>
        </w:tc>
      </w:tr>
      <w:tr w:rsidR="00B37F05" w:rsidRPr="00D06E2E" w14:paraId="5E8BCD57" w14:textId="77777777" w:rsidTr="00B37F05">
        <w:trPr>
          <w:trHeight w:val="315"/>
          <w:jc w:val="center"/>
        </w:trPr>
        <w:tc>
          <w:tcPr>
            <w:tcW w:w="1148" w:type="dxa"/>
            <w:shd w:val="clear" w:color="auto" w:fill="auto"/>
            <w:vAlign w:val="center"/>
            <w:hideMark/>
          </w:tcPr>
          <w:p w14:paraId="169D82E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426412</w:t>
            </w:r>
          </w:p>
        </w:tc>
        <w:tc>
          <w:tcPr>
            <w:tcW w:w="2575" w:type="dxa"/>
            <w:shd w:val="clear" w:color="auto" w:fill="auto"/>
            <w:vAlign w:val="center"/>
            <w:hideMark/>
          </w:tcPr>
          <w:p w14:paraId="33B3B19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Diesel fuel</w:t>
            </w:r>
          </w:p>
        </w:tc>
        <w:tc>
          <w:tcPr>
            <w:tcW w:w="1479" w:type="dxa"/>
            <w:shd w:val="clear" w:color="auto" w:fill="auto"/>
            <w:vAlign w:val="center"/>
            <w:hideMark/>
          </w:tcPr>
          <w:p w14:paraId="0FB1716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2558846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1.043.000,00</w:t>
            </w:r>
          </w:p>
        </w:tc>
        <w:tc>
          <w:tcPr>
            <w:tcW w:w="1802" w:type="dxa"/>
            <w:shd w:val="clear" w:color="auto" w:fill="auto"/>
            <w:vAlign w:val="center"/>
            <w:hideMark/>
          </w:tcPr>
          <w:p w14:paraId="4FDCA3F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13,96</w:t>
            </w:r>
          </w:p>
        </w:tc>
      </w:tr>
      <w:tr w:rsidR="00B37F05" w:rsidRPr="00D06E2E" w14:paraId="0DDBA766" w14:textId="77777777" w:rsidTr="00B37F05">
        <w:trPr>
          <w:trHeight w:val="315"/>
          <w:jc w:val="center"/>
        </w:trPr>
        <w:tc>
          <w:tcPr>
            <w:tcW w:w="1148" w:type="dxa"/>
            <w:shd w:val="clear" w:color="auto" w:fill="auto"/>
            <w:vAlign w:val="center"/>
            <w:hideMark/>
          </w:tcPr>
          <w:p w14:paraId="345177C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426413</w:t>
            </w:r>
          </w:p>
        </w:tc>
        <w:tc>
          <w:tcPr>
            <w:tcW w:w="2575" w:type="dxa"/>
            <w:shd w:val="clear" w:color="auto" w:fill="auto"/>
            <w:vAlign w:val="center"/>
            <w:hideMark/>
          </w:tcPr>
          <w:p w14:paraId="346D83E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Oil and lubrication agents</w:t>
            </w:r>
          </w:p>
        </w:tc>
        <w:tc>
          <w:tcPr>
            <w:tcW w:w="1479" w:type="dxa"/>
            <w:shd w:val="clear" w:color="auto" w:fill="auto"/>
            <w:vAlign w:val="center"/>
            <w:hideMark/>
          </w:tcPr>
          <w:p w14:paraId="6869467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29C173D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1.201,20</w:t>
            </w:r>
          </w:p>
        </w:tc>
        <w:tc>
          <w:tcPr>
            <w:tcW w:w="1802" w:type="dxa"/>
            <w:shd w:val="clear" w:color="auto" w:fill="auto"/>
            <w:vAlign w:val="center"/>
            <w:hideMark/>
          </w:tcPr>
          <w:p w14:paraId="7D85B77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0,02</w:t>
            </w:r>
          </w:p>
        </w:tc>
      </w:tr>
      <w:tr w:rsidR="00B37F05" w:rsidRPr="00D06E2E" w14:paraId="66E4F989" w14:textId="77777777" w:rsidTr="00B37F05">
        <w:trPr>
          <w:trHeight w:val="555"/>
          <w:jc w:val="center"/>
        </w:trPr>
        <w:tc>
          <w:tcPr>
            <w:tcW w:w="1148" w:type="dxa"/>
            <w:shd w:val="clear" w:color="auto" w:fill="auto"/>
            <w:vAlign w:val="center"/>
            <w:hideMark/>
          </w:tcPr>
          <w:p w14:paraId="3EB1A7D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426491</w:t>
            </w:r>
          </w:p>
        </w:tc>
        <w:tc>
          <w:tcPr>
            <w:tcW w:w="2575" w:type="dxa"/>
            <w:shd w:val="clear" w:color="auto" w:fill="auto"/>
            <w:vAlign w:val="center"/>
            <w:hideMark/>
          </w:tcPr>
          <w:p w14:paraId="40805D9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material for means of transportation</w:t>
            </w:r>
          </w:p>
        </w:tc>
        <w:tc>
          <w:tcPr>
            <w:tcW w:w="1479" w:type="dxa"/>
            <w:shd w:val="clear" w:color="auto" w:fill="auto"/>
            <w:vAlign w:val="center"/>
            <w:hideMark/>
          </w:tcPr>
          <w:p w14:paraId="1792263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5CD1021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62.143,24</w:t>
            </w:r>
          </w:p>
        </w:tc>
        <w:tc>
          <w:tcPr>
            <w:tcW w:w="1802" w:type="dxa"/>
            <w:shd w:val="clear" w:color="auto" w:fill="auto"/>
            <w:vAlign w:val="center"/>
            <w:hideMark/>
          </w:tcPr>
          <w:p w14:paraId="59492A3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0,83</w:t>
            </w:r>
          </w:p>
        </w:tc>
      </w:tr>
      <w:tr w:rsidR="00B37F05" w:rsidRPr="00D06E2E" w14:paraId="4424E75A" w14:textId="77777777" w:rsidTr="00B37F05">
        <w:trPr>
          <w:trHeight w:val="555"/>
          <w:jc w:val="center"/>
        </w:trPr>
        <w:tc>
          <w:tcPr>
            <w:tcW w:w="1148" w:type="dxa"/>
            <w:shd w:val="clear" w:color="auto" w:fill="auto"/>
            <w:vAlign w:val="center"/>
            <w:hideMark/>
          </w:tcPr>
          <w:p w14:paraId="7945E52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426812</w:t>
            </w:r>
          </w:p>
        </w:tc>
        <w:tc>
          <w:tcPr>
            <w:tcW w:w="2575" w:type="dxa"/>
            <w:shd w:val="clear" w:color="auto" w:fill="auto"/>
            <w:vAlign w:val="center"/>
            <w:hideMark/>
          </w:tcPr>
          <w:p w14:paraId="0974974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Hygiene maintenance supplies</w:t>
            </w:r>
          </w:p>
        </w:tc>
        <w:tc>
          <w:tcPr>
            <w:tcW w:w="1479" w:type="dxa"/>
            <w:shd w:val="clear" w:color="auto" w:fill="auto"/>
            <w:vAlign w:val="center"/>
            <w:hideMark/>
          </w:tcPr>
          <w:p w14:paraId="58DB782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769D13F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14.147,52</w:t>
            </w:r>
          </w:p>
        </w:tc>
        <w:tc>
          <w:tcPr>
            <w:tcW w:w="1802" w:type="dxa"/>
            <w:shd w:val="clear" w:color="auto" w:fill="auto"/>
            <w:vAlign w:val="center"/>
            <w:hideMark/>
          </w:tcPr>
          <w:p w14:paraId="03147DA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0,19</w:t>
            </w:r>
          </w:p>
        </w:tc>
      </w:tr>
      <w:tr w:rsidR="00B37F05" w:rsidRPr="00D06E2E" w14:paraId="74B43BC6" w14:textId="77777777" w:rsidTr="00B37F05">
        <w:trPr>
          <w:trHeight w:val="315"/>
          <w:jc w:val="center"/>
        </w:trPr>
        <w:tc>
          <w:tcPr>
            <w:tcW w:w="1148" w:type="dxa"/>
            <w:shd w:val="clear" w:color="auto" w:fill="auto"/>
            <w:vAlign w:val="center"/>
            <w:hideMark/>
          </w:tcPr>
          <w:p w14:paraId="56CC3B5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426912</w:t>
            </w:r>
          </w:p>
        </w:tc>
        <w:tc>
          <w:tcPr>
            <w:tcW w:w="2575" w:type="dxa"/>
            <w:shd w:val="clear" w:color="auto" w:fill="auto"/>
            <w:vAlign w:val="center"/>
            <w:hideMark/>
          </w:tcPr>
          <w:p w14:paraId="740C782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Spare parts</w:t>
            </w:r>
          </w:p>
        </w:tc>
        <w:tc>
          <w:tcPr>
            <w:tcW w:w="1479" w:type="dxa"/>
            <w:shd w:val="clear" w:color="auto" w:fill="auto"/>
            <w:vAlign w:val="center"/>
            <w:hideMark/>
          </w:tcPr>
          <w:p w14:paraId="1D6B49D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7FB86F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290.416,80</w:t>
            </w:r>
          </w:p>
        </w:tc>
        <w:tc>
          <w:tcPr>
            <w:tcW w:w="1802" w:type="dxa"/>
            <w:shd w:val="clear" w:color="auto" w:fill="auto"/>
            <w:vAlign w:val="center"/>
            <w:hideMark/>
          </w:tcPr>
          <w:p w14:paraId="4775290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3,89</w:t>
            </w:r>
          </w:p>
        </w:tc>
      </w:tr>
      <w:tr w:rsidR="00B37F05" w:rsidRPr="00D06E2E" w14:paraId="251C575A" w14:textId="77777777" w:rsidTr="00B37F05">
        <w:trPr>
          <w:trHeight w:val="555"/>
          <w:jc w:val="center"/>
        </w:trPr>
        <w:tc>
          <w:tcPr>
            <w:tcW w:w="1148" w:type="dxa"/>
            <w:shd w:val="clear" w:color="auto" w:fill="auto"/>
            <w:vAlign w:val="center"/>
            <w:hideMark/>
          </w:tcPr>
          <w:p w14:paraId="4165FE4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426919</w:t>
            </w:r>
          </w:p>
        </w:tc>
        <w:tc>
          <w:tcPr>
            <w:tcW w:w="2575" w:type="dxa"/>
            <w:shd w:val="clear" w:color="auto" w:fill="auto"/>
            <w:vAlign w:val="center"/>
            <w:hideMark/>
          </w:tcPr>
          <w:p w14:paraId="00D90AF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Other material for specific purposes</w:t>
            </w:r>
          </w:p>
        </w:tc>
        <w:tc>
          <w:tcPr>
            <w:tcW w:w="1479" w:type="dxa"/>
            <w:shd w:val="clear" w:color="auto" w:fill="auto"/>
            <w:vAlign w:val="center"/>
            <w:hideMark/>
          </w:tcPr>
          <w:p w14:paraId="2186746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E2C88F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33.031,20</w:t>
            </w:r>
          </w:p>
        </w:tc>
        <w:tc>
          <w:tcPr>
            <w:tcW w:w="1802" w:type="dxa"/>
            <w:shd w:val="clear" w:color="auto" w:fill="auto"/>
            <w:vAlign w:val="center"/>
            <w:hideMark/>
          </w:tcPr>
          <w:p w14:paraId="4D8FEA4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0,44</w:t>
            </w:r>
          </w:p>
        </w:tc>
      </w:tr>
      <w:tr w:rsidR="00B37F05" w:rsidRPr="00D06E2E" w14:paraId="38C2DB91" w14:textId="77777777" w:rsidTr="00B37F05">
        <w:trPr>
          <w:trHeight w:val="615"/>
          <w:jc w:val="center"/>
        </w:trPr>
        <w:tc>
          <w:tcPr>
            <w:tcW w:w="1148" w:type="dxa"/>
            <w:shd w:val="clear" w:color="000000" w:fill="DAEEF3"/>
            <w:vAlign w:val="center"/>
            <w:hideMark/>
          </w:tcPr>
          <w:p w14:paraId="4B4FE732"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 426</w:t>
            </w:r>
          </w:p>
        </w:tc>
        <w:tc>
          <w:tcPr>
            <w:tcW w:w="2575" w:type="dxa"/>
            <w:shd w:val="clear" w:color="000000" w:fill="DAEEF3"/>
            <w:vAlign w:val="center"/>
            <w:hideMark/>
          </w:tcPr>
          <w:p w14:paraId="5365384A"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6D2D4187"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7.470.000,00</w:t>
            </w:r>
          </w:p>
        </w:tc>
        <w:tc>
          <w:tcPr>
            <w:tcW w:w="1816" w:type="dxa"/>
            <w:shd w:val="clear" w:color="000000" w:fill="DAEEF3"/>
            <w:vAlign w:val="center"/>
            <w:hideMark/>
          </w:tcPr>
          <w:p w14:paraId="7C37BF4A"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4.516.392,96</w:t>
            </w:r>
          </w:p>
        </w:tc>
        <w:tc>
          <w:tcPr>
            <w:tcW w:w="1802" w:type="dxa"/>
            <w:shd w:val="clear" w:color="000000" w:fill="DDEBF7"/>
            <w:vAlign w:val="center"/>
            <w:hideMark/>
          </w:tcPr>
          <w:p w14:paraId="01B285C7"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60,46</w:t>
            </w:r>
          </w:p>
        </w:tc>
      </w:tr>
      <w:tr w:rsidR="00B37F05" w:rsidRPr="00D06E2E" w14:paraId="4DC561BA" w14:textId="77777777" w:rsidTr="00B37F05">
        <w:trPr>
          <w:trHeight w:val="555"/>
          <w:jc w:val="center"/>
        </w:trPr>
        <w:tc>
          <w:tcPr>
            <w:tcW w:w="1148" w:type="dxa"/>
            <w:shd w:val="clear" w:color="auto" w:fill="auto"/>
            <w:vAlign w:val="center"/>
            <w:hideMark/>
          </w:tcPr>
          <w:p w14:paraId="266E0CF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462</w:t>
            </w:r>
          </w:p>
        </w:tc>
        <w:tc>
          <w:tcPr>
            <w:tcW w:w="2575" w:type="dxa"/>
            <w:shd w:val="clear" w:color="auto" w:fill="auto"/>
            <w:vAlign w:val="center"/>
            <w:hideMark/>
          </w:tcPr>
          <w:p w14:paraId="66F42E8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Subsidies to international organizations</w:t>
            </w:r>
          </w:p>
        </w:tc>
        <w:tc>
          <w:tcPr>
            <w:tcW w:w="1479" w:type="dxa"/>
            <w:shd w:val="clear" w:color="auto" w:fill="auto"/>
            <w:vAlign w:val="center"/>
            <w:hideMark/>
          </w:tcPr>
          <w:p w14:paraId="40AADAB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7595BC9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0C705DA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6EBD21F8" w14:textId="77777777" w:rsidTr="00B37F05">
        <w:trPr>
          <w:trHeight w:val="555"/>
          <w:jc w:val="center"/>
        </w:trPr>
        <w:tc>
          <w:tcPr>
            <w:tcW w:w="1148" w:type="dxa"/>
            <w:shd w:val="clear" w:color="auto" w:fill="auto"/>
            <w:vAlign w:val="center"/>
            <w:hideMark/>
          </w:tcPr>
          <w:p w14:paraId="2842EDC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462121</w:t>
            </w:r>
          </w:p>
        </w:tc>
        <w:tc>
          <w:tcPr>
            <w:tcW w:w="2575" w:type="dxa"/>
            <w:shd w:val="clear" w:color="auto" w:fill="auto"/>
            <w:vAlign w:val="center"/>
            <w:hideMark/>
          </w:tcPr>
          <w:p w14:paraId="2AA95AB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Current subsidies for international memberships</w:t>
            </w:r>
          </w:p>
        </w:tc>
        <w:tc>
          <w:tcPr>
            <w:tcW w:w="1479" w:type="dxa"/>
            <w:shd w:val="clear" w:color="auto" w:fill="auto"/>
            <w:vAlign w:val="center"/>
            <w:hideMark/>
          </w:tcPr>
          <w:p w14:paraId="3E08F8E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79410C54"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1.518.549,33</w:t>
            </w:r>
          </w:p>
        </w:tc>
        <w:tc>
          <w:tcPr>
            <w:tcW w:w="1802" w:type="dxa"/>
            <w:shd w:val="clear" w:color="auto" w:fill="auto"/>
            <w:vAlign w:val="center"/>
            <w:hideMark/>
          </w:tcPr>
          <w:p w14:paraId="4F82F9F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93,74</w:t>
            </w:r>
          </w:p>
        </w:tc>
      </w:tr>
      <w:tr w:rsidR="00B37F05" w:rsidRPr="00D06E2E" w14:paraId="62284258" w14:textId="77777777" w:rsidTr="00B37F05">
        <w:trPr>
          <w:trHeight w:val="615"/>
          <w:jc w:val="center"/>
        </w:trPr>
        <w:tc>
          <w:tcPr>
            <w:tcW w:w="1148" w:type="dxa"/>
            <w:shd w:val="clear" w:color="000000" w:fill="DAEEF3"/>
            <w:vAlign w:val="center"/>
            <w:hideMark/>
          </w:tcPr>
          <w:p w14:paraId="68CD16BC"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p w14:paraId="1EEE1D04"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462</w:t>
            </w:r>
          </w:p>
        </w:tc>
        <w:tc>
          <w:tcPr>
            <w:tcW w:w="2575" w:type="dxa"/>
            <w:shd w:val="clear" w:color="000000" w:fill="DAEEF3"/>
            <w:vAlign w:val="center"/>
            <w:hideMark/>
          </w:tcPr>
          <w:p w14:paraId="2FDBD974"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2031F70F"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1.620.000,00</w:t>
            </w:r>
          </w:p>
        </w:tc>
        <w:tc>
          <w:tcPr>
            <w:tcW w:w="1816" w:type="dxa"/>
            <w:shd w:val="clear" w:color="000000" w:fill="DAEEF3"/>
            <w:vAlign w:val="center"/>
            <w:hideMark/>
          </w:tcPr>
          <w:p w14:paraId="37DFAB9A"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1.518.549,33</w:t>
            </w:r>
          </w:p>
        </w:tc>
        <w:tc>
          <w:tcPr>
            <w:tcW w:w="1802" w:type="dxa"/>
            <w:shd w:val="clear" w:color="000000" w:fill="DDEBF7"/>
            <w:vAlign w:val="center"/>
            <w:hideMark/>
          </w:tcPr>
          <w:p w14:paraId="1AC712C8"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93,74</w:t>
            </w:r>
          </w:p>
        </w:tc>
      </w:tr>
      <w:tr w:rsidR="00B37F05" w:rsidRPr="00D06E2E" w14:paraId="03A20A7D" w14:textId="77777777" w:rsidTr="00B37F05">
        <w:trPr>
          <w:trHeight w:val="825"/>
          <w:jc w:val="center"/>
        </w:trPr>
        <w:tc>
          <w:tcPr>
            <w:tcW w:w="1148" w:type="dxa"/>
            <w:shd w:val="clear" w:color="auto" w:fill="auto"/>
            <w:vAlign w:val="center"/>
            <w:hideMark/>
          </w:tcPr>
          <w:p w14:paraId="3D8612F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485</w:t>
            </w:r>
          </w:p>
        </w:tc>
        <w:tc>
          <w:tcPr>
            <w:tcW w:w="2575" w:type="dxa"/>
            <w:shd w:val="clear" w:color="auto" w:fill="auto"/>
            <w:vAlign w:val="center"/>
            <w:hideMark/>
          </w:tcPr>
          <w:p w14:paraId="5B9193B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Damage compensation for injury or damage caused by public authorities</w:t>
            </w:r>
          </w:p>
        </w:tc>
        <w:tc>
          <w:tcPr>
            <w:tcW w:w="1479" w:type="dxa"/>
            <w:shd w:val="clear" w:color="auto" w:fill="auto"/>
            <w:vAlign w:val="center"/>
            <w:hideMark/>
          </w:tcPr>
          <w:p w14:paraId="7ADDEB5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2E994F9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4A8FA46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72C6D133" w14:textId="77777777" w:rsidTr="00B37F05">
        <w:trPr>
          <w:trHeight w:val="315"/>
          <w:jc w:val="center"/>
        </w:trPr>
        <w:tc>
          <w:tcPr>
            <w:tcW w:w="1148" w:type="dxa"/>
            <w:shd w:val="clear" w:color="auto" w:fill="auto"/>
            <w:vAlign w:val="center"/>
            <w:hideMark/>
          </w:tcPr>
          <w:p w14:paraId="7A790A7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485119</w:t>
            </w:r>
          </w:p>
        </w:tc>
        <w:tc>
          <w:tcPr>
            <w:tcW w:w="2575" w:type="dxa"/>
            <w:shd w:val="clear" w:color="auto" w:fill="auto"/>
            <w:vAlign w:val="center"/>
            <w:hideMark/>
          </w:tcPr>
          <w:p w14:paraId="1092714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Other damage compensations</w:t>
            </w:r>
          </w:p>
        </w:tc>
        <w:tc>
          <w:tcPr>
            <w:tcW w:w="1479" w:type="dxa"/>
            <w:shd w:val="clear" w:color="auto" w:fill="auto"/>
            <w:vAlign w:val="center"/>
            <w:hideMark/>
          </w:tcPr>
          <w:p w14:paraId="5D0FD38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4331F69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229.155,88</w:t>
            </w:r>
          </w:p>
        </w:tc>
        <w:tc>
          <w:tcPr>
            <w:tcW w:w="1802" w:type="dxa"/>
            <w:shd w:val="clear" w:color="auto" w:fill="auto"/>
            <w:vAlign w:val="center"/>
            <w:hideMark/>
          </w:tcPr>
          <w:p w14:paraId="6ECE134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80,41</w:t>
            </w:r>
          </w:p>
        </w:tc>
      </w:tr>
      <w:tr w:rsidR="00B37F05" w:rsidRPr="00D06E2E" w14:paraId="6464752D" w14:textId="77777777" w:rsidTr="00B37F05">
        <w:trPr>
          <w:trHeight w:val="615"/>
          <w:jc w:val="center"/>
        </w:trPr>
        <w:tc>
          <w:tcPr>
            <w:tcW w:w="1148" w:type="dxa"/>
            <w:shd w:val="clear" w:color="000000" w:fill="DAEEF3"/>
            <w:vAlign w:val="center"/>
            <w:hideMark/>
          </w:tcPr>
          <w:p w14:paraId="50549121"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p w14:paraId="575085B7"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485</w:t>
            </w:r>
          </w:p>
        </w:tc>
        <w:tc>
          <w:tcPr>
            <w:tcW w:w="2575" w:type="dxa"/>
            <w:shd w:val="clear" w:color="000000" w:fill="DAEEF3"/>
            <w:vAlign w:val="center"/>
            <w:hideMark/>
          </w:tcPr>
          <w:p w14:paraId="47269871"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2EB31486"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285.000,00</w:t>
            </w:r>
          </w:p>
        </w:tc>
        <w:tc>
          <w:tcPr>
            <w:tcW w:w="1816" w:type="dxa"/>
            <w:shd w:val="clear" w:color="000000" w:fill="DAEEF3"/>
            <w:vAlign w:val="center"/>
            <w:hideMark/>
          </w:tcPr>
          <w:p w14:paraId="27271A9E"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229.155,88</w:t>
            </w:r>
          </w:p>
        </w:tc>
        <w:tc>
          <w:tcPr>
            <w:tcW w:w="1802" w:type="dxa"/>
            <w:shd w:val="clear" w:color="000000" w:fill="DDEBF7"/>
            <w:vAlign w:val="center"/>
            <w:hideMark/>
          </w:tcPr>
          <w:p w14:paraId="2234F33F"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80,41</w:t>
            </w:r>
          </w:p>
        </w:tc>
      </w:tr>
      <w:tr w:rsidR="00B37F05" w:rsidRPr="00D06E2E" w14:paraId="6FCC688F" w14:textId="77777777" w:rsidTr="00B37F05">
        <w:trPr>
          <w:trHeight w:val="315"/>
          <w:jc w:val="center"/>
        </w:trPr>
        <w:tc>
          <w:tcPr>
            <w:tcW w:w="1148" w:type="dxa"/>
            <w:shd w:val="clear" w:color="auto" w:fill="auto"/>
            <w:vAlign w:val="center"/>
            <w:hideMark/>
          </w:tcPr>
          <w:p w14:paraId="7CF02F8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512</w:t>
            </w:r>
          </w:p>
        </w:tc>
        <w:tc>
          <w:tcPr>
            <w:tcW w:w="2575" w:type="dxa"/>
            <w:shd w:val="clear" w:color="auto" w:fill="auto"/>
            <w:hideMark/>
          </w:tcPr>
          <w:p w14:paraId="255BB192"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Machines and equipment</w:t>
            </w:r>
          </w:p>
        </w:tc>
        <w:tc>
          <w:tcPr>
            <w:tcW w:w="1479" w:type="dxa"/>
            <w:shd w:val="clear" w:color="auto" w:fill="auto"/>
            <w:vAlign w:val="center"/>
            <w:hideMark/>
          </w:tcPr>
          <w:p w14:paraId="49B806F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33F095F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2FB5E2D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22660735" w14:textId="77777777" w:rsidTr="00B37F05">
        <w:trPr>
          <w:trHeight w:val="315"/>
          <w:jc w:val="center"/>
        </w:trPr>
        <w:tc>
          <w:tcPr>
            <w:tcW w:w="1148" w:type="dxa"/>
            <w:shd w:val="clear" w:color="auto" w:fill="auto"/>
            <w:vAlign w:val="center"/>
            <w:hideMark/>
          </w:tcPr>
          <w:p w14:paraId="0FD42BF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512221</w:t>
            </w:r>
          </w:p>
        </w:tc>
        <w:tc>
          <w:tcPr>
            <w:tcW w:w="2575" w:type="dxa"/>
            <w:shd w:val="clear" w:color="auto" w:fill="auto"/>
            <w:hideMark/>
          </w:tcPr>
          <w:p w14:paraId="59A75980"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Computer equipment</w:t>
            </w:r>
          </w:p>
        </w:tc>
        <w:tc>
          <w:tcPr>
            <w:tcW w:w="1479" w:type="dxa"/>
            <w:shd w:val="clear" w:color="auto" w:fill="auto"/>
            <w:vAlign w:val="center"/>
            <w:hideMark/>
          </w:tcPr>
          <w:p w14:paraId="04217B3D"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138190A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1.089.360,00</w:t>
            </w:r>
          </w:p>
        </w:tc>
        <w:tc>
          <w:tcPr>
            <w:tcW w:w="1802" w:type="dxa"/>
            <w:shd w:val="clear" w:color="auto" w:fill="auto"/>
            <w:vAlign w:val="center"/>
            <w:hideMark/>
          </w:tcPr>
          <w:p w14:paraId="6C981B8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90,78</w:t>
            </w:r>
          </w:p>
        </w:tc>
      </w:tr>
      <w:tr w:rsidR="00B37F05" w:rsidRPr="00D06E2E" w14:paraId="10CB84C1" w14:textId="77777777" w:rsidTr="00B37F05">
        <w:trPr>
          <w:trHeight w:val="315"/>
          <w:jc w:val="center"/>
        </w:trPr>
        <w:tc>
          <w:tcPr>
            <w:tcW w:w="1148" w:type="dxa"/>
            <w:shd w:val="clear" w:color="auto" w:fill="auto"/>
            <w:vAlign w:val="center"/>
            <w:hideMark/>
          </w:tcPr>
          <w:p w14:paraId="3F2F300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512241</w:t>
            </w:r>
          </w:p>
        </w:tc>
        <w:tc>
          <w:tcPr>
            <w:tcW w:w="2575" w:type="dxa"/>
            <w:shd w:val="clear" w:color="auto" w:fill="auto"/>
            <w:hideMark/>
          </w:tcPr>
          <w:p w14:paraId="10526A17"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eastAsia="sr-Latn-RS"/>
              </w:rPr>
              <w:t>Electronic equipment</w:t>
            </w:r>
          </w:p>
        </w:tc>
        <w:tc>
          <w:tcPr>
            <w:tcW w:w="1479" w:type="dxa"/>
            <w:shd w:val="clear" w:color="auto" w:fill="auto"/>
            <w:vAlign w:val="center"/>
            <w:hideMark/>
          </w:tcPr>
          <w:p w14:paraId="44BCBD43"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17B58311"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108.599,00</w:t>
            </w:r>
          </w:p>
        </w:tc>
        <w:tc>
          <w:tcPr>
            <w:tcW w:w="1802" w:type="dxa"/>
            <w:shd w:val="clear" w:color="auto" w:fill="auto"/>
            <w:vAlign w:val="center"/>
            <w:hideMark/>
          </w:tcPr>
          <w:p w14:paraId="2971E0D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9,05</w:t>
            </w:r>
          </w:p>
        </w:tc>
      </w:tr>
      <w:tr w:rsidR="00B37F05" w:rsidRPr="00D06E2E" w14:paraId="5628BFF5" w14:textId="77777777" w:rsidTr="00B37F05">
        <w:trPr>
          <w:trHeight w:val="615"/>
          <w:jc w:val="center"/>
        </w:trPr>
        <w:tc>
          <w:tcPr>
            <w:tcW w:w="1148" w:type="dxa"/>
            <w:shd w:val="clear" w:color="000000" w:fill="DAEEF3"/>
            <w:vAlign w:val="center"/>
            <w:hideMark/>
          </w:tcPr>
          <w:p w14:paraId="6AB0A21F"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lastRenderedPageBreak/>
              <w:t>Total</w:t>
            </w:r>
          </w:p>
          <w:p w14:paraId="15488071"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xml:space="preserve"> 512</w:t>
            </w:r>
          </w:p>
        </w:tc>
        <w:tc>
          <w:tcPr>
            <w:tcW w:w="2575" w:type="dxa"/>
            <w:shd w:val="clear" w:color="000000" w:fill="DAEEF3"/>
            <w:vAlign w:val="center"/>
            <w:hideMark/>
          </w:tcPr>
          <w:p w14:paraId="19742839"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1837DCE4"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1.200.000,00</w:t>
            </w:r>
          </w:p>
        </w:tc>
        <w:tc>
          <w:tcPr>
            <w:tcW w:w="1816" w:type="dxa"/>
            <w:shd w:val="clear" w:color="000000" w:fill="DAEEF3"/>
            <w:vAlign w:val="center"/>
            <w:hideMark/>
          </w:tcPr>
          <w:p w14:paraId="3221C390"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1.197.959,00</w:t>
            </w:r>
          </w:p>
        </w:tc>
        <w:tc>
          <w:tcPr>
            <w:tcW w:w="1802" w:type="dxa"/>
            <w:shd w:val="clear" w:color="000000" w:fill="DDEBF7"/>
            <w:vAlign w:val="center"/>
            <w:hideMark/>
          </w:tcPr>
          <w:p w14:paraId="54582FA5"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99,83</w:t>
            </w:r>
          </w:p>
        </w:tc>
      </w:tr>
      <w:tr w:rsidR="00B37F05" w:rsidRPr="00D06E2E" w14:paraId="31BE55E1" w14:textId="77777777" w:rsidTr="00B37F05">
        <w:trPr>
          <w:trHeight w:val="315"/>
          <w:jc w:val="center"/>
        </w:trPr>
        <w:tc>
          <w:tcPr>
            <w:tcW w:w="1148" w:type="dxa"/>
            <w:shd w:val="clear" w:color="auto" w:fill="auto"/>
            <w:vAlign w:val="center"/>
            <w:hideMark/>
          </w:tcPr>
          <w:p w14:paraId="7458ECDF"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515</w:t>
            </w:r>
          </w:p>
        </w:tc>
        <w:tc>
          <w:tcPr>
            <w:tcW w:w="2575" w:type="dxa"/>
            <w:shd w:val="clear" w:color="auto" w:fill="auto"/>
            <w:vAlign w:val="center"/>
            <w:hideMark/>
          </w:tcPr>
          <w:p w14:paraId="1284232C"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Intangible assets</w:t>
            </w:r>
          </w:p>
        </w:tc>
        <w:tc>
          <w:tcPr>
            <w:tcW w:w="1479" w:type="dxa"/>
            <w:shd w:val="clear" w:color="auto" w:fill="auto"/>
            <w:vAlign w:val="center"/>
            <w:hideMark/>
          </w:tcPr>
          <w:p w14:paraId="724601B5"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02BC7BD6"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02" w:type="dxa"/>
            <w:shd w:val="clear" w:color="auto" w:fill="auto"/>
            <w:vAlign w:val="center"/>
            <w:hideMark/>
          </w:tcPr>
          <w:p w14:paraId="13E7769E"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r>
      <w:tr w:rsidR="00B37F05" w:rsidRPr="00D06E2E" w14:paraId="34B3E7D6" w14:textId="77777777" w:rsidTr="00B37F05">
        <w:trPr>
          <w:trHeight w:val="315"/>
          <w:jc w:val="center"/>
        </w:trPr>
        <w:tc>
          <w:tcPr>
            <w:tcW w:w="1148" w:type="dxa"/>
            <w:shd w:val="clear" w:color="auto" w:fill="auto"/>
            <w:vAlign w:val="center"/>
            <w:hideMark/>
          </w:tcPr>
          <w:p w14:paraId="6DF17858"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515111</w:t>
            </w:r>
          </w:p>
        </w:tc>
        <w:tc>
          <w:tcPr>
            <w:tcW w:w="2575" w:type="dxa"/>
            <w:shd w:val="clear" w:color="auto" w:fill="auto"/>
            <w:vAlign w:val="center"/>
            <w:hideMark/>
          </w:tcPr>
          <w:p w14:paraId="63A2BF7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Computer software</w:t>
            </w:r>
          </w:p>
        </w:tc>
        <w:tc>
          <w:tcPr>
            <w:tcW w:w="1479" w:type="dxa"/>
            <w:shd w:val="clear" w:color="auto" w:fill="auto"/>
            <w:vAlign w:val="center"/>
            <w:hideMark/>
          </w:tcPr>
          <w:p w14:paraId="7598A0BB"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 </w:t>
            </w:r>
          </w:p>
        </w:tc>
        <w:tc>
          <w:tcPr>
            <w:tcW w:w="1816" w:type="dxa"/>
            <w:shd w:val="clear" w:color="auto" w:fill="auto"/>
            <w:vAlign w:val="center"/>
            <w:hideMark/>
          </w:tcPr>
          <w:p w14:paraId="7B5B17F9"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124.341,60</w:t>
            </w:r>
          </w:p>
        </w:tc>
        <w:tc>
          <w:tcPr>
            <w:tcW w:w="1802" w:type="dxa"/>
            <w:shd w:val="clear" w:color="auto" w:fill="auto"/>
            <w:vAlign w:val="center"/>
            <w:hideMark/>
          </w:tcPr>
          <w:p w14:paraId="70B396FA" w14:textId="77777777" w:rsidR="00B37F05" w:rsidRPr="00D06E2E" w:rsidRDefault="00B37F05" w:rsidP="00B37F05">
            <w:pPr>
              <w:spacing w:after="0"/>
              <w:jc w:val="center"/>
              <w:rPr>
                <w:rFonts w:eastAsia="Times New Roman" w:cs="Calibri"/>
                <w:color w:val="000000"/>
                <w:sz w:val="20"/>
                <w:szCs w:val="20"/>
                <w:lang w:val="sr-Latn-RS"/>
              </w:rPr>
            </w:pPr>
            <w:r w:rsidRPr="00D06E2E">
              <w:rPr>
                <w:rFonts w:eastAsia="Times New Roman" w:cs="Calibri"/>
                <w:color w:val="000000"/>
                <w:sz w:val="20"/>
                <w:szCs w:val="20"/>
                <w:lang w:val="sr-Latn-RS"/>
              </w:rPr>
              <w:t>95,65</w:t>
            </w:r>
          </w:p>
        </w:tc>
      </w:tr>
      <w:tr w:rsidR="00B37F05" w:rsidRPr="00D06E2E" w14:paraId="1BDFAD54" w14:textId="77777777" w:rsidTr="00B37F05">
        <w:trPr>
          <w:trHeight w:val="615"/>
          <w:jc w:val="center"/>
        </w:trPr>
        <w:tc>
          <w:tcPr>
            <w:tcW w:w="1148" w:type="dxa"/>
            <w:shd w:val="clear" w:color="000000" w:fill="DAEEF3"/>
            <w:vAlign w:val="center"/>
            <w:hideMark/>
          </w:tcPr>
          <w:p w14:paraId="74D1CFAF"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p w14:paraId="30196FB3"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515</w:t>
            </w:r>
          </w:p>
        </w:tc>
        <w:tc>
          <w:tcPr>
            <w:tcW w:w="2575" w:type="dxa"/>
            <w:shd w:val="clear" w:color="000000" w:fill="DAEEF3"/>
            <w:vAlign w:val="center"/>
            <w:hideMark/>
          </w:tcPr>
          <w:p w14:paraId="5ADEFB12"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3752C199"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130.000,00</w:t>
            </w:r>
          </w:p>
        </w:tc>
        <w:tc>
          <w:tcPr>
            <w:tcW w:w="1816" w:type="dxa"/>
            <w:shd w:val="clear" w:color="000000" w:fill="DAEEF3"/>
            <w:vAlign w:val="center"/>
            <w:hideMark/>
          </w:tcPr>
          <w:p w14:paraId="7CD9DF2C"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124.341,60</w:t>
            </w:r>
          </w:p>
        </w:tc>
        <w:tc>
          <w:tcPr>
            <w:tcW w:w="1802" w:type="dxa"/>
            <w:shd w:val="clear" w:color="000000" w:fill="DDEBF7"/>
            <w:vAlign w:val="center"/>
            <w:hideMark/>
          </w:tcPr>
          <w:p w14:paraId="4D539DF5"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95,65</w:t>
            </w:r>
          </w:p>
        </w:tc>
      </w:tr>
      <w:tr w:rsidR="00B37F05" w:rsidRPr="00D06E2E" w14:paraId="234006C7" w14:textId="77777777" w:rsidTr="00B37F05">
        <w:trPr>
          <w:trHeight w:val="315"/>
          <w:jc w:val="center"/>
        </w:trPr>
        <w:tc>
          <w:tcPr>
            <w:tcW w:w="1148" w:type="dxa"/>
            <w:shd w:val="clear" w:color="000000" w:fill="DAEEF3"/>
            <w:vAlign w:val="center"/>
            <w:hideMark/>
          </w:tcPr>
          <w:p w14:paraId="6F092383"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TOTAL</w:t>
            </w:r>
          </w:p>
        </w:tc>
        <w:tc>
          <w:tcPr>
            <w:tcW w:w="2575" w:type="dxa"/>
            <w:shd w:val="clear" w:color="000000" w:fill="DAEEF3"/>
            <w:vAlign w:val="center"/>
            <w:hideMark/>
          </w:tcPr>
          <w:p w14:paraId="4CA45B0A"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 </w:t>
            </w:r>
          </w:p>
        </w:tc>
        <w:tc>
          <w:tcPr>
            <w:tcW w:w="1479" w:type="dxa"/>
            <w:shd w:val="clear" w:color="000000" w:fill="DAEEF3"/>
            <w:vAlign w:val="center"/>
            <w:hideMark/>
          </w:tcPr>
          <w:p w14:paraId="5845719D"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237.311.000,00</w:t>
            </w:r>
          </w:p>
        </w:tc>
        <w:tc>
          <w:tcPr>
            <w:tcW w:w="1816" w:type="dxa"/>
            <w:shd w:val="clear" w:color="000000" w:fill="DAEEF3"/>
            <w:vAlign w:val="center"/>
            <w:hideMark/>
          </w:tcPr>
          <w:p w14:paraId="7B246BD9"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219.745.046,56</w:t>
            </w:r>
          </w:p>
        </w:tc>
        <w:tc>
          <w:tcPr>
            <w:tcW w:w="1802" w:type="dxa"/>
            <w:shd w:val="clear" w:color="000000" w:fill="DDEBF7"/>
            <w:vAlign w:val="center"/>
            <w:hideMark/>
          </w:tcPr>
          <w:p w14:paraId="3F4A5F8A" w14:textId="77777777" w:rsidR="00B37F05" w:rsidRPr="00D06E2E" w:rsidRDefault="00B37F05" w:rsidP="00B37F05">
            <w:pPr>
              <w:spacing w:after="0"/>
              <w:jc w:val="center"/>
              <w:rPr>
                <w:rFonts w:eastAsia="Times New Roman" w:cs="Calibri"/>
                <w:b/>
                <w:bCs/>
                <w:color w:val="000000"/>
                <w:sz w:val="20"/>
                <w:szCs w:val="20"/>
                <w:lang w:val="sr-Latn-RS"/>
              </w:rPr>
            </w:pPr>
            <w:r w:rsidRPr="00D06E2E">
              <w:rPr>
                <w:rFonts w:eastAsia="Times New Roman" w:cs="Calibri"/>
                <w:b/>
                <w:bCs/>
                <w:color w:val="000000"/>
                <w:sz w:val="20"/>
                <w:szCs w:val="20"/>
                <w:lang w:val="sr-Latn-RS"/>
              </w:rPr>
              <w:t>92,60</w:t>
            </w:r>
          </w:p>
        </w:tc>
      </w:tr>
    </w:tbl>
    <w:p w14:paraId="6A50CB5E" w14:textId="77777777" w:rsidR="00B37F05" w:rsidRPr="00D06E2E" w:rsidRDefault="00B37F05" w:rsidP="00B37F05">
      <w:pPr>
        <w:rPr>
          <w:lang w:val="sr-Latn-RS"/>
        </w:rPr>
      </w:pPr>
    </w:p>
    <w:p w14:paraId="3896D580" w14:textId="77777777" w:rsidR="00B37F05" w:rsidRPr="00D06E2E" w:rsidRDefault="00B37F05" w:rsidP="00B37F05">
      <w:pPr>
        <w:rPr>
          <w:lang w:val="sr-Latn-RS"/>
        </w:rPr>
      </w:pPr>
    </w:p>
    <w:p w14:paraId="0D896F1D" w14:textId="77777777" w:rsidR="00B37F05" w:rsidRPr="00D06E2E" w:rsidRDefault="00B37F05" w:rsidP="00B37F05">
      <w:pPr>
        <w:rPr>
          <w:lang w:val="sr-Latn-RS"/>
        </w:rPr>
      </w:pPr>
    </w:p>
    <w:p w14:paraId="6C785651" w14:textId="77777777" w:rsidR="00B37F05" w:rsidRPr="00D06E2E" w:rsidRDefault="00B37F05" w:rsidP="00B37F05">
      <w:pPr>
        <w:rPr>
          <w:lang w:val="sr-Latn-RS"/>
        </w:rPr>
      </w:pPr>
    </w:p>
    <w:p w14:paraId="5F9456C3" w14:textId="77777777" w:rsidR="00B37F05" w:rsidRPr="00D06E2E" w:rsidRDefault="00B37F05" w:rsidP="00B37F05">
      <w:pPr>
        <w:rPr>
          <w:lang w:val="sr-Latn-RS"/>
        </w:rPr>
      </w:pPr>
    </w:p>
    <w:p w14:paraId="58D16210" w14:textId="77777777" w:rsidR="00B37F05" w:rsidRPr="00D06E2E" w:rsidRDefault="00B37F05" w:rsidP="00B37F05">
      <w:pPr>
        <w:rPr>
          <w:lang w:val="sr-Latn-RS"/>
        </w:rPr>
      </w:pPr>
    </w:p>
    <w:p w14:paraId="73ABD6E0" w14:textId="77777777" w:rsidR="00B37F05" w:rsidRPr="00D06E2E" w:rsidRDefault="00B37F05" w:rsidP="00B37F05">
      <w:pPr>
        <w:rPr>
          <w:lang w:val="sr-Latn-RS"/>
        </w:rPr>
      </w:pPr>
    </w:p>
    <w:p w14:paraId="225F5221" w14:textId="77777777" w:rsidR="00B37F05" w:rsidRPr="00D06E2E" w:rsidRDefault="00B37F05" w:rsidP="00B37F05">
      <w:pPr>
        <w:rPr>
          <w:lang w:val="sr-Latn-RS"/>
        </w:rPr>
      </w:pPr>
    </w:p>
    <w:p w14:paraId="3DDE6E1E" w14:textId="77777777" w:rsidR="00B37F05" w:rsidRPr="00D06E2E" w:rsidRDefault="00B37F05" w:rsidP="00B37F05">
      <w:pPr>
        <w:rPr>
          <w:lang w:val="sr-Latn-RS"/>
        </w:rPr>
      </w:pPr>
    </w:p>
    <w:p w14:paraId="19333C3C" w14:textId="77777777" w:rsidR="00B37F05" w:rsidRPr="00D06E2E" w:rsidRDefault="00B37F05" w:rsidP="00B37F05">
      <w:pPr>
        <w:rPr>
          <w:lang w:val="sr-Latn-RS"/>
        </w:rPr>
      </w:pPr>
    </w:p>
    <w:p w14:paraId="5D9A7A46" w14:textId="77777777" w:rsidR="00B37F05" w:rsidRPr="00D06E2E" w:rsidRDefault="00B37F05" w:rsidP="00B37F05">
      <w:pPr>
        <w:rPr>
          <w:lang w:val="sr-Latn-RS"/>
        </w:rPr>
      </w:pPr>
    </w:p>
    <w:p w14:paraId="0A51BD47" w14:textId="77777777" w:rsidR="00B37F05" w:rsidRPr="00D06E2E" w:rsidRDefault="00B37F05" w:rsidP="00B37F05">
      <w:pPr>
        <w:rPr>
          <w:lang w:val="sr-Latn-RS"/>
        </w:rPr>
      </w:pPr>
    </w:p>
    <w:p w14:paraId="7CD70B34" w14:textId="77777777" w:rsidR="00B37F05" w:rsidRPr="00D06E2E" w:rsidRDefault="00B37F05" w:rsidP="00B37F05">
      <w:pPr>
        <w:rPr>
          <w:lang w:val="sr-Latn-RS"/>
        </w:rPr>
      </w:pPr>
    </w:p>
    <w:p w14:paraId="60D5D5DB" w14:textId="77777777" w:rsidR="00B37F05" w:rsidRPr="00D06E2E" w:rsidRDefault="00B37F05" w:rsidP="00B37F05">
      <w:pPr>
        <w:rPr>
          <w:lang w:val="sr-Latn-RS"/>
        </w:rPr>
      </w:pPr>
    </w:p>
    <w:p w14:paraId="067A1817" w14:textId="77777777" w:rsidR="00B37F05" w:rsidRPr="00D06E2E" w:rsidRDefault="00B37F05" w:rsidP="00B37F05">
      <w:pPr>
        <w:rPr>
          <w:lang w:val="sr-Latn-RS"/>
        </w:rPr>
      </w:pPr>
    </w:p>
    <w:p w14:paraId="14FAE28E" w14:textId="77777777" w:rsidR="00B37F05" w:rsidRPr="00D06E2E" w:rsidRDefault="00B37F05" w:rsidP="00B37F05">
      <w:pPr>
        <w:rPr>
          <w:lang w:val="sr-Latn-RS"/>
        </w:rPr>
      </w:pPr>
    </w:p>
    <w:p w14:paraId="77D21DE6" w14:textId="77777777" w:rsidR="00B37F05" w:rsidRPr="00D06E2E" w:rsidRDefault="00B37F05" w:rsidP="00B37F05">
      <w:pPr>
        <w:rPr>
          <w:lang w:val="sr-Latn-RS"/>
        </w:rPr>
      </w:pPr>
    </w:p>
    <w:p w14:paraId="52D20939" w14:textId="77777777" w:rsidR="00B37F05" w:rsidRPr="00D06E2E" w:rsidRDefault="00B37F05" w:rsidP="00B37F05">
      <w:pPr>
        <w:rPr>
          <w:lang w:val="sr-Latn-RS"/>
        </w:rPr>
      </w:pPr>
    </w:p>
    <w:p w14:paraId="5EB8B588" w14:textId="77777777" w:rsidR="00B37F05" w:rsidRPr="00D06E2E" w:rsidRDefault="00B37F05" w:rsidP="00B37F05">
      <w:pPr>
        <w:rPr>
          <w:lang w:val="sr-Latn-RS"/>
        </w:rPr>
      </w:pPr>
    </w:p>
    <w:p w14:paraId="6F191CD6" w14:textId="77777777" w:rsidR="00B37F05" w:rsidRPr="00D06E2E" w:rsidRDefault="00B37F05" w:rsidP="00B37F05">
      <w:pPr>
        <w:rPr>
          <w:lang w:val="sr-Latn-RS"/>
        </w:rPr>
      </w:pPr>
    </w:p>
    <w:p w14:paraId="3174364E" w14:textId="77777777" w:rsidR="00B37F05" w:rsidRPr="00D06E2E" w:rsidRDefault="00B37F05" w:rsidP="00B37F05">
      <w:pPr>
        <w:rPr>
          <w:lang w:val="sr-Latn-RS"/>
        </w:rPr>
      </w:pPr>
    </w:p>
    <w:p w14:paraId="52540BDA" w14:textId="77777777" w:rsidR="00B37F05" w:rsidRPr="00D06E2E" w:rsidRDefault="00B37F05" w:rsidP="00B37F05">
      <w:pPr>
        <w:rPr>
          <w:lang w:val="sr-Latn-RS"/>
        </w:rPr>
      </w:pPr>
    </w:p>
    <w:p w14:paraId="7D5788E7" w14:textId="77777777" w:rsidR="00B37F05" w:rsidRPr="00D06E2E" w:rsidRDefault="00B37F05" w:rsidP="00B37F05">
      <w:pPr>
        <w:rPr>
          <w:lang w:val="sr-Latn-RS"/>
        </w:rPr>
      </w:pPr>
    </w:p>
    <w:p w14:paraId="222BF68A" w14:textId="77777777" w:rsidR="00B37F05" w:rsidRPr="00D06E2E" w:rsidRDefault="00B37F05" w:rsidP="00B37F05">
      <w:pPr>
        <w:spacing w:after="0"/>
        <w:jc w:val="left"/>
        <w:rPr>
          <w:lang w:val="sr-Latn-RS"/>
        </w:rPr>
      </w:pPr>
      <w:r w:rsidRPr="00D06E2E">
        <w:rPr>
          <w:lang w:val="sr-Latn-RS"/>
        </w:rPr>
        <w:br w:type="page"/>
      </w:r>
    </w:p>
    <w:p w14:paraId="0B9DBFE9" w14:textId="77777777" w:rsidR="00B37F05" w:rsidRPr="00D06E2E" w:rsidRDefault="00B37F05" w:rsidP="00B37F05">
      <w:pPr>
        <w:pStyle w:val="Heading1"/>
        <w:numPr>
          <w:ilvl w:val="0"/>
          <w:numId w:val="0"/>
        </w:numPr>
        <w:spacing w:before="0"/>
        <w:rPr>
          <w:szCs w:val="32"/>
          <w:lang w:val="sr-Latn-RS"/>
        </w:rPr>
      </w:pPr>
      <w:r w:rsidRPr="00D06E2E">
        <w:rPr>
          <w:caps w:val="0"/>
          <w:szCs w:val="32"/>
          <w:lang w:val="sr-Latn-RS"/>
        </w:rPr>
        <w:lastRenderedPageBreak/>
        <w:t>ANNEX III – HUMAN AND MATERIAL RESOURCES</w:t>
      </w:r>
    </w:p>
    <w:p w14:paraId="3DD814D4" w14:textId="77777777" w:rsidR="00B37F05" w:rsidRPr="00D06E2E" w:rsidRDefault="00B37F05" w:rsidP="00B37F05">
      <w:pPr>
        <w:rPr>
          <w:lang w:val="sr-Latn-RS"/>
        </w:rPr>
      </w:pPr>
    </w:p>
    <w:p w14:paraId="25A3D1EC" w14:textId="4500E6D2" w:rsidR="00B37F05" w:rsidRPr="00D06E2E" w:rsidRDefault="00B37F05" w:rsidP="00B37F05">
      <w:pPr>
        <w:rPr>
          <w:lang w:val="sr-Latn-RS"/>
        </w:rPr>
      </w:pPr>
      <w:r w:rsidRPr="00D06E2E">
        <w:rPr>
          <w:lang w:val="sr-Latn-RS"/>
        </w:rPr>
        <w:t>Pursuant to the Article 45, paragraph 1 of the Law on the Protector of Citizens, the Decision on the Education and Work of the Secretariat of the Protector of Citizens</w:t>
      </w:r>
      <w:r w:rsidRPr="00D06E2E">
        <w:rPr>
          <w:rStyle w:val="FootnoteReference"/>
          <w:lang w:val="sr-Latn-RS"/>
        </w:rPr>
        <w:footnoteReference w:id="292"/>
      </w:r>
      <w:r w:rsidRPr="00D06E2E">
        <w:rPr>
          <w:lang w:val="sr-Latn-RS"/>
        </w:rPr>
        <w:t xml:space="preserve"> established the Secretariat of the Protector of Citizens for the purpose of performing professional and administrative tasks of importance for the exercise of the competence of the Protector of Citizens.</w:t>
      </w:r>
    </w:p>
    <w:p w14:paraId="18B91A76" w14:textId="77777777" w:rsidR="00B37F05" w:rsidRPr="00D06E2E" w:rsidRDefault="00B37F05" w:rsidP="00B37F05">
      <w:pPr>
        <w:rPr>
          <w:lang w:val="sr-Latn-RS"/>
        </w:rPr>
      </w:pPr>
      <w:r w:rsidRPr="00D06E2E">
        <w:rPr>
          <w:lang w:val="sr-Latn-RS"/>
        </w:rPr>
        <w:t>As of December 31, 2023, there are a total of 71 employees working in the Secretariat of the Protector of Citizens, as follows: two civil servants in positions, 66 civil servants in executive positions and three deputies. Out of the mentioned number, eight civil servants are employed for a definite period of time.</w:t>
      </w:r>
    </w:p>
    <w:p w14:paraId="1038DE89" w14:textId="77777777" w:rsidR="00B37F05" w:rsidRPr="00D06E2E" w:rsidRDefault="00B37F05" w:rsidP="00B37F05">
      <w:pPr>
        <w:rPr>
          <w:lang w:val="sr-Latn-RS"/>
        </w:rPr>
      </w:pPr>
      <w:r w:rsidRPr="00D06E2E">
        <w:rPr>
          <w:lang w:val="sr-Latn-RS"/>
        </w:rPr>
        <w:t>There are 59 civil servants with university degree, 12 civil servants and officials with college degree, 58 employees are women and 13 are men.</w:t>
      </w:r>
    </w:p>
    <w:p w14:paraId="70BDF40D" w14:textId="77777777" w:rsidR="00B37F05" w:rsidRPr="00D06E2E" w:rsidRDefault="00B37F05" w:rsidP="00B37F05">
      <w:pPr>
        <w:rPr>
          <w:lang w:val="sr-Latn-RS"/>
        </w:rPr>
      </w:pPr>
      <w:r w:rsidRPr="00D06E2E">
        <w:rPr>
          <w:lang w:val="sr-Latn-RS"/>
        </w:rPr>
        <w:t>The number of employees in the Secretariat of the Protector of Citizens does not include the Protector of Citizens, Zoran Pašalić, M.Sc., nor his deputies: Jelena Stojanović, Nataša Tanjević, Ph.D., and Slobodan Tomić.</w:t>
      </w:r>
    </w:p>
    <w:p w14:paraId="42487F19" w14:textId="77777777" w:rsidR="00B37F05" w:rsidRPr="00D06E2E" w:rsidRDefault="00B37F05" w:rsidP="00B37F05">
      <w:pPr>
        <w:rPr>
          <w:lang w:val="sr-Latn-RS"/>
        </w:rPr>
      </w:pPr>
      <w:r w:rsidRPr="00D06E2E">
        <w:rPr>
          <w:lang w:val="sr-Latn-RS"/>
        </w:rPr>
        <w:t>In the following period, the Protector of Citizens will adopt a new Rulebook on the internal organization and systematization of workplaces in the Secretariat.</w:t>
      </w:r>
    </w:p>
    <w:p w14:paraId="7240BCF8" w14:textId="77777777" w:rsidR="00B37F05" w:rsidRPr="00D06E2E" w:rsidRDefault="00B37F05" w:rsidP="00B37F05">
      <w:pPr>
        <w:rPr>
          <w:lang w:val="sr-Latn-RS"/>
        </w:rPr>
      </w:pPr>
    </w:p>
    <w:p w14:paraId="389E5C99" w14:textId="77777777" w:rsidR="00B37F05" w:rsidRPr="00D06E2E" w:rsidRDefault="00B37F05" w:rsidP="00B37F05">
      <w:pPr>
        <w:rPr>
          <w:lang w:val="sr-Latn-RS"/>
        </w:rPr>
      </w:pPr>
    </w:p>
    <w:p w14:paraId="4A9181C1" w14:textId="77777777" w:rsidR="00B37F05" w:rsidRPr="00D06E2E" w:rsidRDefault="00B37F05" w:rsidP="00B37F05">
      <w:pPr>
        <w:jc w:val="left"/>
        <w:rPr>
          <w:b/>
          <w:lang w:val="sr-Latn-RS"/>
        </w:rPr>
      </w:pPr>
    </w:p>
    <w:sectPr w:rsidR="00B37F05" w:rsidRPr="00D06E2E" w:rsidSect="008530F2">
      <w:footerReference w:type="default" r:id="rId17"/>
      <w:footerReference w:type="first" r:id="rId18"/>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413B2" w14:textId="77777777" w:rsidR="00511C7C" w:rsidRDefault="00511C7C" w:rsidP="00671C01">
      <w:pPr>
        <w:spacing w:after="0"/>
      </w:pPr>
      <w:r>
        <w:separator/>
      </w:r>
    </w:p>
    <w:p w14:paraId="3AF4711A" w14:textId="77777777" w:rsidR="00511C7C" w:rsidRDefault="00511C7C"/>
    <w:p w14:paraId="4EA3B954" w14:textId="77777777" w:rsidR="00511C7C" w:rsidRDefault="00511C7C"/>
    <w:p w14:paraId="7A099EE8" w14:textId="77777777" w:rsidR="00511C7C" w:rsidRDefault="00511C7C"/>
    <w:p w14:paraId="5E2230DA" w14:textId="77777777" w:rsidR="00511C7C" w:rsidRDefault="00511C7C"/>
    <w:p w14:paraId="60B8FDB9" w14:textId="77777777" w:rsidR="00511C7C" w:rsidRDefault="00511C7C"/>
  </w:endnote>
  <w:endnote w:type="continuationSeparator" w:id="0">
    <w:p w14:paraId="4A939142" w14:textId="77777777" w:rsidR="00511C7C" w:rsidRDefault="00511C7C" w:rsidP="00671C01">
      <w:pPr>
        <w:spacing w:after="0"/>
      </w:pPr>
      <w:r>
        <w:continuationSeparator/>
      </w:r>
    </w:p>
    <w:p w14:paraId="1A38644D" w14:textId="77777777" w:rsidR="00511C7C" w:rsidRDefault="00511C7C"/>
    <w:p w14:paraId="006C90DA" w14:textId="77777777" w:rsidR="00511C7C" w:rsidRDefault="00511C7C"/>
    <w:p w14:paraId="5FFDBB7B" w14:textId="77777777" w:rsidR="00511C7C" w:rsidRDefault="00511C7C"/>
    <w:p w14:paraId="240E580B" w14:textId="77777777" w:rsidR="00511C7C" w:rsidRDefault="00511C7C"/>
    <w:p w14:paraId="555474B0" w14:textId="77777777" w:rsidR="00511C7C" w:rsidRDefault="00511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Resavska BG Sans">
    <w:altName w:val="Times New Roman"/>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7C0B" w14:textId="1E3CF30C" w:rsidR="00B37F05" w:rsidRDefault="00B37F05">
    <w:pPr>
      <w:pStyle w:val="Footer"/>
    </w:pPr>
  </w:p>
  <w:p w14:paraId="70722A74" w14:textId="56BB5A13" w:rsidR="00B37F05" w:rsidRPr="005E05EA" w:rsidRDefault="00B37F05" w:rsidP="005E0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062427"/>
      <w:docPartObj>
        <w:docPartGallery w:val="Page Numbers (Bottom of Page)"/>
        <w:docPartUnique/>
      </w:docPartObj>
    </w:sdtPr>
    <w:sdtEndPr>
      <w:rPr>
        <w:noProof/>
      </w:rPr>
    </w:sdtEndPr>
    <w:sdtContent>
      <w:p w14:paraId="5A925DB1" w14:textId="4DBF01A3" w:rsidR="00B37F05" w:rsidRDefault="00B37F05">
        <w:pPr>
          <w:pStyle w:val="Footer"/>
        </w:pPr>
        <w:r>
          <w:fldChar w:fldCharType="begin"/>
        </w:r>
        <w:r>
          <w:instrText xml:space="preserve"> PAGE   \* MERGEFORMAT </w:instrText>
        </w:r>
        <w:r>
          <w:fldChar w:fldCharType="separate"/>
        </w:r>
        <w:r w:rsidR="00A32DA6">
          <w:rPr>
            <w:noProof/>
          </w:rPr>
          <w:t>19</w:t>
        </w:r>
        <w:r>
          <w:rPr>
            <w:noProof/>
          </w:rPr>
          <w:fldChar w:fldCharType="end"/>
        </w:r>
      </w:p>
    </w:sdtContent>
  </w:sdt>
  <w:p w14:paraId="3C212B8A" w14:textId="77777777" w:rsidR="00B37F05" w:rsidRPr="005E05EA" w:rsidRDefault="00B37F05" w:rsidP="005E0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708300"/>
      <w:docPartObj>
        <w:docPartGallery w:val="Page Numbers (Bottom of Page)"/>
        <w:docPartUnique/>
      </w:docPartObj>
    </w:sdtPr>
    <w:sdtEndPr>
      <w:rPr>
        <w:noProof/>
      </w:rPr>
    </w:sdtEndPr>
    <w:sdtContent>
      <w:p w14:paraId="18AC0550" w14:textId="1086BDC8" w:rsidR="00B37F05" w:rsidRDefault="00B37F05">
        <w:pPr>
          <w:pStyle w:val="Footer"/>
        </w:pPr>
        <w:r>
          <w:fldChar w:fldCharType="begin"/>
        </w:r>
        <w:r>
          <w:instrText xml:space="preserve"> PAGE   \* MERGEFORMAT </w:instrText>
        </w:r>
        <w:r>
          <w:fldChar w:fldCharType="separate"/>
        </w:r>
        <w:r>
          <w:rPr>
            <w:noProof/>
          </w:rPr>
          <w:t>1</w:t>
        </w:r>
        <w:r>
          <w:rPr>
            <w:noProof/>
          </w:rPr>
          <w:fldChar w:fldCharType="end"/>
        </w:r>
      </w:p>
    </w:sdtContent>
  </w:sdt>
  <w:p w14:paraId="77870129" w14:textId="77777777" w:rsidR="00B37F05" w:rsidRDefault="00B37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45D8E" w14:textId="77777777" w:rsidR="00511C7C" w:rsidRDefault="00511C7C" w:rsidP="00671C01">
      <w:pPr>
        <w:spacing w:after="0"/>
      </w:pPr>
      <w:r>
        <w:separator/>
      </w:r>
    </w:p>
  </w:footnote>
  <w:footnote w:type="continuationSeparator" w:id="0">
    <w:p w14:paraId="1E6C6642" w14:textId="77777777" w:rsidR="00511C7C" w:rsidRDefault="00511C7C" w:rsidP="00671C01">
      <w:pPr>
        <w:spacing w:after="0"/>
      </w:pPr>
      <w:r>
        <w:continuationSeparator/>
      </w:r>
    </w:p>
  </w:footnote>
  <w:footnote w:type="continuationNotice" w:id="1">
    <w:p w14:paraId="54857E04" w14:textId="77777777" w:rsidR="00511C7C" w:rsidRPr="00D718FA" w:rsidRDefault="00511C7C" w:rsidP="00D718FA">
      <w:pPr>
        <w:pStyle w:val="Footer"/>
      </w:pPr>
    </w:p>
  </w:footnote>
  <w:footnote w:id="2">
    <w:p w14:paraId="1A442DF5" w14:textId="14CC23DB" w:rsidR="00B37F05" w:rsidRPr="00FC208A" w:rsidRDefault="00B37F05" w:rsidP="00FC208A">
      <w:pPr>
        <w:pStyle w:val="FootnoteText"/>
        <w:ind w:firstLine="0"/>
        <w:rPr>
          <w:lang w:val="sr-Cyrl-RS"/>
        </w:rPr>
      </w:pPr>
      <w:r>
        <w:rPr>
          <w:rStyle w:val="FootnoteReference"/>
        </w:rPr>
        <w:footnoteRef/>
      </w:r>
      <w:r>
        <w:t xml:space="preserve"> </w:t>
      </w:r>
      <w:r>
        <w:rPr>
          <w:lang w:val="en-US"/>
        </w:rPr>
        <w:t>All phrases expressed in the text in grammatical masculine gender refer to natural masculine and feminine gender of the persons it refers to</w:t>
      </w:r>
      <w:r>
        <w:t>.</w:t>
      </w:r>
    </w:p>
  </w:footnote>
  <w:footnote w:id="3">
    <w:p w14:paraId="7BD9FD9A" w14:textId="3ECBBC9B" w:rsidR="00B37F05" w:rsidRPr="00B84448" w:rsidRDefault="00B37F05" w:rsidP="00B84448">
      <w:pPr>
        <w:pStyle w:val="FootnoteText"/>
        <w:ind w:firstLine="0"/>
        <w:rPr>
          <w:lang w:val="sr-Cyrl-RS"/>
        </w:rPr>
      </w:pPr>
      <w:r>
        <w:rPr>
          <w:rStyle w:val="FootnoteReference"/>
        </w:rPr>
        <w:footnoteRef/>
      </w:r>
      <w:r>
        <w:t xml:space="preserve"> </w:t>
      </w:r>
      <w:r>
        <w:rPr>
          <w:lang w:val="en-US"/>
        </w:rPr>
        <w:t>“Official Gazette of RS”</w:t>
      </w:r>
      <w:r>
        <w:rPr>
          <w:lang w:val="sr-Cyrl-ME"/>
        </w:rPr>
        <w:t>, number</w:t>
      </w:r>
      <w:r w:rsidRPr="00E423FF">
        <w:rPr>
          <w:lang w:val="sr-Cyrl-ME"/>
        </w:rPr>
        <w:t xml:space="preserve"> 52/21.</w:t>
      </w:r>
      <w:r w:rsidRPr="00E423FF">
        <w:t xml:space="preserve"> </w:t>
      </w:r>
      <w:r>
        <w:rPr>
          <w:lang w:val="en-US"/>
        </w:rPr>
        <w:t xml:space="preserve">The Law on Gender Equality was adopted and came into force on June 1, 2021 with the exception of the provisions included in Article 77 of the mentioned Law which start to be applied as of January 1, 2024. </w:t>
      </w:r>
    </w:p>
  </w:footnote>
  <w:footnote w:id="4">
    <w:p w14:paraId="2097F7CE" w14:textId="769952A7" w:rsidR="00B37F05" w:rsidRPr="0037241E" w:rsidRDefault="00B37F05" w:rsidP="0037241E">
      <w:pPr>
        <w:pStyle w:val="FootnoteText"/>
        <w:ind w:firstLine="0"/>
        <w:rPr>
          <w:lang w:val="sr-Cyrl-RS"/>
        </w:rPr>
      </w:pPr>
      <w:r>
        <w:rPr>
          <w:rStyle w:val="FootnoteReference"/>
        </w:rPr>
        <w:footnoteRef/>
      </w:r>
      <w:r>
        <w:t xml:space="preserve"> </w:t>
      </w:r>
      <w:r>
        <w:rPr>
          <w:lang w:val="en-US"/>
        </w:rPr>
        <w:t>Available at</w:t>
      </w:r>
      <w:r w:rsidRPr="00E423FF">
        <w:rPr>
          <w:lang w:val="sr-Cyrl-RS"/>
        </w:rPr>
        <w:t xml:space="preserve">: </w:t>
      </w:r>
      <w:hyperlink r:id="rId1" w:history="1">
        <w:r w:rsidRPr="00C06B30">
          <w:rPr>
            <w:rStyle w:val="Hyperlink"/>
          </w:rPr>
          <w:t>https://www.ombudsman.rs/index.php/2011-12-11-11-34-45/7860-n-pl-c-ni-ucni-r-d-sn-v-z-s-v-riv-nj-pr-v-n-zdr-vs-v-n-sigur-nj</w:t>
        </w:r>
      </w:hyperlink>
      <w:r>
        <w:rPr>
          <w:lang w:val="en-US"/>
        </w:rPr>
        <w:t>.</w:t>
      </w:r>
    </w:p>
  </w:footnote>
  <w:footnote w:id="5">
    <w:p w14:paraId="5D01693C" w14:textId="125249D0" w:rsidR="00B37F05" w:rsidRPr="00D72A22" w:rsidRDefault="00B37F05" w:rsidP="00D72A22">
      <w:pPr>
        <w:pStyle w:val="FootnoteText"/>
        <w:ind w:firstLine="0"/>
        <w:rPr>
          <w:lang w:val="sr-Cyrl-RS"/>
        </w:rPr>
      </w:pPr>
      <w:r>
        <w:rPr>
          <w:rStyle w:val="FootnoteReference"/>
        </w:rPr>
        <w:footnoteRef/>
      </w:r>
      <w:r>
        <w:t xml:space="preserve"> </w:t>
      </w:r>
      <w:r>
        <w:rPr>
          <w:lang w:val="en-US"/>
        </w:rPr>
        <w:t>Available at</w:t>
      </w:r>
      <w:r w:rsidRPr="00E423FF">
        <w:rPr>
          <w:lang w:val="sr-Cyrl-ME"/>
        </w:rPr>
        <w:t xml:space="preserve">: </w:t>
      </w:r>
      <w:hyperlink r:id="rId2" w:history="1">
        <w:r w:rsidRPr="00E423FF">
          <w:rPr>
            <w:rStyle w:val="Hyperlink"/>
            <w:lang w:val="sr-Cyrl-ME"/>
          </w:rPr>
          <w:t>https://www.srbija.gov.rs/dokument/45678/strategije-programi-planovi-.php</w:t>
        </w:r>
      </w:hyperlink>
      <w:r w:rsidRPr="00E423FF">
        <w:rPr>
          <w:rStyle w:val="Hyperlink"/>
          <w:lang w:val="sr-Cyrl-ME"/>
        </w:rPr>
        <w:t>.</w:t>
      </w:r>
    </w:p>
  </w:footnote>
  <w:footnote w:id="6">
    <w:p w14:paraId="2E6B951C" w14:textId="4722366D" w:rsidR="00B37F05" w:rsidRPr="00B810D4" w:rsidRDefault="00B37F05" w:rsidP="00B810D4">
      <w:pPr>
        <w:pStyle w:val="FootnoteText"/>
        <w:ind w:firstLine="0"/>
        <w:rPr>
          <w:lang w:val="sr-Cyrl-RS"/>
        </w:rPr>
      </w:pPr>
      <w:r>
        <w:rPr>
          <w:rStyle w:val="FootnoteReference"/>
        </w:rPr>
        <w:footnoteRef/>
      </w:r>
      <w:r>
        <w:t xml:space="preserve"> </w:t>
      </w:r>
      <w:r>
        <w:rPr>
          <w:lang w:val="en-US"/>
        </w:rPr>
        <w:t>The prescribed deadline for the adoption of the first Action Plan for the implementation of the Strategy for the period from 2021 to 2023 is 90 days since the day of the adoption of this strategic document</w:t>
      </w:r>
      <w:r w:rsidRPr="00E423FF">
        <w:rPr>
          <w:lang w:val="sr-Cyrl-RS"/>
        </w:rPr>
        <w:t xml:space="preserve">. </w:t>
      </w:r>
      <w:r w:rsidRPr="00E423FF">
        <w:t xml:space="preserve"> </w:t>
      </w:r>
    </w:p>
  </w:footnote>
  <w:footnote w:id="7">
    <w:p w14:paraId="3E7F8D98" w14:textId="475572E2" w:rsidR="00B37F05" w:rsidRPr="00C15021" w:rsidRDefault="00B37F05" w:rsidP="00C15021">
      <w:pPr>
        <w:pStyle w:val="FootnoteText"/>
        <w:ind w:firstLine="0"/>
        <w:rPr>
          <w:lang w:val="sr-Cyrl-RS"/>
        </w:rPr>
      </w:pPr>
      <w:r>
        <w:rPr>
          <w:rStyle w:val="FootnoteReference"/>
        </w:rPr>
        <w:footnoteRef/>
      </w:r>
      <w:r>
        <w:t xml:space="preserve"> </w:t>
      </w:r>
      <w:r>
        <w:rPr>
          <w:lang w:val="en-US"/>
        </w:rPr>
        <w:t>The Protector of Citizens even in 2011 issued to the Ministry of Justice the Initiative for amendment to the Criminal Code</w:t>
      </w:r>
      <w:r w:rsidRPr="00E423FF">
        <w:rPr>
          <w:lang w:val="sr-Cyrl-ME"/>
        </w:rPr>
        <w:t>.</w:t>
      </w:r>
    </w:p>
  </w:footnote>
  <w:footnote w:id="8">
    <w:p w14:paraId="463A3D29" w14:textId="177F25BF" w:rsidR="00B37F05" w:rsidRPr="00C15021" w:rsidRDefault="00B37F05" w:rsidP="00C15021">
      <w:pPr>
        <w:pStyle w:val="FootnoteText"/>
        <w:ind w:firstLine="0"/>
        <w:rPr>
          <w:lang w:val="sr-Cyrl-RS"/>
        </w:rPr>
      </w:pPr>
      <w:r>
        <w:rPr>
          <w:rStyle w:val="FootnoteReference"/>
        </w:rPr>
        <w:footnoteRef/>
      </w:r>
      <w:r>
        <w:t xml:space="preserve"> </w:t>
      </w:r>
      <w:r>
        <w:rPr>
          <w:lang w:val="en-US"/>
        </w:rPr>
        <w:t>“Official Gazette of RS”</w:t>
      </w:r>
      <w:r w:rsidR="00407CD4">
        <w:rPr>
          <w:bCs/>
          <w:lang w:val="sr-Cyrl-ME"/>
        </w:rPr>
        <w:t xml:space="preserve">, </w:t>
      </w:r>
      <w:r w:rsidR="00407CD4">
        <w:rPr>
          <w:bCs/>
          <w:lang w:val="en-US"/>
        </w:rPr>
        <w:t>N</w:t>
      </w:r>
      <w:r>
        <w:rPr>
          <w:bCs/>
          <w:lang w:val="sr-Cyrl-ME"/>
        </w:rPr>
        <w:t>o</w:t>
      </w:r>
      <w:r w:rsidRPr="00E423FF">
        <w:rPr>
          <w:bCs/>
          <w:lang w:val="sr-Cyrl-ME"/>
        </w:rPr>
        <w:t xml:space="preserve">. 85/05, 88/05 – </w:t>
      </w:r>
      <w:r>
        <w:rPr>
          <w:bCs/>
          <w:lang w:val="en-US"/>
        </w:rPr>
        <w:t>corr</w:t>
      </w:r>
      <w:r w:rsidRPr="00E423FF">
        <w:rPr>
          <w:bCs/>
          <w:lang w:val="sr-Cyrl-ME"/>
        </w:rPr>
        <w:t xml:space="preserve">., 107/05 - </w:t>
      </w:r>
      <w:r>
        <w:rPr>
          <w:bCs/>
          <w:lang w:val="en-US"/>
        </w:rPr>
        <w:t>corr</w:t>
      </w:r>
      <w:r w:rsidRPr="00E423FF">
        <w:rPr>
          <w:bCs/>
          <w:lang w:val="sr-Cyrl-ME"/>
        </w:rPr>
        <w:t>., 72/09, 111/09,</w:t>
      </w:r>
      <w:r>
        <w:rPr>
          <w:bCs/>
          <w:lang w:val="sr-Cyrl-ME"/>
        </w:rPr>
        <w:t xml:space="preserve"> 121/12, 104/13, 108/14, 94/16 and</w:t>
      </w:r>
      <w:r w:rsidRPr="00E423FF">
        <w:rPr>
          <w:bCs/>
          <w:lang w:val="sr-Cyrl-ME"/>
        </w:rPr>
        <w:t xml:space="preserve"> 35/19.</w:t>
      </w:r>
    </w:p>
  </w:footnote>
  <w:footnote w:id="9">
    <w:p w14:paraId="2C6C06E1" w14:textId="3A3CDB7B" w:rsidR="00B37F05" w:rsidRPr="00D72A22" w:rsidRDefault="00B37F05" w:rsidP="00D72A22">
      <w:pPr>
        <w:pStyle w:val="FootnoteText"/>
        <w:ind w:firstLine="0"/>
        <w:rPr>
          <w:lang w:val="sr-Cyrl-RS"/>
        </w:rPr>
      </w:pPr>
      <w:r>
        <w:rPr>
          <w:rStyle w:val="FootnoteReference"/>
        </w:rPr>
        <w:footnoteRef/>
      </w:r>
      <w:r>
        <w:t xml:space="preserve"> </w:t>
      </w:r>
      <w:r w:rsidR="00407CD4">
        <w:rPr>
          <w:lang w:val="en-US"/>
        </w:rPr>
        <w:t>“Official Gazette of RS”, N</w:t>
      </w:r>
      <w:r>
        <w:rPr>
          <w:lang w:val="en-US"/>
        </w:rPr>
        <w:t xml:space="preserve">o. </w:t>
      </w:r>
      <w:r>
        <w:rPr>
          <w:lang w:val="sr-Cyrl-ME"/>
        </w:rPr>
        <w:t xml:space="preserve">113/17, 50/18, 46/21 – </w:t>
      </w:r>
      <w:r>
        <w:rPr>
          <w:lang w:val="en-US"/>
        </w:rPr>
        <w:t>CC decision</w:t>
      </w:r>
      <w:r>
        <w:rPr>
          <w:lang w:val="sr-Cyrl-ME"/>
        </w:rPr>
        <w:t xml:space="preserve">, 51/21 – </w:t>
      </w:r>
      <w:r>
        <w:rPr>
          <w:lang w:val="en-US"/>
        </w:rPr>
        <w:t>CC decision</w:t>
      </w:r>
      <w:r>
        <w:rPr>
          <w:lang w:val="sr-Cyrl-ME"/>
        </w:rPr>
        <w:t xml:space="preserve">, 53/21 – </w:t>
      </w:r>
      <w:r>
        <w:rPr>
          <w:lang w:val="en-US"/>
        </w:rPr>
        <w:t>CC decision</w:t>
      </w:r>
      <w:r>
        <w:rPr>
          <w:lang w:val="sr-Cyrl-ME"/>
        </w:rPr>
        <w:t>, 66/21, 130/</w:t>
      </w:r>
      <w:r w:rsidRPr="00E423FF">
        <w:rPr>
          <w:lang w:val="sr-Cyrl-ME"/>
        </w:rPr>
        <w:t>21, 43/</w:t>
      </w:r>
      <w:r>
        <w:rPr>
          <w:lang w:val="sr-Cyrl-ME"/>
        </w:rPr>
        <w:t xml:space="preserve">23 – </w:t>
      </w:r>
      <w:r>
        <w:rPr>
          <w:lang w:val="en-US"/>
        </w:rPr>
        <w:t>CC decision</w:t>
      </w:r>
      <w:r>
        <w:rPr>
          <w:lang w:val="sr-Cyrl-ME"/>
        </w:rPr>
        <w:t xml:space="preserve"> and 62/23.</w:t>
      </w:r>
    </w:p>
  </w:footnote>
  <w:footnote w:id="10">
    <w:p w14:paraId="364162E7" w14:textId="69EA0CCE" w:rsidR="00B37F05" w:rsidRPr="00D72A22" w:rsidRDefault="00B37F05" w:rsidP="00D72A22">
      <w:pPr>
        <w:pStyle w:val="FootnoteText"/>
        <w:ind w:firstLine="0"/>
        <w:rPr>
          <w:lang w:val="sr-Cyrl-RS"/>
        </w:rPr>
      </w:pPr>
      <w:r>
        <w:rPr>
          <w:rStyle w:val="FootnoteReference"/>
        </w:rPr>
        <w:footnoteRef/>
      </w:r>
      <w:r>
        <w:t xml:space="preserve"> </w:t>
      </w:r>
      <w:r>
        <w:rPr>
          <w:lang w:val="en-US"/>
        </w:rPr>
        <w:t>Available at</w:t>
      </w:r>
      <w:r w:rsidRPr="00E423FF">
        <w:t xml:space="preserve">:  </w:t>
      </w:r>
      <w:hyperlink r:id="rId3" w:history="1">
        <w:r w:rsidRPr="00C06B30">
          <w:rPr>
            <w:rStyle w:val="Hyperlink"/>
          </w:rPr>
          <w:t>https://ombudsman.rs/index.php/2011-12-25-10-17-15/2011-12-26-10-05-05/7673-n-dl-zni-rg-ni-uv-zili-ishlj-nj-z-sh-i-ni-gr-d-n-pri-d-n-sh-nju-n-v-ur-db-subv-nci-i-z-up-vinu-s-n-p-sn-vu-r-d-nj-d</w:t>
        </w:r>
      </w:hyperlink>
      <w:r>
        <w:rPr>
          <w:lang w:val="sr-Cyrl-RS"/>
        </w:rPr>
        <w:t>.</w:t>
      </w:r>
    </w:p>
  </w:footnote>
  <w:footnote w:id="11">
    <w:p w14:paraId="2487D8B3" w14:textId="4DC103BD" w:rsidR="00B37F05" w:rsidRPr="0037241E" w:rsidRDefault="00B37F05" w:rsidP="0037241E">
      <w:pPr>
        <w:pStyle w:val="FootnoteText"/>
        <w:ind w:firstLine="0"/>
        <w:rPr>
          <w:lang w:val="sr-Cyrl-RS"/>
        </w:rPr>
      </w:pPr>
      <w:r>
        <w:rPr>
          <w:rStyle w:val="FootnoteReference"/>
        </w:rPr>
        <w:footnoteRef/>
      </w:r>
      <w:r>
        <w:t xml:space="preserve"> </w:t>
      </w:r>
      <w:r>
        <w:rPr>
          <w:lang w:val="en-US"/>
        </w:rPr>
        <w:t>“Official Gazette of RS”</w:t>
      </w:r>
      <w:r>
        <w:t xml:space="preserve">, </w:t>
      </w:r>
      <w:r>
        <w:rPr>
          <w:lang w:val="en-US"/>
        </w:rPr>
        <w:t>number</w:t>
      </w:r>
      <w:r>
        <w:t xml:space="preserve"> 18/</w:t>
      </w:r>
      <w:r w:rsidRPr="00E423FF">
        <w:t>23.</w:t>
      </w:r>
    </w:p>
  </w:footnote>
  <w:footnote w:id="12">
    <w:p w14:paraId="17AB6B9E" w14:textId="1E315ED9" w:rsidR="00B37F05" w:rsidRPr="00E423FF" w:rsidRDefault="00B37F05" w:rsidP="00C15021">
      <w:pPr>
        <w:pStyle w:val="FootnoteText"/>
        <w:ind w:firstLine="0"/>
        <w:rPr>
          <w:u w:val="single"/>
          <w:lang w:val="en-US"/>
        </w:rPr>
      </w:pPr>
      <w:r>
        <w:rPr>
          <w:rStyle w:val="FootnoteReference"/>
        </w:rPr>
        <w:footnoteRef/>
      </w:r>
      <w:r>
        <w:t xml:space="preserve"> </w:t>
      </w:r>
      <w:r>
        <w:rPr>
          <w:lang w:val="en-US"/>
        </w:rPr>
        <w:t>Available at</w:t>
      </w:r>
      <w:r w:rsidRPr="00E423FF">
        <w:rPr>
          <w:lang w:val="sr-Cyrl-RS"/>
        </w:rPr>
        <w:t xml:space="preserve">: </w:t>
      </w:r>
      <w:hyperlink r:id="rId4" w:history="1">
        <w:r w:rsidRPr="00E423FF">
          <w:rPr>
            <w:rStyle w:val="Hyperlink"/>
            <w:lang w:val="en-US"/>
          </w:rPr>
          <w:t>https://www.ombudsman.rs/index.php/2011-12-25-10-17-15/2011-12-26-10-05-05/7681-n-dl-zni-rg-ni-pr-pus-ili-d-p-r-d-zr-vu-n-silj-sh-i-i-dv-g-dishnj-d-iz-vrshc</w:t>
        </w:r>
      </w:hyperlink>
      <w:r>
        <w:rPr>
          <w:rStyle w:val="Hyperlink"/>
          <w:lang w:val="en-US"/>
        </w:rPr>
        <w:t>.</w:t>
      </w:r>
    </w:p>
    <w:p w14:paraId="264C3AEE" w14:textId="77777777" w:rsidR="00B37F05" w:rsidRPr="00963CEC" w:rsidRDefault="00B37F05" w:rsidP="00C15021">
      <w:pPr>
        <w:pStyle w:val="FootnoteText"/>
        <w:ind w:firstLine="0"/>
        <w:rPr>
          <w:u w:val="single"/>
          <w:lang w:val="sr-Latn-RS"/>
        </w:rPr>
      </w:pPr>
      <w:hyperlink r:id="rId5" w:history="1">
        <w:r w:rsidRPr="00E423FF">
          <w:rPr>
            <w:rStyle w:val="Hyperlink"/>
            <w:lang w:val="sr-Cyrl-RS"/>
          </w:rPr>
          <w:t>https://www.ombudsman.rs/index.php/2011-12-25-10-17-15/2011-12-26-10-05-05/7808-p-sh-lic-p-r-bni-n-vi-pr-li-z-z-sh-i-u-z-n-d-p-r-dicn-g-n-silj</w:t>
        </w:r>
      </w:hyperlink>
      <w:r>
        <w:rPr>
          <w:rStyle w:val="Hyperlink"/>
          <w:lang w:val="sr-Latn-RS"/>
        </w:rPr>
        <w:t>.</w:t>
      </w:r>
    </w:p>
    <w:p w14:paraId="557D8E95" w14:textId="77777777" w:rsidR="00B37F05" w:rsidRPr="00E423FF" w:rsidRDefault="00B37F05" w:rsidP="00C15021">
      <w:pPr>
        <w:pStyle w:val="FootnoteText"/>
        <w:ind w:firstLine="0"/>
        <w:rPr>
          <w:lang w:val="sr-Cyrl-RS"/>
        </w:rPr>
      </w:pPr>
      <w:hyperlink r:id="rId6" w:history="1">
        <w:r w:rsidRPr="00E423FF">
          <w:rPr>
            <w:rStyle w:val="Hyperlink"/>
            <w:lang w:val="sr-Cyrl-RS"/>
          </w:rPr>
          <w:t>https://www.ombudsman.rs/index.php/2011-12-25-10-17-15/2011-12-26-10-05-05/7796-p-sh-lic-p-zv-gr-d-n-d-pri-v-sv-u-vrs-u-n-silj</w:t>
        </w:r>
      </w:hyperlink>
    </w:p>
    <w:p w14:paraId="4CD3C6F7" w14:textId="77777777" w:rsidR="00B37F05" w:rsidRPr="00E423FF" w:rsidRDefault="00B37F05" w:rsidP="00C15021">
      <w:pPr>
        <w:pStyle w:val="FootnoteText"/>
        <w:ind w:firstLine="0"/>
        <w:rPr>
          <w:lang w:val="sr-Cyrl-RS"/>
        </w:rPr>
      </w:pPr>
      <w:hyperlink r:id="rId7" w:history="1">
        <w:r w:rsidRPr="00E423FF">
          <w:rPr>
            <w:rStyle w:val="Hyperlink"/>
            <w:lang w:val="sr-Cyrl-RS"/>
          </w:rPr>
          <w:t>https://www.ombudsman.rs/index.php/2012-02-07-14-03-33/7790-n-dl-zni-rg-ni-d-pr-dl-z-iz-n-i-d-pun-z-n-spr-c-v-nju-n-silj-u-p-r-dici-i-b-zb-d-pri-nu-z-n-i-n-l-l-n-ucini-c-n-silj-u-p-r-dici</w:t>
        </w:r>
      </w:hyperlink>
    </w:p>
    <w:p w14:paraId="7384CD97" w14:textId="77777777" w:rsidR="00B37F05" w:rsidRPr="00E423FF" w:rsidRDefault="00B37F05" w:rsidP="00C15021">
      <w:pPr>
        <w:pStyle w:val="FootnoteText"/>
        <w:ind w:firstLine="0"/>
        <w:rPr>
          <w:lang w:val="sr-Cyrl-RS"/>
        </w:rPr>
      </w:pPr>
      <w:hyperlink r:id="rId8" w:history="1">
        <w:r w:rsidRPr="00E423FF">
          <w:rPr>
            <w:rStyle w:val="Hyperlink"/>
            <w:lang w:val="sr-Cyrl-RS"/>
          </w:rPr>
          <w:t>https://www.ombudsman.rs/index.php/2012-02-07-14-03-33/7923-pr-p-ru-z-z-sh-i-u-d-c-u-sluc-vi-p-r-dicn-g-n-silj</w:t>
        </w:r>
      </w:hyperlink>
    </w:p>
    <w:p w14:paraId="64775AA9" w14:textId="48D00E38" w:rsidR="00B37F05" w:rsidRPr="00C15021" w:rsidRDefault="00B37F05" w:rsidP="00C15021">
      <w:pPr>
        <w:pStyle w:val="FootnoteText"/>
        <w:ind w:firstLine="0"/>
        <w:rPr>
          <w:lang w:val="sr-Cyrl-RS"/>
        </w:rPr>
      </w:pPr>
      <w:hyperlink r:id="rId9" w:history="1">
        <w:r w:rsidRPr="00E423FF">
          <w:rPr>
            <w:rStyle w:val="Hyperlink"/>
            <w:lang w:val="sr-Cyrl-RS"/>
          </w:rPr>
          <w:t>https://www.ombudsman.rs/index.php/2012-02-07-14-03-33/7928-p-r-b-n-individu-lni-pl-n-p-drsh-z-sv-u-zr-vu-p-r-dicn-g-n-silj</w:t>
        </w:r>
      </w:hyperlink>
    </w:p>
  </w:footnote>
  <w:footnote w:id="13">
    <w:p w14:paraId="1B662C6A" w14:textId="5DD3C116" w:rsidR="00B37F05" w:rsidRPr="00B56C83" w:rsidRDefault="00B37F05" w:rsidP="00B56C83">
      <w:pPr>
        <w:pStyle w:val="FootnoteText"/>
        <w:ind w:firstLine="0"/>
        <w:rPr>
          <w:lang w:val="sr-Cyrl-RS"/>
        </w:rPr>
      </w:pPr>
      <w:r>
        <w:rPr>
          <w:rStyle w:val="FootnoteReference"/>
        </w:rPr>
        <w:footnoteRef/>
      </w:r>
      <w:r>
        <w:t xml:space="preserve"> </w:t>
      </w:r>
      <w:r>
        <w:rPr>
          <w:lang w:val="en-US"/>
        </w:rPr>
        <w:t>Available at</w:t>
      </w:r>
      <w:r w:rsidRPr="00E423FF">
        <w:t xml:space="preserve">: </w:t>
      </w:r>
      <w:hyperlink r:id="rId10" w:history="1">
        <w:r w:rsidRPr="00E423FF">
          <w:rPr>
            <w:rStyle w:val="Hyperlink"/>
          </w:rPr>
          <w:t>https://ombudsman.rs/attachments/article/6882/Misljenje.doc</w:t>
        </w:r>
      </w:hyperlink>
      <w:r>
        <w:rPr>
          <w:rStyle w:val="Hyperlink"/>
          <w:lang w:val="sr-Cyrl-RS"/>
        </w:rPr>
        <w:t>.</w:t>
      </w:r>
    </w:p>
  </w:footnote>
  <w:footnote w:id="14">
    <w:p w14:paraId="325FB17A" w14:textId="52DD8058" w:rsidR="00B37F05" w:rsidRPr="00B56C83" w:rsidRDefault="00B37F05" w:rsidP="00B56C83">
      <w:pPr>
        <w:pStyle w:val="FootnoteText"/>
        <w:ind w:firstLine="0"/>
        <w:rPr>
          <w:lang w:val="sr-Cyrl-RS"/>
        </w:rPr>
      </w:pPr>
      <w:r>
        <w:rPr>
          <w:rStyle w:val="FootnoteReference"/>
        </w:rPr>
        <w:footnoteRef/>
      </w:r>
      <w:r>
        <w:t xml:space="preserve"> </w:t>
      </w:r>
      <w:r>
        <w:rPr>
          <w:lang w:val="en-US"/>
        </w:rPr>
        <w:t>“Official Gazette of RS”</w:t>
      </w:r>
      <w:r w:rsidRPr="00E423FF">
        <w:rPr>
          <w:lang w:val="sr-Cyrl-RS"/>
        </w:rPr>
        <w:t xml:space="preserve">, </w:t>
      </w:r>
      <w:r w:rsidR="00407CD4">
        <w:rPr>
          <w:lang w:val="en-US"/>
        </w:rPr>
        <w:t>N</w:t>
      </w:r>
      <w:r>
        <w:rPr>
          <w:lang w:val="en-US"/>
        </w:rPr>
        <w:t>o</w:t>
      </w:r>
      <w:r w:rsidRPr="00E423FF">
        <w:rPr>
          <w:lang w:val="sr-Cyrl-RS"/>
        </w:rPr>
        <w:t>.</w:t>
      </w:r>
      <w:r w:rsidR="00407CD4">
        <w:rPr>
          <w:lang w:val="en-US"/>
        </w:rPr>
        <w:t xml:space="preserve"> </w:t>
      </w:r>
      <w:r w:rsidRPr="00E423FF">
        <w:t xml:space="preserve">6/16, 24/18 </w:t>
      </w:r>
      <w:r>
        <w:rPr>
          <w:lang w:val="sr-Latn-RS"/>
        </w:rPr>
        <w:t>and</w:t>
      </w:r>
      <w:r w:rsidRPr="00E423FF">
        <w:t xml:space="preserve"> 87/18</w:t>
      </w:r>
      <w:r w:rsidRPr="00E423FF">
        <w:rPr>
          <w:lang w:val="sr-Cyrl-RS"/>
        </w:rPr>
        <w:t>.</w:t>
      </w:r>
    </w:p>
  </w:footnote>
  <w:footnote w:id="15">
    <w:p w14:paraId="1F6A5889" w14:textId="004C1752" w:rsidR="00B37F05" w:rsidRPr="00B56C83" w:rsidRDefault="00B37F05" w:rsidP="00B56C83">
      <w:pPr>
        <w:pStyle w:val="FootnoteText"/>
        <w:ind w:firstLine="0"/>
        <w:rPr>
          <w:lang w:val="sr-Cyrl-RS"/>
        </w:rPr>
      </w:pPr>
      <w:r>
        <w:rPr>
          <w:rStyle w:val="FootnoteReference"/>
        </w:rPr>
        <w:footnoteRef/>
      </w:r>
      <w:r>
        <w:t xml:space="preserve"> </w:t>
      </w:r>
      <w:r>
        <w:rPr>
          <w:rFonts w:cs="Arial"/>
          <w:spacing w:val="3"/>
          <w:lang w:val="sr-Latn-RS"/>
        </w:rPr>
        <w:t>From the Regular Annual Report for 2019, which was repeated also in the reports for 2020, 2021 and 2022</w:t>
      </w:r>
      <w:r w:rsidRPr="00E423FF">
        <w:rPr>
          <w:rFonts w:cs="Arial"/>
          <w:spacing w:val="3"/>
          <w:lang w:val="sr-Cyrl-RS"/>
        </w:rPr>
        <w:t>.</w:t>
      </w:r>
    </w:p>
  </w:footnote>
  <w:footnote w:id="16">
    <w:p w14:paraId="39E8BDF6" w14:textId="05C438FE" w:rsidR="00B37F05" w:rsidRPr="00EF20D0" w:rsidRDefault="00B37F05" w:rsidP="002938A9">
      <w:pPr>
        <w:pStyle w:val="FootnoteText"/>
        <w:ind w:firstLine="0"/>
        <w:rPr>
          <w:lang w:val="sr-Cyrl-RS"/>
        </w:rPr>
      </w:pPr>
      <w:r w:rsidRPr="00BF4EA4">
        <w:rPr>
          <w:rStyle w:val="FootnoteReference"/>
          <w:lang w:val="sr-Cyrl-RS"/>
        </w:rPr>
        <w:footnoteRef/>
      </w:r>
      <w:r w:rsidRPr="00BF4EA4">
        <w:rPr>
          <w:lang w:val="sr-Cyrl-RS"/>
        </w:rPr>
        <w:t xml:space="preserve">  </w:t>
      </w:r>
      <w:r>
        <w:rPr>
          <w:lang w:val="sr-Latn-RS"/>
        </w:rPr>
        <w:t>Available at</w:t>
      </w:r>
      <w:r w:rsidRPr="00BF4EA4">
        <w:rPr>
          <w:lang w:val="sr-Cyrl-RS"/>
        </w:rPr>
        <w:t xml:space="preserve">: </w:t>
      </w:r>
      <w:hyperlink r:id="rId11" w:history="1">
        <w:r w:rsidRPr="00BF4EA4">
          <w:rPr>
            <w:color w:val="0563C1"/>
            <w:u w:val="single"/>
            <w:lang w:val="sr-Cyrl-RS"/>
          </w:rPr>
          <w:t>https://www.srbija.gov.rs/dokument/45678/strategije-programi-planovi-.php</w:t>
        </w:r>
      </w:hyperlink>
      <w:r w:rsidRPr="00EF20D0">
        <w:rPr>
          <w:color w:val="0563C1"/>
          <w:u w:val="single"/>
          <w:lang w:val="sr-Cyrl-RS"/>
        </w:rPr>
        <w:t xml:space="preserve">. </w:t>
      </w:r>
    </w:p>
  </w:footnote>
  <w:footnote w:id="17">
    <w:p w14:paraId="30CC6740" w14:textId="2AEE5027" w:rsidR="00B37F05" w:rsidRPr="00D92320" w:rsidRDefault="00B37F05" w:rsidP="00881054">
      <w:pPr>
        <w:pStyle w:val="FootnoteText"/>
        <w:ind w:firstLine="0"/>
        <w:rPr>
          <w:lang w:val="sr-Cyrl-RS"/>
        </w:rPr>
      </w:pPr>
      <w:r w:rsidRPr="00D92320">
        <w:rPr>
          <w:rStyle w:val="FootnoteReference"/>
        </w:rPr>
        <w:footnoteRef/>
      </w:r>
      <w:r w:rsidRPr="00D92320">
        <w:t xml:space="preserve"> </w:t>
      </w:r>
      <w:r>
        <w:rPr>
          <w:lang w:val="en-US"/>
        </w:rPr>
        <w:t>“Official Gazette of RS”</w:t>
      </w:r>
      <w:r w:rsidRPr="00D92320">
        <w:rPr>
          <w:lang w:val="sr-Cyrl-RS"/>
        </w:rPr>
        <w:t xml:space="preserve">, </w:t>
      </w:r>
      <w:r w:rsidR="00407CD4">
        <w:rPr>
          <w:lang w:val="sr-Latn-RS"/>
        </w:rPr>
        <w:t>N</w:t>
      </w:r>
      <w:r>
        <w:rPr>
          <w:lang w:val="sr-Latn-RS"/>
        </w:rPr>
        <w:t>o</w:t>
      </w:r>
      <w:r w:rsidRPr="00D92320">
        <w:rPr>
          <w:lang w:val="sr-Cyrl-RS"/>
        </w:rPr>
        <w:t xml:space="preserve">. 72/09, 81/09 - </w:t>
      </w:r>
      <w:r>
        <w:rPr>
          <w:lang w:val="sr-Latn-RS"/>
        </w:rPr>
        <w:t>corr</w:t>
      </w:r>
      <w:r>
        <w:rPr>
          <w:lang w:val="sr-Cyrl-RS"/>
        </w:rPr>
        <w:t>ection</w:t>
      </w:r>
      <w:r w:rsidRPr="00D92320">
        <w:rPr>
          <w:lang w:val="sr-Cyrl-RS"/>
        </w:rPr>
        <w:t xml:space="preserve">, 64/10 – </w:t>
      </w:r>
      <w:r>
        <w:rPr>
          <w:lang w:val="sr-Latn-RS"/>
        </w:rPr>
        <w:t>CC decision</w:t>
      </w:r>
      <w:r w:rsidRPr="00D92320">
        <w:rPr>
          <w:lang w:val="sr-Cyrl-RS"/>
        </w:rPr>
        <w:t xml:space="preserve">, 24/11, 121/12, 42/13 – </w:t>
      </w:r>
      <w:r>
        <w:rPr>
          <w:lang w:val="sr-Latn-RS"/>
        </w:rPr>
        <w:t>CC decision</w:t>
      </w:r>
      <w:r w:rsidRPr="00D92320">
        <w:rPr>
          <w:lang w:val="sr-Cyrl-RS"/>
        </w:rPr>
        <w:t xml:space="preserve">, 50/13 </w:t>
      </w:r>
      <w:r>
        <w:rPr>
          <w:lang w:val="sr-Cyrl-RS"/>
        </w:rPr>
        <w:t>–</w:t>
      </w:r>
      <w:r w:rsidRPr="00D92320">
        <w:rPr>
          <w:lang w:val="sr-Cyrl-RS"/>
        </w:rPr>
        <w:t xml:space="preserve"> </w:t>
      </w:r>
      <w:r>
        <w:rPr>
          <w:lang w:val="sr-Latn-RS"/>
        </w:rPr>
        <w:t>CC decision</w:t>
      </w:r>
      <w:r w:rsidRPr="00D92320">
        <w:rPr>
          <w:lang w:val="sr-Cyrl-RS"/>
        </w:rPr>
        <w:t xml:space="preserve">, 98/13 </w:t>
      </w:r>
      <w:r>
        <w:rPr>
          <w:lang w:val="sr-Cyrl-RS"/>
        </w:rPr>
        <w:t>–</w:t>
      </w:r>
      <w:r w:rsidRPr="00D92320">
        <w:rPr>
          <w:lang w:val="sr-Cyrl-RS"/>
        </w:rPr>
        <w:t xml:space="preserve"> </w:t>
      </w:r>
      <w:r>
        <w:rPr>
          <w:lang w:val="sr-Latn-RS"/>
        </w:rPr>
        <w:t>CC decision</w:t>
      </w:r>
      <w:r w:rsidRPr="00D92320">
        <w:rPr>
          <w:lang w:val="sr-Cyrl-RS"/>
        </w:rPr>
        <w:t xml:space="preserve"> , 132/14, 145/14, 83/18, 31/19, 37/19 – </w:t>
      </w:r>
      <w:r>
        <w:rPr>
          <w:lang w:val="sr-Latn-RS"/>
        </w:rPr>
        <w:t>state law</w:t>
      </w:r>
      <w:r w:rsidRPr="00D92320">
        <w:rPr>
          <w:lang w:val="sr-Cyrl-RS"/>
        </w:rPr>
        <w:t xml:space="preserve">, 9/20, 52/21 </w:t>
      </w:r>
      <w:r>
        <w:rPr>
          <w:lang w:val="sr-Latn-RS"/>
        </w:rPr>
        <w:t>and</w:t>
      </w:r>
      <w:r w:rsidRPr="00D92320">
        <w:rPr>
          <w:lang w:val="sr-Cyrl-RS"/>
        </w:rPr>
        <w:t xml:space="preserve"> 62/23. </w:t>
      </w:r>
    </w:p>
  </w:footnote>
  <w:footnote w:id="18">
    <w:p w14:paraId="2CA1D6C5" w14:textId="5A936C7B" w:rsidR="00B37F05" w:rsidRPr="00D92320" w:rsidRDefault="00B37F05" w:rsidP="002915E0">
      <w:pPr>
        <w:pStyle w:val="FootnoteText"/>
        <w:ind w:firstLine="0"/>
        <w:jc w:val="left"/>
        <w:rPr>
          <w:lang w:val="sr-Cyrl-RS"/>
        </w:rPr>
      </w:pPr>
      <w:r w:rsidRPr="00D92320">
        <w:rPr>
          <w:rStyle w:val="FootnoteReference"/>
          <w:lang w:val="sr-Cyrl-RS"/>
        </w:rPr>
        <w:footnoteRef/>
      </w:r>
      <w:r w:rsidRPr="00D92320">
        <w:rPr>
          <w:lang w:val="sr-Cyrl-RS"/>
        </w:rPr>
        <w:t xml:space="preserve"> </w:t>
      </w:r>
      <w:r>
        <w:rPr>
          <w:lang w:val="sr-Latn-RS"/>
        </w:rPr>
        <w:t>Concluding observations of the Committee for rights of persons with disabilities on the Initial report about Serbia, May 2016 available at</w:t>
      </w:r>
      <w:r>
        <w:rPr>
          <w:lang w:val="sr-Cyrl-RS"/>
        </w:rPr>
        <w:t xml:space="preserve">: </w:t>
      </w:r>
      <w:hyperlink r:id="rId12" w:history="1">
        <w:r w:rsidRPr="00D92320">
          <w:rPr>
            <w:rStyle w:val="Hyperlink"/>
            <w:lang w:val="sr-Cyrl-RS"/>
          </w:rPr>
          <w:t>https://ljudskaprava.gov.rs/sites/default/files/dokument_file/zakljucna_zapazanja_komiteta_za_prava_osoba_sa_invaliditetom_srb.pdf</w:t>
        </w:r>
      </w:hyperlink>
      <w:r w:rsidRPr="00D92320">
        <w:rPr>
          <w:rStyle w:val="Hyperlink"/>
          <w:lang w:val="sr-Cyrl-RS"/>
        </w:rPr>
        <w:t>.</w:t>
      </w:r>
      <w:r w:rsidRPr="00D92320">
        <w:rPr>
          <w:lang w:val="sr-Cyrl-RS"/>
        </w:rPr>
        <w:t xml:space="preserve">   </w:t>
      </w:r>
    </w:p>
  </w:footnote>
  <w:footnote w:id="19">
    <w:p w14:paraId="57B91935" w14:textId="3F056FFF" w:rsidR="00B37F05" w:rsidRPr="00D92320" w:rsidRDefault="00B37F05" w:rsidP="00881054">
      <w:pPr>
        <w:pStyle w:val="FootnoteText"/>
        <w:ind w:firstLine="0"/>
        <w:rPr>
          <w:lang w:val="sr-Cyrl-RS"/>
        </w:rPr>
      </w:pPr>
      <w:r w:rsidRPr="00D92320">
        <w:rPr>
          <w:rStyle w:val="FootnoteReference"/>
          <w:lang w:val="sr-Cyrl-RS"/>
        </w:rPr>
        <w:footnoteRef/>
      </w:r>
      <w:r w:rsidRPr="00D92320">
        <w:rPr>
          <w:lang w:val="sr-Cyrl-RS"/>
        </w:rPr>
        <w:t xml:space="preserve"> </w:t>
      </w:r>
      <w:r>
        <w:rPr>
          <w:lang w:val="en-US"/>
        </w:rPr>
        <w:t>“Official Gazette of RS”</w:t>
      </w:r>
      <w:r w:rsidR="00407CD4">
        <w:rPr>
          <w:bCs/>
          <w:lang w:val="sr-Cyrl-RS"/>
        </w:rPr>
        <w:t xml:space="preserve">, </w:t>
      </w:r>
      <w:r w:rsidR="00407CD4">
        <w:rPr>
          <w:bCs/>
          <w:lang w:val="en-US"/>
        </w:rPr>
        <w:t>N</w:t>
      </w:r>
      <w:r>
        <w:rPr>
          <w:bCs/>
          <w:lang w:val="sr-Cyrl-RS"/>
        </w:rPr>
        <w:t>o</w:t>
      </w:r>
      <w:r w:rsidRPr="00D92320">
        <w:rPr>
          <w:bCs/>
          <w:lang w:val="sr-Cyrl-RS"/>
        </w:rPr>
        <w:t xml:space="preserve">. </w:t>
      </w:r>
      <w:r w:rsidRPr="00D92320">
        <w:rPr>
          <w:lang w:val="sr-Cyrl-RS"/>
        </w:rPr>
        <w:t xml:space="preserve">18/05, 72/11 – </w:t>
      </w:r>
      <w:r>
        <w:rPr>
          <w:lang w:val="sr-Latn-RS"/>
        </w:rPr>
        <w:t>state law and</w:t>
      </w:r>
      <w:r w:rsidRPr="00D92320">
        <w:rPr>
          <w:lang w:val="sr-Cyrl-RS"/>
        </w:rPr>
        <w:t xml:space="preserve"> 6/15.</w:t>
      </w:r>
    </w:p>
  </w:footnote>
  <w:footnote w:id="20">
    <w:p w14:paraId="7308F7B1" w14:textId="231C80A5" w:rsidR="00B37F05" w:rsidRPr="00461588" w:rsidRDefault="00B37F05" w:rsidP="00881054">
      <w:pPr>
        <w:pStyle w:val="FootnoteText"/>
        <w:ind w:firstLine="0"/>
        <w:rPr>
          <w:lang w:val="sr-Latn-RS"/>
        </w:rPr>
      </w:pPr>
      <w:r w:rsidRPr="00D92320">
        <w:rPr>
          <w:rStyle w:val="FootnoteReference"/>
          <w:lang w:val="sr-Cyrl-RS"/>
        </w:rPr>
        <w:footnoteRef/>
      </w:r>
      <w:r w:rsidRPr="00D92320">
        <w:rPr>
          <w:lang w:val="sr-Cyrl-RS"/>
        </w:rPr>
        <w:t xml:space="preserve"> </w:t>
      </w:r>
      <w:r>
        <w:rPr>
          <w:lang w:val="en-US"/>
        </w:rPr>
        <w:t>“Official Gazette of RS”</w:t>
      </w:r>
      <w:r w:rsidRPr="00D92320">
        <w:rPr>
          <w:lang w:val="sr-Cyrl-RS"/>
        </w:rPr>
        <w:t xml:space="preserve">, </w:t>
      </w:r>
      <w:r>
        <w:rPr>
          <w:lang w:val="sr-Latn-RS"/>
        </w:rPr>
        <w:t>number</w:t>
      </w:r>
      <w:r w:rsidRPr="00D92320">
        <w:rPr>
          <w:lang w:val="sr-Cyrl-RS"/>
        </w:rPr>
        <w:t xml:space="preserve"> 126/21</w:t>
      </w:r>
      <w:r>
        <w:rPr>
          <w:lang w:val="sr-Latn-RS"/>
        </w:rPr>
        <w:t>.</w:t>
      </w:r>
    </w:p>
  </w:footnote>
  <w:footnote w:id="21">
    <w:p w14:paraId="3A1341A7" w14:textId="0EB712DC" w:rsidR="00B37F05" w:rsidRPr="00881054" w:rsidRDefault="00B37F05" w:rsidP="00881054">
      <w:pPr>
        <w:pStyle w:val="FootnoteText"/>
        <w:ind w:firstLine="0"/>
        <w:rPr>
          <w:lang w:val="sr-Latn-RS"/>
        </w:rPr>
      </w:pPr>
      <w:r w:rsidRPr="00D92320">
        <w:rPr>
          <w:rStyle w:val="FootnoteReference"/>
          <w:lang w:val="sr-Cyrl-RS"/>
        </w:rPr>
        <w:footnoteRef/>
      </w:r>
      <w:r w:rsidRPr="00D92320">
        <w:rPr>
          <w:lang w:val="sr-Cyrl-RS"/>
        </w:rPr>
        <w:t xml:space="preserve"> </w:t>
      </w:r>
      <w:r w:rsidR="00BA297C">
        <w:rPr>
          <w:lang w:val="en-US"/>
        </w:rPr>
        <w:t>No. of case</w:t>
      </w:r>
      <w:r w:rsidRPr="009A323B">
        <w:rPr>
          <w:lang w:val="sr-Cyrl-RS"/>
        </w:rPr>
        <w:t xml:space="preserve"> 324-132/22. </w:t>
      </w:r>
    </w:p>
  </w:footnote>
  <w:footnote w:id="22">
    <w:p w14:paraId="48E055CC" w14:textId="014688D0" w:rsidR="00B37F05" w:rsidRPr="00D92453" w:rsidRDefault="00B37F05" w:rsidP="00B7071C">
      <w:pPr>
        <w:pStyle w:val="FootnoteText"/>
        <w:ind w:firstLine="0"/>
        <w:rPr>
          <w:lang w:val="sr-Cyrl-RS"/>
        </w:rPr>
      </w:pPr>
      <w:r w:rsidRPr="00D92453">
        <w:rPr>
          <w:rStyle w:val="FootnoteReference"/>
          <w:lang w:val="sr-Cyrl-RS"/>
        </w:rPr>
        <w:footnoteRef/>
      </w:r>
      <w:r w:rsidRPr="00D92453">
        <w:rPr>
          <w:lang w:val="sr-Cyrl-RS"/>
        </w:rPr>
        <w:t xml:space="preserve"> </w:t>
      </w:r>
      <w:r>
        <w:rPr>
          <w:lang w:val="en-US"/>
        </w:rPr>
        <w:t>Available at</w:t>
      </w:r>
      <w:r w:rsidRPr="00D92453">
        <w:rPr>
          <w:lang w:val="sr-Cyrl-RS"/>
        </w:rPr>
        <w:t xml:space="preserve">: </w:t>
      </w:r>
      <w:hyperlink r:id="rId13" w:history="1">
        <w:r w:rsidRPr="00D92453">
          <w:rPr>
            <w:rStyle w:val="Hyperlink"/>
            <w:lang w:val="sr-Cyrl-RS"/>
          </w:rPr>
          <w:t>https://www.srbija.gov.rs/dokument/45678/strategije-programi-planovi-.php</w:t>
        </w:r>
      </w:hyperlink>
      <w:r w:rsidRPr="00D92453">
        <w:rPr>
          <w:lang w:val="sr-Cyrl-RS"/>
        </w:rPr>
        <w:t xml:space="preserve">. </w:t>
      </w:r>
    </w:p>
  </w:footnote>
  <w:footnote w:id="23">
    <w:p w14:paraId="61483D5D" w14:textId="0682EBCD" w:rsidR="00B37F05" w:rsidRPr="00D92453" w:rsidRDefault="00B37F05" w:rsidP="00B7071C">
      <w:pPr>
        <w:pStyle w:val="FootnoteText"/>
        <w:ind w:firstLine="0"/>
        <w:rPr>
          <w:lang w:val="sr-Cyrl-RS"/>
        </w:rPr>
      </w:pPr>
      <w:r w:rsidRPr="00D92453">
        <w:rPr>
          <w:rStyle w:val="FootnoteReference"/>
          <w:lang w:val="sr-Cyrl-RS"/>
        </w:rPr>
        <w:footnoteRef/>
      </w:r>
      <w:r>
        <w:rPr>
          <w:lang w:val="en-US"/>
        </w:rPr>
        <w:t xml:space="preserve"> Available at</w:t>
      </w:r>
      <w:r w:rsidRPr="00D92453">
        <w:rPr>
          <w:lang w:val="sr-Cyrl-RS"/>
        </w:rPr>
        <w:t xml:space="preserve">: </w:t>
      </w:r>
      <w:hyperlink r:id="rId14" w:history="1">
        <w:r w:rsidRPr="00D92453">
          <w:rPr>
            <w:rStyle w:val="Hyperlink"/>
            <w:lang w:val="sr-Cyrl-RS"/>
          </w:rPr>
          <w:t>https://www.ombudsman.rs/index.php/2011-12-11-11-34-45/7832-s-ri-i-d-s-zn-c-ni-u-ljuc-u-vni-i-p-li-ic-i-ziv-u-srbi-i</w:t>
        </w:r>
      </w:hyperlink>
      <w:r w:rsidRPr="00D92453">
        <w:rPr>
          <w:rStyle w:val="Hyperlink"/>
          <w:lang w:val="sr-Cyrl-RS"/>
        </w:rPr>
        <w:t xml:space="preserve">. </w:t>
      </w:r>
    </w:p>
  </w:footnote>
  <w:footnote w:id="24">
    <w:p w14:paraId="2B66F2DA" w14:textId="20BB76B7" w:rsidR="00B37F05" w:rsidRPr="00D92453" w:rsidRDefault="00B37F05" w:rsidP="00B7071C">
      <w:pPr>
        <w:pStyle w:val="FootnoteText"/>
        <w:ind w:firstLine="0"/>
        <w:rPr>
          <w:lang w:val="sr-Cyrl-RS"/>
        </w:rPr>
      </w:pPr>
      <w:r w:rsidRPr="00D92453">
        <w:rPr>
          <w:rStyle w:val="FootnoteReference"/>
          <w:lang w:val="sr-Cyrl-RS"/>
        </w:rPr>
        <w:footnoteRef/>
      </w:r>
      <w:r w:rsidRPr="00D92453">
        <w:rPr>
          <w:lang w:val="sr-Cyrl-RS"/>
        </w:rPr>
        <w:t xml:space="preserve"> </w:t>
      </w:r>
      <w:r>
        <w:rPr>
          <w:lang w:val="en-US"/>
        </w:rPr>
        <w:t>Available at</w:t>
      </w:r>
      <w:r w:rsidRPr="00D92453">
        <w:rPr>
          <w:lang w:val="sr-Cyrl-RS"/>
        </w:rPr>
        <w:t xml:space="preserve">: </w:t>
      </w:r>
      <w:hyperlink r:id="rId15" w:history="1">
        <w:r w:rsidRPr="00D92453">
          <w:rPr>
            <w:rStyle w:val="Hyperlink"/>
            <w:lang w:val="sr-Cyrl-RS"/>
          </w:rPr>
          <w:t>https://www.srbija.gov.rs/dokument/45678/strategije-programi-planovi-.php</w:t>
        </w:r>
      </w:hyperlink>
      <w:r w:rsidRPr="00D92453">
        <w:rPr>
          <w:lang w:val="sr-Cyrl-RS"/>
        </w:rPr>
        <w:t xml:space="preserve">. </w:t>
      </w:r>
    </w:p>
  </w:footnote>
  <w:footnote w:id="25">
    <w:p w14:paraId="277F5569" w14:textId="7A59444E" w:rsidR="00B37F05" w:rsidRPr="00D92453" w:rsidRDefault="00B37F05" w:rsidP="00B7071C">
      <w:pPr>
        <w:pStyle w:val="FootnoteText"/>
        <w:ind w:firstLine="0"/>
        <w:rPr>
          <w:lang w:val="sr-Cyrl-RS"/>
        </w:rPr>
      </w:pPr>
      <w:r w:rsidRPr="00D92453">
        <w:rPr>
          <w:rStyle w:val="FootnoteReference"/>
          <w:lang w:val="sr-Cyrl-RS"/>
        </w:rPr>
        <w:footnoteRef/>
      </w:r>
      <w:r w:rsidRPr="00D92453">
        <w:rPr>
          <w:lang w:val="sr-Cyrl-RS"/>
        </w:rPr>
        <w:t xml:space="preserve"> </w:t>
      </w:r>
      <w:r>
        <w:rPr>
          <w:lang w:val="en-US"/>
        </w:rPr>
        <w:t>Available at</w:t>
      </w:r>
      <w:r w:rsidRPr="00D92453">
        <w:rPr>
          <w:lang w:val="sr-Cyrl-RS"/>
        </w:rPr>
        <w:t xml:space="preserve">:  </w:t>
      </w:r>
      <w:hyperlink r:id="rId16" w:history="1">
        <w:r w:rsidRPr="00D92453">
          <w:rPr>
            <w:rStyle w:val="Hyperlink"/>
            <w:lang w:val="sr-Cyrl-RS"/>
          </w:rPr>
          <w:t>https://www.ombudsman.rs/index.php/2011-12-11-11-34-45/7877-ishlj-nj-z-sh-i-ni-gr-d-n-z-un-pr-d-nj-p-l-z-s-ri-ih-s-b-u-r-publici-srbi-i</w:t>
        </w:r>
      </w:hyperlink>
      <w:r w:rsidRPr="00D92453">
        <w:rPr>
          <w:lang w:val="sr-Cyrl-RS"/>
        </w:rPr>
        <w:t xml:space="preserve">. </w:t>
      </w:r>
    </w:p>
  </w:footnote>
  <w:footnote w:id="26">
    <w:p w14:paraId="48E7388E" w14:textId="6364FBEF" w:rsidR="00B37F05" w:rsidRPr="00521D88" w:rsidRDefault="00B37F05" w:rsidP="0057428A">
      <w:pPr>
        <w:pStyle w:val="FootnoteText"/>
        <w:ind w:firstLine="0"/>
      </w:pPr>
      <w:r w:rsidRPr="00521D88">
        <w:rPr>
          <w:rStyle w:val="FootnoteReference"/>
        </w:rPr>
        <w:footnoteRef/>
      </w:r>
      <w:r w:rsidRPr="00521D88">
        <w:t xml:space="preserve"> </w:t>
      </w:r>
      <w:r>
        <w:rPr>
          <w:lang w:val="en-US"/>
        </w:rPr>
        <w:t>Taking into account that the Protector of Citizens is not authorized to oversee the operation of courts, complainants were advised to contact competent authorities for this purpose.</w:t>
      </w:r>
      <w:r w:rsidRPr="00521D88">
        <w:rPr>
          <w:lang w:val="sr-Cyrl-RS"/>
        </w:rPr>
        <w:t xml:space="preserve"> </w:t>
      </w:r>
    </w:p>
  </w:footnote>
  <w:footnote w:id="27">
    <w:p w14:paraId="57AEAA67" w14:textId="6C55B33F" w:rsidR="00B37F05" w:rsidRPr="000117DB" w:rsidRDefault="00B37F05" w:rsidP="00522EB7">
      <w:pPr>
        <w:pStyle w:val="FootnoteText"/>
        <w:ind w:firstLine="0"/>
        <w:rPr>
          <w:lang w:val="sr-Cyrl-RS"/>
        </w:rPr>
      </w:pPr>
      <w:r>
        <w:rPr>
          <w:rStyle w:val="FootnoteReference"/>
        </w:rPr>
        <w:footnoteRef/>
      </w:r>
      <w:r>
        <w:t xml:space="preserve"> </w:t>
      </w:r>
      <w:r>
        <w:rPr>
          <w:lang w:val="en-US"/>
        </w:rPr>
        <w:t>“Official Gazette of RS”</w:t>
      </w:r>
      <w:r>
        <w:rPr>
          <w:lang w:val="sr-Cyrl-RS"/>
        </w:rPr>
        <w:t xml:space="preserve">, </w:t>
      </w:r>
      <w:r>
        <w:rPr>
          <w:lang w:val="en-US"/>
        </w:rPr>
        <w:t>number</w:t>
      </w:r>
      <w:r>
        <w:rPr>
          <w:lang w:val="sr-Cyrl-RS"/>
        </w:rPr>
        <w:t xml:space="preserve"> 96/21.</w:t>
      </w:r>
    </w:p>
  </w:footnote>
  <w:footnote w:id="28">
    <w:p w14:paraId="62CC196B" w14:textId="1391FEB0" w:rsidR="00B37F05" w:rsidRPr="00DF0795" w:rsidRDefault="00B37F05" w:rsidP="00522EB7">
      <w:pPr>
        <w:pStyle w:val="FootnoteText"/>
        <w:ind w:firstLine="0"/>
        <w:rPr>
          <w:lang w:val="sr-Cyrl-RS"/>
        </w:rPr>
      </w:pPr>
      <w:r>
        <w:rPr>
          <w:rStyle w:val="FootnoteReference"/>
        </w:rPr>
        <w:footnoteRef/>
      </w:r>
      <w:r>
        <w:t xml:space="preserve"> </w:t>
      </w:r>
      <w:r w:rsidRPr="003F1737">
        <w:rPr>
          <w:lang w:val="en-US"/>
        </w:rPr>
        <w:t xml:space="preserve">“Official Gazette of </w:t>
      </w:r>
      <w:r>
        <w:rPr>
          <w:lang w:val="en-US"/>
        </w:rPr>
        <w:t>the City of Belgrade</w:t>
      </w:r>
      <w:r w:rsidRPr="003F1737">
        <w:rPr>
          <w:lang w:val="en-US"/>
        </w:rPr>
        <w:t>”</w:t>
      </w:r>
      <w:r w:rsidRPr="00DF0795">
        <w:t xml:space="preserve">, </w:t>
      </w:r>
      <w:r>
        <w:rPr>
          <w:lang w:val="sr-Latn-RS"/>
        </w:rPr>
        <w:t>number</w:t>
      </w:r>
      <w:r w:rsidRPr="00DF0795">
        <w:t xml:space="preserve"> 4/22</w:t>
      </w:r>
      <w:r>
        <w:rPr>
          <w:lang w:val="sr-Cyrl-RS"/>
        </w:rPr>
        <w:t xml:space="preserve">, </w:t>
      </w:r>
      <w:r>
        <w:rPr>
          <w:lang w:val="en-US"/>
        </w:rPr>
        <w:t>“Official Gazette of the City of Valjevo</w:t>
      </w:r>
      <w:r w:rsidRPr="003F1737">
        <w:rPr>
          <w:lang w:val="en-US"/>
        </w:rPr>
        <w:t>”</w:t>
      </w:r>
      <w:r w:rsidRPr="00DF0795">
        <w:rPr>
          <w:lang w:val="sr-Cyrl-RS"/>
        </w:rPr>
        <w:t xml:space="preserve">, </w:t>
      </w:r>
      <w:r>
        <w:rPr>
          <w:lang w:val="en-US"/>
        </w:rPr>
        <w:t>number</w:t>
      </w:r>
      <w:r w:rsidRPr="00DF0795">
        <w:rPr>
          <w:lang w:val="sr-Cyrl-RS"/>
        </w:rPr>
        <w:t xml:space="preserve"> 7/22</w:t>
      </w:r>
      <w:r>
        <w:rPr>
          <w:lang w:val="sr-Cyrl-RS"/>
        </w:rPr>
        <w:t>,</w:t>
      </w:r>
      <w:r w:rsidRPr="00DF0795">
        <w:t xml:space="preserve"> </w:t>
      </w:r>
      <w:r w:rsidRPr="003F1737">
        <w:rPr>
          <w:lang w:val="en-US"/>
        </w:rPr>
        <w:t xml:space="preserve">“Official Gazette of </w:t>
      </w:r>
      <w:r>
        <w:rPr>
          <w:lang w:val="en-US"/>
        </w:rPr>
        <w:t>the City of Kru</w:t>
      </w:r>
      <w:r>
        <w:rPr>
          <w:lang w:val="sr-Latn-RS"/>
        </w:rPr>
        <w:t>ševac</w:t>
      </w:r>
      <w:r w:rsidRPr="003F1737">
        <w:rPr>
          <w:lang w:val="en-US"/>
        </w:rPr>
        <w:t>”</w:t>
      </w:r>
      <w:r w:rsidRPr="00DF0795">
        <w:rPr>
          <w:lang w:val="sr-Cyrl-RS"/>
        </w:rPr>
        <w:t xml:space="preserve">, </w:t>
      </w:r>
      <w:r>
        <w:rPr>
          <w:lang w:val="en-US"/>
        </w:rPr>
        <w:t>number</w:t>
      </w:r>
      <w:r w:rsidRPr="00DF0795">
        <w:rPr>
          <w:lang w:val="sr-Cyrl-RS"/>
        </w:rPr>
        <w:t xml:space="preserve"> 14/23</w:t>
      </w:r>
      <w:r>
        <w:rPr>
          <w:lang w:val="sr-Cyrl-RS"/>
        </w:rPr>
        <w:t xml:space="preserve">, </w:t>
      </w:r>
      <w:r w:rsidRPr="003F1737">
        <w:rPr>
          <w:lang w:val="en-US"/>
        </w:rPr>
        <w:t xml:space="preserve">“Official Gazette of </w:t>
      </w:r>
      <w:r>
        <w:rPr>
          <w:lang w:val="en-US"/>
        </w:rPr>
        <w:t xml:space="preserve">the City of </w:t>
      </w:r>
      <w:r>
        <w:rPr>
          <w:lang w:val="sr-Latn-RS"/>
        </w:rPr>
        <w:t>Požarevac</w:t>
      </w:r>
      <w:r w:rsidRPr="003F1737">
        <w:rPr>
          <w:lang w:val="en-US"/>
        </w:rPr>
        <w:t>”</w:t>
      </w:r>
      <w:r w:rsidRPr="00DF0795">
        <w:rPr>
          <w:lang w:val="sr-Cyrl-RS"/>
        </w:rPr>
        <w:t xml:space="preserve">, </w:t>
      </w:r>
      <w:r>
        <w:rPr>
          <w:lang w:val="sr-Latn-RS"/>
        </w:rPr>
        <w:t>number</w:t>
      </w:r>
      <w:r w:rsidRPr="00DF0795">
        <w:rPr>
          <w:lang w:val="sr-Cyrl-RS"/>
        </w:rPr>
        <w:t xml:space="preserve"> 2/23</w:t>
      </w:r>
      <w:r>
        <w:rPr>
          <w:lang w:val="sr-Cyrl-RS"/>
        </w:rPr>
        <w:t>.</w:t>
      </w:r>
    </w:p>
  </w:footnote>
  <w:footnote w:id="29">
    <w:p w14:paraId="24E3BB5C" w14:textId="151D6A13" w:rsidR="00B37F05" w:rsidRPr="008355C3" w:rsidRDefault="00B37F05" w:rsidP="00BC6B51">
      <w:pPr>
        <w:pStyle w:val="FootnoteText"/>
        <w:ind w:firstLine="0"/>
        <w:rPr>
          <w:lang w:val="sr-Cyrl-RS"/>
        </w:rPr>
      </w:pPr>
      <w:r>
        <w:rPr>
          <w:rStyle w:val="FootnoteReference"/>
        </w:rPr>
        <w:footnoteRef/>
      </w:r>
      <w:r>
        <w:t xml:space="preserve"> </w:t>
      </w:r>
      <w:r w:rsidRPr="003F1737">
        <w:rPr>
          <w:lang w:val="en-US"/>
        </w:rPr>
        <w:t>“Official Gazette of RS”</w:t>
      </w:r>
      <w:r>
        <w:rPr>
          <w:lang w:val="sr-Cyrl-RS"/>
        </w:rPr>
        <w:t xml:space="preserve">, </w:t>
      </w:r>
      <w:r>
        <w:rPr>
          <w:lang w:val="en-US"/>
        </w:rPr>
        <w:t>number</w:t>
      </w:r>
      <w:r>
        <w:rPr>
          <w:lang w:val="sr-Cyrl-RS"/>
        </w:rPr>
        <w:t xml:space="preserve"> 35/13.</w:t>
      </w:r>
    </w:p>
  </w:footnote>
  <w:footnote w:id="30">
    <w:p w14:paraId="2DBCE5DC" w14:textId="7BD672F4" w:rsidR="00B37F05" w:rsidRPr="007E2E30" w:rsidRDefault="00B37F05" w:rsidP="00776DEE">
      <w:pPr>
        <w:pStyle w:val="FootnoteText"/>
        <w:ind w:firstLine="0"/>
        <w:rPr>
          <w:lang w:val="sr-Cyrl-RS"/>
        </w:rPr>
      </w:pPr>
      <w:r w:rsidRPr="007E2E30">
        <w:rPr>
          <w:rStyle w:val="FootnoteReference"/>
          <w:lang w:val="sr-Cyrl-RS"/>
        </w:rPr>
        <w:footnoteRef/>
      </w:r>
      <w:r w:rsidRPr="007E2E30">
        <w:rPr>
          <w:lang w:val="sr-Cyrl-RS"/>
        </w:rPr>
        <w:t xml:space="preserve"> </w:t>
      </w:r>
      <w:r w:rsidRPr="003F1737">
        <w:rPr>
          <w:lang w:val="en-US"/>
        </w:rPr>
        <w:t>“Official Gazette of RS”</w:t>
      </w:r>
      <w:r w:rsidRPr="007E2E30">
        <w:rPr>
          <w:lang w:val="sr-Cyrl-RS"/>
        </w:rPr>
        <w:t xml:space="preserve">, </w:t>
      </w:r>
      <w:r>
        <w:rPr>
          <w:lang w:val="en-US"/>
        </w:rPr>
        <w:t>number</w:t>
      </w:r>
      <w:r w:rsidRPr="007E2E30">
        <w:rPr>
          <w:lang w:val="sr-Cyrl-RS"/>
        </w:rPr>
        <w:t xml:space="preserve"> 84/23.</w:t>
      </w:r>
    </w:p>
  </w:footnote>
  <w:footnote w:id="31">
    <w:p w14:paraId="42CAE4CA" w14:textId="50005242" w:rsidR="00B37F05" w:rsidRPr="007E2E30" w:rsidRDefault="00B37F05" w:rsidP="008C1233">
      <w:pPr>
        <w:spacing w:after="0"/>
        <w:rPr>
          <w:rFonts w:eastAsia="Times New Roman" w:cs="Times New Roman"/>
          <w:sz w:val="18"/>
          <w:szCs w:val="18"/>
          <w:lang w:val="sr-Cyrl-RS"/>
        </w:rPr>
      </w:pPr>
      <w:r w:rsidRPr="007E2E30">
        <w:rPr>
          <w:rStyle w:val="FootnoteReference"/>
          <w:sz w:val="18"/>
          <w:szCs w:val="18"/>
          <w:lang w:val="sr-Cyrl-RS"/>
        </w:rPr>
        <w:footnoteRef/>
      </w:r>
      <w:r w:rsidRPr="007E2E30">
        <w:rPr>
          <w:rFonts w:cs="Arial"/>
          <w:sz w:val="18"/>
          <w:szCs w:val="18"/>
          <w:lang w:val="sr-Cyrl-RS"/>
        </w:rPr>
        <w:t xml:space="preserve"> </w:t>
      </w:r>
      <w:r w:rsidRPr="003F1737">
        <w:rPr>
          <w:sz w:val="18"/>
          <w:szCs w:val="18"/>
        </w:rPr>
        <w:t>“Official Gazette of RS”</w:t>
      </w:r>
      <w:r w:rsidRPr="007E2E30">
        <w:rPr>
          <w:rFonts w:eastAsia="Times New Roman" w:cs="Times New Roman"/>
          <w:sz w:val="18"/>
          <w:szCs w:val="18"/>
          <w:lang w:val="sr-Cyrl-RS"/>
        </w:rPr>
        <w:t xml:space="preserve">, </w:t>
      </w:r>
      <w:r w:rsidR="00407CD4">
        <w:rPr>
          <w:rFonts w:eastAsia="Times New Roman" w:cs="Times New Roman"/>
          <w:sz w:val="18"/>
          <w:szCs w:val="18"/>
        </w:rPr>
        <w:t>N</w:t>
      </w:r>
      <w:r>
        <w:rPr>
          <w:rFonts w:eastAsia="Times New Roman" w:cs="Times New Roman"/>
          <w:sz w:val="18"/>
          <w:szCs w:val="18"/>
        </w:rPr>
        <w:t>o</w:t>
      </w:r>
      <w:r w:rsidRPr="007E2E30">
        <w:rPr>
          <w:rFonts w:eastAsia="Times New Roman" w:cs="Times New Roman"/>
          <w:sz w:val="18"/>
          <w:szCs w:val="18"/>
          <w:lang w:val="sr-Cyrl-RS"/>
        </w:rPr>
        <w:t xml:space="preserve">. 63/13 </w:t>
      </w:r>
      <w:r>
        <w:rPr>
          <w:rFonts w:eastAsia="Times New Roman" w:cs="Times New Roman"/>
          <w:sz w:val="18"/>
          <w:szCs w:val="18"/>
        </w:rPr>
        <w:t>and</w:t>
      </w:r>
      <w:r w:rsidRPr="007E2E30">
        <w:rPr>
          <w:rFonts w:eastAsia="Times New Roman" w:cs="Times New Roman"/>
          <w:sz w:val="18"/>
          <w:szCs w:val="18"/>
          <w:lang w:val="sr-Cyrl-RS"/>
        </w:rPr>
        <w:t xml:space="preserve"> 91/18.</w:t>
      </w:r>
    </w:p>
  </w:footnote>
  <w:footnote w:id="32">
    <w:p w14:paraId="7FA21D64" w14:textId="32B00F09" w:rsidR="00B37F05" w:rsidRPr="00FC52D7" w:rsidRDefault="00B37F05" w:rsidP="00963CEC">
      <w:pPr>
        <w:pStyle w:val="FootnoteText"/>
        <w:ind w:firstLine="0"/>
        <w:rPr>
          <w:lang w:val="sr-Cyrl-RS"/>
        </w:rPr>
      </w:pPr>
      <w:r w:rsidRPr="00FC52D7">
        <w:rPr>
          <w:rStyle w:val="FootnoteReference"/>
          <w:lang w:val="sr-Cyrl-RS"/>
        </w:rPr>
        <w:footnoteRef/>
      </w:r>
      <w:r w:rsidRPr="00FC52D7">
        <w:rPr>
          <w:lang w:val="sr-Cyrl-RS"/>
        </w:rPr>
        <w:t xml:space="preserve"> </w:t>
      </w:r>
      <w:r>
        <w:rPr>
          <w:lang w:val="en-US"/>
        </w:rPr>
        <w:t>Law on State Weight and Cadaster, “Official Gazette of RS”</w:t>
      </w:r>
      <w:r>
        <w:rPr>
          <w:lang w:val="sr-Cyrl-RS"/>
        </w:rPr>
        <w:t>, no</w:t>
      </w:r>
      <w:r w:rsidRPr="00FC52D7">
        <w:rPr>
          <w:lang w:val="sr-Cyrl-RS"/>
        </w:rPr>
        <w:t xml:space="preserve">. 72/09, 18/10, 65/13, 15/15 </w:t>
      </w:r>
      <w:r>
        <w:rPr>
          <w:lang w:val="sr-Cyrl-RS"/>
        </w:rPr>
        <w:t>–</w:t>
      </w:r>
      <w:r w:rsidRPr="00FC52D7">
        <w:rPr>
          <w:lang w:val="sr-Cyrl-RS"/>
        </w:rPr>
        <w:t xml:space="preserve"> </w:t>
      </w:r>
      <w:r>
        <w:rPr>
          <w:lang w:val="en-US"/>
        </w:rPr>
        <w:t>CC decision</w:t>
      </w:r>
      <w:r w:rsidRPr="00FC52D7">
        <w:rPr>
          <w:lang w:val="sr-Cyrl-RS"/>
        </w:rPr>
        <w:t xml:space="preserve">, 96/15, 47/17 </w:t>
      </w:r>
      <w:r>
        <w:rPr>
          <w:lang w:val="sr-Cyrl-RS"/>
        </w:rPr>
        <w:t>–</w:t>
      </w:r>
      <w:r w:rsidRPr="00FC52D7">
        <w:rPr>
          <w:lang w:val="sr-Cyrl-RS"/>
        </w:rPr>
        <w:t xml:space="preserve"> </w:t>
      </w:r>
      <w:r>
        <w:rPr>
          <w:lang w:val="en-US"/>
        </w:rPr>
        <w:t>authentic interpretation</w:t>
      </w:r>
      <w:r w:rsidRPr="00FC52D7">
        <w:rPr>
          <w:lang w:val="sr-Cyrl-RS"/>
        </w:rPr>
        <w:t xml:space="preserve">, 113/17 </w:t>
      </w:r>
      <w:r>
        <w:rPr>
          <w:lang w:val="sr-Cyrl-RS"/>
        </w:rPr>
        <w:t>–</w:t>
      </w:r>
      <w:r w:rsidRPr="00FC52D7">
        <w:rPr>
          <w:lang w:val="sr-Cyrl-RS"/>
        </w:rPr>
        <w:t xml:space="preserve"> </w:t>
      </w:r>
      <w:r>
        <w:rPr>
          <w:lang w:val="en-US"/>
        </w:rPr>
        <w:t>state law</w:t>
      </w:r>
      <w:r w:rsidRPr="00FC52D7">
        <w:rPr>
          <w:lang w:val="sr-Cyrl-RS"/>
        </w:rPr>
        <w:t xml:space="preserve">, 27/18 </w:t>
      </w:r>
      <w:r>
        <w:rPr>
          <w:lang w:val="sr-Cyrl-RS"/>
        </w:rPr>
        <w:t>–</w:t>
      </w:r>
      <w:r w:rsidRPr="00FC52D7">
        <w:rPr>
          <w:lang w:val="sr-Cyrl-RS"/>
        </w:rPr>
        <w:t xml:space="preserve"> </w:t>
      </w:r>
      <w:r>
        <w:rPr>
          <w:lang w:val="en-US"/>
        </w:rPr>
        <w:t>state law</w:t>
      </w:r>
      <w:r w:rsidRPr="00FC52D7">
        <w:rPr>
          <w:lang w:val="sr-Cyrl-RS"/>
        </w:rPr>
        <w:t xml:space="preserve">, 41/18 </w:t>
      </w:r>
      <w:r>
        <w:rPr>
          <w:lang w:val="sr-Cyrl-RS"/>
        </w:rPr>
        <w:t>–</w:t>
      </w:r>
      <w:r w:rsidRPr="00FC52D7">
        <w:rPr>
          <w:lang w:val="sr-Cyrl-RS"/>
        </w:rPr>
        <w:t xml:space="preserve"> </w:t>
      </w:r>
      <w:r>
        <w:rPr>
          <w:lang w:val="en-US"/>
        </w:rPr>
        <w:t>state law</w:t>
      </w:r>
      <w:r w:rsidRPr="00FC52D7">
        <w:rPr>
          <w:lang w:val="sr-Cyrl-RS"/>
        </w:rPr>
        <w:t xml:space="preserve">, 9/20 </w:t>
      </w:r>
      <w:r>
        <w:rPr>
          <w:lang w:val="sr-Cyrl-RS"/>
        </w:rPr>
        <w:t>–</w:t>
      </w:r>
      <w:r w:rsidRPr="00FC52D7">
        <w:rPr>
          <w:lang w:val="sr-Cyrl-RS"/>
        </w:rPr>
        <w:t xml:space="preserve"> </w:t>
      </w:r>
      <w:r>
        <w:rPr>
          <w:lang w:val="en-US"/>
        </w:rPr>
        <w:t>state law and</w:t>
      </w:r>
      <w:r w:rsidRPr="00FC52D7">
        <w:rPr>
          <w:lang w:val="sr-Cyrl-RS"/>
        </w:rPr>
        <w:t xml:space="preserve"> 92/23.</w:t>
      </w:r>
    </w:p>
  </w:footnote>
  <w:footnote w:id="33">
    <w:p w14:paraId="094E8336" w14:textId="0AF670F9" w:rsidR="00B37F05" w:rsidRPr="00FC52D7" w:rsidRDefault="00B37F05" w:rsidP="00963CEC">
      <w:pPr>
        <w:pStyle w:val="FootnoteText"/>
        <w:ind w:firstLine="0"/>
        <w:rPr>
          <w:lang w:val="sr-Cyrl-RS"/>
        </w:rPr>
      </w:pPr>
      <w:r w:rsidRPr="00FC52D7">
        <w:rPr>
          <w:rStyle w:val="FootnoteReference"/>
          <w:lang w:val="sr-Cyrl-RS"/>
        </w:rPr>
        <w:footnoteRef/>
      </w:r>
      <w:r w:rsidRPr="00FC52D7">
        <w:rPr>
          <w:lang w:val="sr-Cyrl-RS"/>
        </w:rPr>
        <w:t xml:space="preserve"> </w:t>
      </w:r>
      <w:r>
        <w:rPr>
          <w:lang w:val="en-US"/>
        </w:rPr>
        <w:t>The Law on the Registration in the Real Estate Cadaster and Infrastructure Cadaster, “Official Gazette of RS”</w:t>
      </w:r>
      <w:r w:rsidRPr="00FC52D7">
        <w:rPr>
          <w:lang w:val="sr-Cyrl-RS"/>
        </w:rPr>
        <w:t xml:space="preserve">, </w:t>
      </w:r>
      <w:r>
        <w:rPr>
          <w:lang w:val="en-US"/>
        </w:rPr>
        <w:t>no</w:t>
      </w:r>
      <w:r w:rsidRPr="00FC52D7">
        <w:rPr>
          <w:lang w:val="sr-Cyrl-RS"/>
        </w:rPr>
        <w:t xml:space="preserve">. 41/18, 95/18, 31/19, 15/20 </w:t>
      </w:r>
      <w:r>
        <w:rPr>
          <w:lang w:val="en-US"/>
        </w:rPr>
        <w:t>and</w:t>
      </w:r>
      <w:r w:rsidRPr="00FC52D7">
        <w:rPr>
          <w:lang w:val="sr-Cyrl-RS"/>
        </w:rPr>
        <w:t xml:space="preserve"> 92/23.</w:t>
      </w:r>
    </w:p>
  </w:footnote>
  <w:footnote w:id="34">
    <w:p w14:paraId="21F316D1" w14:textId="387112BF" w:rsidR="00B37F05" w:rsidRPr="002656DC" w:rsidRDefault="00B37F05" w:rsidP="00106C68">
      <w:pPr>
        <w:pStyle w:val="FootnoteText"/>
        <w:ind w:firstLine="0"/>
        <w:rPr>
          <w:lang w:val="sr-Cyrl-RS"/>
        </w:rPr>
      </w:pPr>
      <w:r>
        <w:rPr>
          <w:rStyle w:val="FootnoteReference"/>
        </w:rPr>
        <w:footnoteRef/>
      </w:r>
      <w:r>
        <w:t xml:space="preserve"> </w:t>
      </w:r>
      <w:r>
        <w:rPr>
          <w:lang w:val="en-US"/>
        </w:rPr>
        <w:t>“Official Gazette of RS”</w:t>
      </w:r>
      <w:r w:rsidRPr="002656DC">
        <w:rPr>
          <w:lang w:val="sr-Cyrl-RS"/>
        </w:rPr>
        <w:t xml:space="preserve">, </w:t>
      </w:r>
      <w:r>
        <w:rPr>
          <w:lang w:val="en-US"/>
        </w:rPr>
        <w:t>number</w:t>
      </w:r>
      <w:r w:rsidRPr="002656DC">
        <w:rPr>
          <w:lang w:val="sr-Cyrl-RS"/>
        </w:rPr>
        <w:t xml:space="preserve"> 35/23</w:t>
      </w:r>
      <w:r>
        <w:rPr>
          <w:lang w:val="sr-Cyrl-RS"/>
        </w:rPr>
        <w:t>.</w:t>
      </w:r>
    </w:p>
  </w:footnote>
  <w:footnote w:id="35">
    <w:p w14:paraId="05BF128A" w14:textId="4F06ABCA" w:rsidR="00B37F05" w:rsidRPr="002656DC" w:rsidRDefault="00B37F05" w:rsidP="00106C68">
      <w:pPr>
        <w:pStyle w:val="FootnoteText"/>
        <w:ind w:firstLine="0"/>
        <w:rPr>
          <w:lang w:val="sr-Cyrl-RS"/>
        </w:rPr>
      </w:pPr>
      <w:r>
        <w:rPr>
          <w:rStyle w:val="FootnoteReference"/>
        </w:rPr>
        <w:footnoteRef/>
      </w:r>
      <w:r>
        <w:t xml:space="preserve"> </w:t>
      </w:r>
      <w:r>
        <w:rPr>
          <w:lang w:val="en-US"/>
        </w:rPr>
        <w:t>“Official Gazette of RS”</w:t>
      </w:r>
      <w:r w:rsidRPr="002656DC">
        <w:rPr>
          <w:lang w:val="sr-Cyrl-RS"/>
        </w:rPr>
        <w:t xml:space="preserve">, </w:t>
      </w:r>
      <w:r>
        <w:rPr>
          <w:lang w:val="en-US"/>
        </w:rPr>
        <w:t>number</w:t>
      </w:r>
      <w:r w:rsidRPr="002656DC">
        <w:rPr>
          <w:lang w:val="sr-Cyrl-RS"/>
        </w:rPr>
        <w:t xml:space="preserve"> 114/21</w:t>
      </w:r>
      <w:r>
        <w:rPr>
          <w:lang w:val="sr-Cyrl-RS"/>
        </w:rPr>
        <w:t>.</w:t>
      </w:r>
    </w:p>
  </w:footnote>
  <w:footnote w:id="36">
    <w:p w14:paraId="32AAEC10" w14:textId="68E052C7" w:rsidR="00B37F05" w:rsidRPr="00A55475" w:rsidRDefault="00B37F05" w:rsidP="00D16FBF">
      <w:pPr>
        <w:pStyle w:val="FootnoteText"/>
        <w:ind w:firstLine="0"/>
        <w:rPr>
          <w:lang w:val="sr-Cyrl-RS"/>
        </w:rPr>
      </w:pPr>
      <w:r w:rsidRPr="00A55475">
        <w:rPr>
          <w:rStyle w:val="FootnoteReference"/>
        </w:rPr>
        <w:footnoteRef/>
      </w:r>
      <w:r w:rsidRPr="00A55475">
        <w:t xml:space="preserve"> </w:t>
      </w:r>
      <w:r>
        <w:rPr>
          <w:lang w:val="en-US"/>
        </w:rPr>
        <w:t>Available at</w:t>
      </w:r>
      <w:r>
        <w:rPr>
          <w:lang w:val="sr-Cyrl-RS"/>
        </w:rPr>
        <w:t xml:space="preserve">: </w:t>
      </w:r>
      <w:hyperlink r:id="rId17" w:history="1">
        <w:r w:rsidRPr="00A55475">
          <w:rPr>
            <w:rStyle w:val="Hyperlink"/>
          </w:rPr>
          <w:t>https://ombudsman.rs/index.php/2011-12-25-10-17-15/2011-12-26-10-05-05/7806-z-sh-i-ni-gr-d-n-p-s-i-il-v-n-br-ic</w:t>
        </w:r>
      </w:hyperlink>
      <w:r>
        <w:rPr>
          <w:rStyle w:val="Hyperlink"/>
          <w:lang w:val="sr-Cyrl-RS"/>
        </w:rPr>
        <w:t>.</w:t>
      </w:r>
      <w:r w:rsidRPr="00A55475">
        <w:rPr>
          <w:lang w:val="sr-Cyrl-RS"/>
        </w:rPr>
        <w:t xml:space="preserve"> </w:t>
      </w:r>
    </w:p>
  </w:footnote>
  <w:footnote w:id="37">
    <w:p w14:paraId="622EE206" w14:textId="454528AB" w:rsidR="00B37F05" w:rsidRPr="00963CEC" w:rsidRDefault="00B37F05" w:rsidP="00D16FBF">
      <w:pPr>
        <w:pStyle w:val="FootnoteText"/>
        <w:ind w:firstLine="0"/>
        <w:rPr>
          <w:lang w:val="sr-Cyrl-RS"/>
        </w:rPr>
      </w:pPr>
      <w:r w:rsidRPr="00A55475">
        <w:rPr>
          <w:rStyle w:val="FootnoteReference"/>
        </w:rPr>
        <w:footnoteRef/>
      </w:r>
      <w:r w:rsidRPr="00A55475">
        <w:t xml:space="preserve"> </w:t>
      </w:r>
      <w:r>
        <w:rPr>
          <w:lang w:val="en-US"/>
        </w:rPr>
        <w:t>Available at</w:t>
      </w:r>
      <w:r>
        <w:rPr>
          <w:lang w:val="sr-Cyrl-RS"/>
        </w:rPr>
        <w:t xml:space="preserve">: </w:t>
      </w:r>
      <w:hyperlink r:id="rId18" w:history="1">
        <w:r w:rsidRPr="00A55475">
          <w:rPr>
            <w:rStyle w:val="Hyperlink"/>
          </w:rPr>
          <w:t>https://www.bazenuns.rs/srpski/napadi-na-novinare</w:t>
        </w:r>
      </w:hyperlink>
      <w:r>
        <w:rPr>
          <w:rStyle w:val="Hyperlink"/>
          <w:lang w:val="sr-Cyrl-RS"/>
        </w:rPr>
        <w:t>.</w:t>
      </w:r>
    </w:p>
  </w:footnote>
  <w:footnote w:id="38">
    <w:p w14:paraId="3BA1F392" w14:textId="56A43C0C" w:rsidR="00B37F05" w:rsidRPr="00963CEC" w:rsidRDefault="00B37F05" w:rsidP="00D16FBF">
      <w:pPr>
        <w:pStyle w:val="FootnoteText"/>
        <w:ind w:firstLine="0"/>
        <w:rPr>
          <w:lang w:val="sr-Cyrl-RS"/>
        </w:rPr>
      </w:pPr>
      <w:r w:rsidRPr="00A55475">
        <w:rPr>
          <w:rStyle w:val="FootnoteReference"/>
        </w:rPr>
        <w:footnoteRef/>
      </w:r>
      <w:r w:rsidRPr="00A55475">
        <w:t xml:space="preserve"> </w:t>
      </w:r>
      <w:r>
        <w:rPr>
          <w:lang w:val="en-US"/>
        </w:rPr>
        <w:t>Available at</w:t>
      </w:r>
      <w:r>
        <w:rPr>
          <w:lang w:val="sr-Cyrl-RS"/>
        </w:rPr>
        <w:t xml:space="preserve">: </w:t>
      </w:r>
      <w:hyperlink r:id="rId19" w:history="1">
        <w:r w:rsidRPr="00A55475">
          <w:rPr>
            <w:rStyle w:val="Hyperlink"/>
          </w:rPr>
          <w:t>https://nuns.rs/rjt-statistika-napada-na-novinare-od-2016-do-kraja-oktobra-2023/</w:t>
        </w:r>
      </w:hyperlink>
      <w:r>
        <w:rPr>
          <w:rStyle w:val="Hyperlink"/>
          <w:lang w:val="sr-Cyrl-RS"/>
        </w:rPr>
        <w:t>.</w:t>
      </w:r>
    </w:p>
  </w:footnote>
  <w:footnote w:id="39">
    <w:p w14:paraId="359C78A5" w14:textId="3C15A36C" w:rsidR="00C908D2" w:rsidRPr="00692557" w:rsidRDefault="00C908D2" w:rsidP="00C908D2">
      <w:pPr>
        <w:pStyle w:val="FootnoteText"/>
        <w:ind w:firstLine="0"/>
        <w:rPr>
          <w:lang w:val="en-US"/>
        </w:rPr>
      </w:pPr>
      <w:r>
        <w:rPr>
          <w:rStyle w:val="FootnoteReference"/>
        </w:rPr>
        <w:footnoteRef/>
      </w:r>
      <w:r>
        <w:t xml:space="preserve"> </w:t>
      </w:r>
      <w:r w:rsidR="00407CD4">
        <w:rPr>
          <w:lang w:val="en-US"/>
        </w:rPr>
        <w:t>Available at:</w:t>
      </w:r>
      <w:r>
        <w:rPr>
          <w:lang w:val="sr-Cyrl-RS"/>
        </w:rPr>
        <w:t xml:space="preserve"> </w:t>
      </w:r>
      <w:hyperlink r:id="rId20" w:history="1">
        <w:r>
          <w:rPr>
            <w:rStyle w:val="Hyperlink"/>
          </w:rPr>
          <w:t>2023-izvestaj-o-radu-srg.pdf (mpanel.app)</w:t>
        </w:r>
      </w:hyperlink>
    </w:p>
  </w:footnote>
  <w:footnote w:id="40">
    <w:p w14:paraId="2123EF3E" w14:textId="7B37C5B1" w:rsidR="00B37F05" w:rsidRPr="00963CEC" w:rsidRDefault="00B37F05" w:rsidP="00E56C28">
      <w:pPr>
        <w:pStyle w:val="FootnoteText"/>
        <w:ind w:firstLine="0"/>
        <w:rPr>
          <w:lang w:val="sr-Cyrl-RS"/>
        </w:rPr>
      </w:pPr>
      <w:r>
        <w:rPr>
          <w:rStyle w:val="FootnoteReference"/>
        </w:rPr>
        <w:footnoteRef/>
      </w:r>
      <w:r>
        <w:rPr>
          <w:lang w:val="sr-Cyrl-RS"/>
        </w:rPr>
        <w:t xml:space="preserve"> </w:t>
      </w:r>
      <w:r>
        <w:rPr>
          <w:lang w:val="en-US"/>
        </w:rPr>
        <w:t>Available at</w:t>
      </w:r>
      <w:r>
        <w:rPr>
          <w:lang w:val="sr-Cyrl-RS"/>
        </w:rPr>
        <w:t>:</w:t>
      </w:r>
      <w:r>
        <w:t xml:space="preserve"> </w:t>
      </w:r>
      <w:hyperlink r:id="rId21" w:history="1">
        <w:r w:rsidRPr="00AD22DA">
          <w:rPr>
            <w:rStyle w:val="Hyperlink"/>
          </w:rPr>
          <w:t>https://n1info.rs/vesti/pasalic-starije-zene-na-selu-ugrozene-i-nedovoljno-vidljive/</w:t>
        </w:r>
      </w:hyperlink>
      <w:r>
        <w:rPr>
          <w:rStyle w:val="Hyperlink"/>
          <w:lang w:val="sr-Cyrl-RS"/>
        </w:rPr>
        <w:t xml:space="preserve">. </w:t>
      </w:r>
    </w:p>
  </w:footnote>
  <w:footnote w:id="41">
    <w:p w14:paraId="676E7298" w14:textId="35C94A42" w:rsidR="00B37F05" w:rsidRPr="00D121EF" w:rsidRDefault="00B37F05" w:rsidP="002F0AEA">
      <w:pPr>
        <w:pStyle w:val="FootnoteText"/>
        <w:ind w:firstLine="0"/>
        <w:rPr>
          <w:lang w:val="sr-Latn-RS"/>
        </w:rPr>
      </w:pPr>
      <w:r>
        <w:rPr>
          <w:rStyle w:val="FootnoteReference"/>
        </w:rPr>
        <w:footnoteRef/>
      </w:r>
      <w:r>
        <w:t xml:space="preserve"> </w:t>
      </w:r>
      <w:hyperlink r:id="rId22" w:history="1">
        <w:r w:rsidRPr="00717030">
          <w:rPr>
            <w:rStyle w:val="Hyperlink"/>
          </w:rPr>
          <w:t>https://ombudsman.rs/index.php/2011-12-25-10-17-15/2011-12-25-10-19-19/7739-432</w:t>
        </w:r>
      </w:hyperlink>
    </w:p>
  </w:footnote>
  <w:footnote w:id="42">
    <w:p w14:paraId="3D921D7D" w14:textId="77C76A69" w:rsidR="00B37F05" w:rsidRPr="00C21517" w:rsidRDefault="00B37F05" w:rsidP="00017BC2">
      <w:pPr>
        <w:pStyle w:val="FootnoteText"/>
        <w:ind w:firstLine="0"/>
        <w:rPr>
          <w:lang w:val="sr-Latn-RS"/>
        </w:rPr>
      </w:pPr>
      <w:r w:rsidRPr="00017BC2">
        <w:rPr>
          <w:rStyle w:val="FootnoteReference"/>
        </w:rPr>
        <w:footnoteRef/>
      </w:r>
      <w:r w:rsidRPr="00017BC2">
        <w:t xml:space="preserve"> </w:t>
      </w:r>
      <w:r>
        <w:rPr>
          <w:lang w:val="en-US"/>
        </w:rPr>
        <w:t>“Official Gazette of RS”</w:t>
      </w:r>
      <w:r>
        <w:rPr>
          <w:lang w:val="sr-Cyrl-RS"/>
        </w:rPr>
        <w:t xml:space="preserve">, </w:t>
      </w:r>
      <w:r>
        <w:rPr>
          <w:lang w:val="en-US"/>
        </w:rPr>
        <w:t>number</w:t>
      </w:r>
      <w:r>
        <w:rPr>
          <w:lang w:val="sr-Cyrl-RS"/>
        </w:rPr>
        <w:t xml:space="preserve"> </w:t>
      </w:r>
      <w:r w:rsidRPr="00017BC2">
        <w:rPr>
          <w:lang w:val="sr-Cyrl-RS"/>
        </w:rPr>
        <w:t>89/21</w:t>
      </w:r>
      <w:r>
        <w:rPr>
          <w:lang w:val="sr-Cyrl-RS"/>
        </w:rPr>
        <w:t>.</w:t>
      </w:r>
    </w:p>
  </w:footnote>
  <w:footnote w:id="43">
    <w:p w14:paraId="580D4272" w14:textId="5E796B88" w:rsidR="00B37F05" w:rsidRPr="0079511F" w:rsidRDefault="00B37F05" w:rsidP="0018604C">
      <w:pPr>
        <w:pStyle w:val="FootnoteText"/>
        <w:ind w:firstLine="0"/>
        <w:rPr>
          <w:lang w:val="sr-Cyrl-RS"/>
        </w:rPr>
      </w:pPr>
      <w:r>
        <w:rPr>
          <w:rStyle w:val="FootnoteReference"/>
        </w:rPr>
        <w:footnoteRef/>
      </w:r>
      <w:r>
        <w:t xml:space="preserve"> </w:t>
      </w:r>
      <w:r>
        <w:rPr>
          <w:lang w:val="en-US"/>
        </w:rPr>
        <w:t>The case refers to citizen complaints and investigations launched upon own initiative in a certain area of operation/department.</w:t>
      </w:r>
      <w:r>
        <w:t xml:space="preserve"> </w:t>
      </w:r>
    </w:p>
  </w:footnote>
  <w:footnote w:id="44">
    <w:p w14:paraId="0FBAFC37" w14:textId="68310468" w:rsidR="00B37F05" w:rsidRPr="0079511F" w:rsidRDefault="00B37F05" w:rsidP="0018604C">
      <w:pPr>
        <w:pStyle w:val="FootnoteText"/>
        <w:ind w:firstLine="0"/>
        <w:rPr>
          <w:lang w:val="sr-Cyrl-RS"/>
        </w:rPr>
      </w:pPr>
      <w:r>
        <w:rPr>
          <w:rStyle w:val="FootnoteReference"/>
        </w:rPr>
        <w:footnoteRef/>
      </w:r>
      <w:r>
        <w:t xml:space="preserve"> </w:t>
      </w:r>
      <w:r w:rsidR="00043EC4">
        <w:rPr>
          <w:i/>
          <w:lang w:val="en-US"/>
        </w:rPr>
        <w:t>The same</w:t>
      </w:r>
      <w:r>
        <w:rPr>
          <w:lang w:val="sr-Cyrl-RS"/>
        </w:rPr>
        <w:t>.</w:t>
      </w:r>
    </w:p>
  </w:footnote>
  <w:footnote w:id="45">
    <w:p w14:paraId="1436C16C" w14:textId="442D707C" w:rsidR="00B37F05" w:rsidRPr="00DB5E11" w:rsidRDefault="00B37F05" w:rsidP="00254F4E">
      <w:pPr>
        <w:pStyle w:val="FootnoteText"/>
        <w:ind w:firstLine="0"/>
        <w:rPr>
          <w:lang w:val="sr-Cyrl-RS"/>
        </w:rPr>
      </w:pPr>
      <w:r>
        <w:rPr>
          <w:rStyle w:val="FootnoteReference"/>
        </w:rPr>
        <w:footnoteRef/>
      </w:r>
      <w:r>
        <w:t xml:space="preserve"> </w:t>
      </w:r>
      <w:r>
        <w:rPr>
          <w:lang w:val="en-US"/>
        </w:rPr>
        <w:t>“</w:t>
      </w:r>
      <w:r>
        <w:rPr>
          <w:szCs w:val="22"/>
          <w:lang w:val="en-US"/>
        </w:rPr>
        <w:t>Official Gazette of FRY</w:t>
      </w:r>
      <w:r>
        <w:rPr>
          <w:lang w:val="en-US"/>
        </w:rPr>
        <w:t>”</w:t>
      </w:r>
      <w:r w:rsidRPr="00DB5E11">
        <w:rPr>
          <w:szCs w:val="22"/>
          <w:lang w:val="sr-Cyrl-RS"/>
        </w:rPr>
        <w:t xml:space="preserve">, </w:t>
      </w:r>
      <w:r w:rsidR="00407CD4">
        <w:rPr>
          <w:szCs w:val="22"/>
          <w:lang w:val="en-US"/>
        </w:rPr>
        <w:t>N</w:t>
      </w:r>
      <w:r>
        <w:rPr>
          <w:szCs w:val="22"/>
          <w:lang w:val="en-US"/>
        </w:rPr>
        <w:t>o</w:t>
      </w:r>
      <w:r w:rsidRPr="00DB5E11">
        <w:rPr>
          <w:szCs w:val="22"/>
          <w:lang w:val="sr-Cyrl-RS"/>
        </w:rPr>
        <w:t xml:space="preserve">. 33/97 </w:t>
      </w:r>
      <w:r>
        <w:rPr>
          <w:szCs w:val="22"/>
          <w:lang w:val="en-US"/>
        </w:rPr>
        <w:t>and</w:t>
      </w:r>
      <w:r w:rsidRPr="00DB5E11">
        <w:rPr>
          <w:lang w:val="sr-Cyrl-RS"/>
        </w:rPr>
        <w:t xml:space="preserve"> 31/</w:t>
      </w:r>
      <w:r w:rsidRPr="00DB5E11">
        <w:rPr>
          <w:szCs w:val="22"/>
          <w:lang w:val="sr-Cyrl-RS"/>
        </w:rPr>
        <w:t xml:space="preserve">01 </w:t>
      </w:r>
      <w:r>
        <w:rPr>
          <w:szCs w:val="22"/>
          <w:lang w:val="en-US"/>
        </w:rPr>
        <w:t>and</w:t>
      </w:r>
      <w:r>
        <w:rPr>
          <w:lang w:val="sr-Cyrl-RS"/>
        </w:rPr>
        <w:t xml:space="preserve"> </w:t>
      </w:r>
      <w:r>
        <w:rPr>
          <w:lang w:val="en-US"/>
        </w:rPr>
        <w:t>“</w:t>
      </w:r>
      <w:r>
        <w:rPr>
          <w:szCs w:val="22"/>
          <w:lang w:val="en-US"/>
        </w:rPr>
        <w:t>Official Gazette of RS</w:t>
      </w:r>
      <w:r>
        <w:rPr>
          <w:szCs w:val="22"/>
          <w:lang w:val="sr-Cyrl-RS"/>
        </w:rPr>
        <w:t>“</w:t>
      </w:r>
      <w:r w:rsidRPr="00DB5E11">
        <w:rPr>
          <w:szCs w:val="22"/>
          <w:lang w:val="sr-Cyrl-RS"/>
        </w:rPr>
        <w:t xml:space="preserve">, </w:t>
      </w:r>
      <w:r>
        <w:rPr>
          <w:szCs w:val="22"/>
          <w:lang w:val="en-US"/>
        </w:rPr>
        <w:t>number</w:t>
      </w:r>
      <w:r w:rsidRPr="00DB5E11">
        <w:rPr>
          <w:lang w:val="sr-Cyrl-RS"/>
        </w:rPr>
        <w:t xml:space="preserve"> 30/</w:t>
      </w:r>
      <w:r w:rsidRPr="00DB5E11">
        <w:rPr>
          <w:szCs w:val="22"/>
          <w:lang w:val="sr-Cyrl-RS"/>
        </w:rPr>
        <w:t>10</w:t>
      </w:r>
      <w:r>
        <w:rPr>
          <w:szCs w:val="22"/>
          <w:lang w:val="sr-Cyrl-RS"/>
        </w:rPr>
        <w:t>.</w:t>
      </w:r>
    </w:p>
  </w:footnote>
  <w:footnote w:id="46">
    <w:p w14:paraId="13A71A3D" w14:textId="2CE19EAF" w:rsidR="00B37F05" w:rsidRPr="004866FB" w:rsidRDefault="00B37F05" w:rsidP="00254F4E">
      <w:pPr>
        <w:pStyle w:val="FootnoteText"/>
        <w:ind w:firstLine="0"/>
        <w:rPr>
          <w:lang w:val="sr-Cyrl-RS"/>
        </w:rPr>
      </w:pPr>
      <w:r>
        <w:rPr>
          <w:rStyle w:val="FootnoteReference"/>
        </w:rPr>
        <w:footnoteRef/>
      </w:r>
      <w:r>
        <w:t xml:space="preserve"> </w:t>
      </w:r>
      <w:r>
        <w:rPr>
          <w:lang w:val="en-US"/>
        </w:rPr>
        <w:t>“Official Gazette of RS</w:t>
      </w:r>
      <w:r w:rsidR="00407CD4">
        <w:rPr>
          <w:lang w:val="sr-Cyrl-RS"/>
        </w:rPr>
        <w:t xml:space="preserve">“, </w:t>
      </w:r>
      <w:r w:rsidR="00407CD4">
        <w:rPr>
          <w:lang w:val="en-US"/>
        </w:rPr>
        <w:t>No</w:t>
      </w:r>
      <w:r w:rsidRPr="004866FB">
        <w:rPr>
          <w:lang w:val="sr-Cyrl-RS"/>
        </w:rPr>
        <w:t xml:space="preserve">. 18/16, 95/18 </w:t>
      </w:r>
      <w:r>
        <w:rPr>
          <w:lang w:val="sr-Cyrl-RS"/>
        </w:rPr>
        <w:t>–</w:t>
      </w:r>
      <w:r w:rsidRPr="004866FB">
        <w:rPr>
          <w:lang w:val="sr-Cyrl-RS"/>
        </w:rPr>
        <w:t xml:space="preserve"> </w:t>
      </w:r>
      <w:r>
        <w:rPr>
          <w:lang w:val="en-US"/>
        </w:rPr>
        <w:t>authentic interpretation and</w:t>
      </w:r>
      <w:r w:rsidRPr="004866FB">
        <w:rPr>
          <w:lang w:val="sr-Cyrl-RS"/>
        </w:rPr>
        <w:t xml:space="preserve"> 2/23 </w:t>
      </w:r>
      <w:r>
        <w:rPr>
          <w:lang w:val="sr-Cyrl-RS"/>
        </w:rPr>
        <w:t>–</w:t>
      </w:r>
      <w:r w:rsidRPr="004866FB">
        <w:rPr>
          <w:lang w:val="sr-Cyrl-RS"/>
        </w:rPr>
        <w:t xml:space="preserve"> </w:t>
      </w:r>
      <w:r>
        <w:rPr>
          <w:lang w:val="en-US"/>
        </w:rPr>
        <w:t>CC decision</w:t>
      </w:r>
      <w:r w:rsidRPr="004866FB">
        <w:rPr>
          <w:lang w:val="sr-Cyrl-RS"/>
        </w:rPr>
        <w:t xml:space="preserve">. </w:t>
      </w:r>
    </w:p>
  </w:footnote>
  <w:footnote w:id="47">
    <w:p w14:paraId="586C42AD" w14:textId="090C6F13" w:rsidR="00B37F05" w:rsidRPr="007E0D96" w:rsidRDefault="00B37F05" w:rsidP="001F7C0A">
      <w:pPr>
        <w:pStyle w:val="FootnoteText"/>
        <w:ind w:firstLine="0"/>
        <w:rPr>
          <w:lang w:val="sr-Cyrl-RS"/>
        </w:rPr>
      </w:pPr>
      <w:r w:rsidRPr="007E0D96">
        <w:rPr>
          <w:rStyle w:val="FootnoteReference"/>
        </w:rPr>
        <w:footnoteRef/>
      </w:r>
      <w:r w:rsidRPr="007E0D96">
        <w:t xml:space="preserve"> </w:t>
      </w:r>
      <w:r>
        <w:rPr>
          <w:rFonts w:cs="Times New Roman"/>
          <w:lang w:val="en-US"/>
        </w:rPr>
        <w:t>Article</w:t>
      </w:r>
      <w:r>
        <w:rPr>
          <w:rFonts w:cs="Times New Roman"/>
          <w:lang w:val="sr-Cyrl-RS"/>
        </w:rPr>
        <w:t xml:space="preserve"> 157 </w:t>
      </w:r>
      <w:r>
        <w:rPr>
          <w:rFonts w:cs="Times New Roman"/>
          <w:lang w:val="en-US"/>
        </w:rPr>
        <w:t>Paragraph</w:t>
      </w:r>
      <w:r>
        <w:rPr>
          <w:rFonts w:cs="Times New Roman"/>
          <w:lang w:val="sr-Cyrl-RS"/>
        </w:rPr>
        <w:t xml:space="preserve"> 6 </w:t>
      </w:r>
      <w:r>
        <w:rPr>
          <w:rFonts w:cs="Times New Roman"/>
          <w:lang w:val="en-US"/>
        </w:rPr>
        <w:t>of the National Assembly Rules of Procedure</w:t>
      </w:r>
      <w:r>
        <w:rPr>
          <w:rFonts w:cs="Times New Roman"/>
          <w:lang w:val="sr-Cyrl-RS"/>
        </w:rPr>
        <w:t>.</w:t>
      </w:r>
    </w:p>
  </w:footnote>
  <w:footnote w:id="48">
    <w:p w14:paraId="4C46D8BD" w14:textId="5D1D1EDA" w:rsidR="00B37F05" w:rsidRPr="007E0D96" w:rsidRDefault="00B37F05" w:rsidP="001F7C0A">
      <w:pPr>
        <w:pStyle w:val="FootnoteText"/>
        <w:ind w:firstLine="0"/>
        <w:rPr>
          <w:lang w:val="sr-Cyrl-RS"/>
        </w:rPr>
      </w:pPr>
      <w:r w:rsidRPr="007E0D96">
        <w:rPr>
          <w:rStyle w:val="FootnoteReference"/>
        </w:rPr>
        <w:footnoteRef/>
      </w:r>
      <w:r w:rsidRPr="007E0D96">
        <w:t xml:space="preserve"> </w:t>
      </w:r>
      <w:r>
        <w:rPr>
          <w:rFonts w:cs="Times New Roman"/>
          <w:lang w:val="en-US"/>
        </w:rPr>
        <w:t>Article</w:t>
      </w:r>
      <w:r>
        <w:rPr>
          <w:rFonts w:cs="Times New Roman"/>
          <w:lang w:val="sr-Cyrl-RS"/>
        </w:rPr>
        <w:t xml:space="preserve"> 161 and 162</w:t>
      </w:r>
      <w:r w:rsidRPr="007E0D96">
        <w:rPr>
          <w:rFonts w:cs="Times New Roman"/>
          <w:lang w:val="sr-Cyrl-RS"/>
        </w:rPr>
        <w:t xml:space="preserve"> </w:t>
      </w:r>
      <w:r>
        <w:rPr>
          <w:rFonts w:cs="Times New Roman"/>
          <w:lang w:val="en-US"/>
        </w:rPr>
        <w:t>of the National Assembly Rules of Procedure</w:t>
      </w:r>
      <w:r w:rsidRPr="007E0D96">
        <w:rPr>
          <w:rFonts w:cs="Times New Roman"/>
          <w:lang w:val="sr-Cyrl-RS"/>
        </w:rPr>
        <w:t>.</w:t>
      </w:r>
    </w:p>
  </w:footnote>
  <w:footnote w:id="49">
    <w:p w14:paraId="54F5A818" w14:textId="0BDFC4F4" w:rsidR="00B37F05" w:rsidRPr="007E0D96" w:rsidRDefault="00B37F05" w:rsidP="001F7C0A">
      <w:pPr>
        <w:pStyle w:val="FootnoteText"/>
        <w:ind w:firstLine="0"/>
        <w:rPr>
          <w:lang w:val="sr-Cyrl-RS"/>
        </w:rPr>
      </w:pPr>
      <w:r w:rsidRPr="007E0D96">
        <w:rPr>
          <w:rStyle w:val="FootnoteReference"/>
        </w:rPr>
        <w:footnoteRef/>
      </w:r>
      <w:r w:rsidRPr="007E0D96">
        <w:t xml:space="preserve"> </w:t>
      </w:r>
      <w:r>
        <w:rPr>
          <w:rFonts w:cs="Times New Roman"/>
          <w:lang w:val="en-US"/>
        </w:rPr>
        <w:t>Article</w:t>
      </w:r>
      <w:r>
        <w:rPr>
          <w:rFonts w:cs="Times New Roman"/>
          <w:lang w:val="sr-Cyrl-RS"/>
        </w:rPr>
        <w:t xml:space="preserve"> 150 </w:t>
      </w:r>
      <w:r>
        <w:rPr>
          <w:rFonts w:cs="Times New Roman"/>
          <w:lang w:val="en-US"/>
        </w:rPr>
        <w:t>Paragraph</w:t>
      </w:r>
      <w:r w:rsidRPr="007E0D96">
        <w:rPr>
          <w:rFonts w:cs="Times New Roman"/>
          <w:lang w:val="sr-Cyrl-RS"/>
        </w:rPr>
        <w:t xml:space="preserve"> </w:t>
      </w:r>
      <w:r>
        <w:rPr>
          <w:rFonts w:cs="Times New Roman"/>
          <w:lang w:val="sr-Cyrl-RS"/>
        </w:rPr>
        <w:t>2</w:t>
      </w:r>
      <w:r w:rsidRPr="007E0D96">
        <w:rPr>
          <w:rFonts w:cs="Times New Roman"/>
          <w:lang w:val="sr-Cyrl-RS"/>
        </w:rPr>
        <w:t xml:space="preserve"> </w:t>
      </w:r>
      <w:r>
        <w:rPr>
          <w:rFonts w:cs="Times New Roman"/>
          <w:lang w:val="en-US"/>
        </w:rPr>
        <w:t>of the National Assembly Rules of Procedure</w:t>
      </w:r>
      <w:r w:rsidRPr="007E0D96">
        <w:rPr>
          <w:rFonts w:cs="Times New Roman"/>
          <w:lang w:val="sr-Cyrl-RS"/>
        </w:rPr>
        <w:t>.</w:t>
      </w:r>
    </w:p>
  </w:footnote>
  <w:footnote w:id="50">
    <w:p w14:paraId="1CF7FBBB" w14:textId="3870ED13" w:rsidR="00B37F05" w:rsidRDefault="00B37F05" w:rsidP="003C394A">
      <w:pPr>
        <w:pStyle w:val="FootnoteText"/>
        <w:ind w:firstLine="0"/>
        <w:rPr>
          <w:lang w:val="sr-Latn-RS"/>
        </w:rPr>
      </w:pPr>
      <w:r>
        <w:rPr>
          <w:rStyle w:val="FootnoteReference"/>
        </w:rPr>
        <w:footnoteRef/>
      </w:r>
      <w:r>
        <w:t xml:space="preserve"> </w:t>
      </w:r>
      <w:r w:rsidRPr="007E6760">
        <w:rPr>
          <w:lang w:val="en-US"/>
        </w:rPr>
        <w:t>The case refers to the cases which emerged from the actions upon complaints and upon own initiatives in individual area/department</w:t>
      </w:r>
      <w:r>
        <w:rPr>
          <w:lang w:val="sr-Latn-RS"/>
        </w:rPr>
        <w:t>.</w:t>
      </w:r>
    </w:p>
  </w:footnote>
  <w:footnote w:id="51">
    <w:p w14:paraId="5E8607DE" w14:textId="683E8327" w:rsidR="00B37F05" w:rsidRPr="00A15E55" w:rsidRDefault="00B37F05" w:rsidP="00B63BD8">
      <w:pPr>
        <w:pStyle w:val="FootnoteText"/>
        <w:ind w:firstLine="0"/>
        <w:rPr>
          <w:lang w:val="sr-Cyrl-RS"/>
        </w:rPr>
      </w:pPr>
      <w:r w:rsidRPr="00A15E55">
        <w:rPr>
          <w:rStyle w:val="FootnoteReference"/>
        </w:rPr>
        <w:footnoteRef/>
      </w:r>
      <w:r w:rsidRPr="00A15E55">
        <w:t xml:space="preserve"> </w:t>
      </w:r>
      <w:r w:rsidR="00BA297C">
        <w:rPr>
          <w:lang w:val="en-US"/>
        </w:rPr>
        <w:t>No. of case</w:t>
      </w:r>
      <w:r>
        <w:rPr>
          <w:lang w:val="sr-Cyrl-RS"/>
        </w:rPr>
        <w:t xml:space="preserve"> 321-362/</w:t>
      </w:r>
      <w:r w:rsidRPr="00A15E55">
        <w:rPr>
          <w:lang w:val="sr-Cyrl-RS"/>
        </w:rPr>
        <w:t>23</w:t>
      </w:r>
      <w:r>
        <w:rPr>
          <w:lang w:val="sr-Cyrl-RS"/>
        </w:rPr>
        <w:t>.</w:t>
      </w:r>
    </w:p>
  </w:footnote>
  <w:footnote w:id="52">
    <w:p w14:paraId="7EEB7116" w14:textId="77627D1D" w:rsidR="00430FF9" w:rsidRPr="00360C14" w:rsidRDefault="00430FF9" w:rsidP="00430FF9">
      <w:pPr>
        <w:pStyle w:val="FootnoteText"/>
        <w:ind w:firstLine="0"/>
        <w:rPr>
          <w:lang w:val="sr-Cyrl-RS"/>
        </w:rPr>
      </w:pPr>
      <w:r w:rsidRPr="00360C14">
        <w:rPr>
          <w:rStyle w:val="FootnoteReference"/>
        </w:rPr>
        <w:footnoteRef/>
      </w:r>
      <w:r w:rsidRPr="00360C14">
        <w:t xml:space="preserve"> </w:t>
      </w:r>
      <w:r w:rsidR="00BA297C">
        <w:rPr>
          <w:lang w:val="en-US"/>
        </w:rPr>
        <w:t>No. of case</w:t>
      </w:r>
      <w:r w:rsidRPr="00360C14">
        <w:rPr>
          <w:lang w:val="sr-Cyrl-RS"/>
        </w:rPr>
        <w:t xml:space="preserve"> 321-574/23.</w:t>
      </w:r>
    </w:p>
  </w:footnote>
  <w:footnote w:id="53">
    <w:p w14:paraId="2B57832C" w14:textId="3A3CF4BC" w:rsidR="00430FF9" w:rsidRPr="00360C14" w:rsidRDefault="00430FF9" w:rsidP="00430FF9">
      <w:pPr>
        <w:pStyle w:val="FootnoteText"/>
        <w:ind w:firstLine="0"/>
        <w:rPr>
          <w:lang w:val="sr-Cyrl-RS"/>
        </w:rPr>
      </w:pPr>
      <w:r w:rsidRPr="00360C14">
        <w:rPr>
          <w:rStyle w:val="FootnoteReference"/>
        </w:rPr>
        <w:footnoteRef/>
      </w:r>
      <w:r w:rsidRPr="00360C14">
        <w:t xml:space="preserve"> </w:t>
      </w:r>
      <w:r w:rsidR="00BA297C">
        <w:rPr>
          <w:lang w:val="en-US"/>
        </w:rPr>
        <w:t>No. of case</w:t>
      </w:r>
      <w:r w:rsidRPr="00360C14">
        <w:rPr>
          <w:lang w:val="sr-Cyrl-RS"/>
        </w:rPr>
        <w:t xml:space="preserve"> 321-110/23. </w:t>
      </w:r>
    </w:p>
  </w:footnote>
  <w:footnote w:id="54">
    <w:p w14:paraId="5F2979AE" w14:textId="53CECA0D" w:rsidR="00CA7A81" w:rsidRPr="00B265F4" w:rsidRDefault="00CA7A81" w:rsidP="00CA7A81">
      <w:pPr>
        <w:pStyle w:val="FootnoteText"/>
        <w:ind w:firstLine="0"/>
        <w:rPr>
          <w:lang w:val="sr-Cyrl-RS"/>
        </w:rPr>
      </w:pPr>
      <w:r w:rsidRPr="00360C14">
        <w:rPr>
          <w:rStyle w:val="FootnoteReference"/>
        </w:rPr>
        <w:footnoteRef/>
      </w:r>
      <w:r w:rsidRPr="00360C14">
        <w:t xml:space="preserve"> </w:t>
      </w:r>
      <w:r w:rsidR="00BA297C">
        <w:rPr>
          <w:lang w:val="en-US"/>
        </w:rPr>
        <w:t>No. of case</w:t>
      </w:r>
      <w:r w:rsidRPr="00360C14">
        <w:rPr>
          <w:lang w:val="sr-Cyrl-RS"/>
        </w:rPr>
        <w:t xml:space="preserve"> 321-65/23.</w:t>
      </w:r>
      <w:r w:rsidRPr="00B265F4">
        <w:rPr>
          <w:lang w:val="sr-Cyrl-RS"/>
        </w:rPr>
        <w:t xml:space="preserve"> </w:t>
      </w:r>
    </w:p>
  </w:footnote>
  <w:footnote w:id="55">
    <w:p w14:paraId="7A511BB0" w14:textId="5400912D" w:rsidR="00CA7A81" w:rsidRPr="00BA41CE" w:rsidRDefault="00CA7A81" w:rsidP="00CA7A81">
      <w:pPr>
        <w:pStyle w:val="FootnoteText"/>
        <w:ind w:firstLine="0"/>
        <w:rPr>
          <w:lang w:val="sr-Cyrl-RS"/>
        </w:rPr>
      </w:pPr>
      <w:r w:rsidRPr="00BA41CE">
        <w:rPr>
          <w:rStyle w:val="FootnoteReference"/>
        </w:rPr>
        <w:footnoteRef/>
      </w:r>
      <w:r w:rsidRPr="00BA41CE">
        <w:t xml:space="preserve"> </w:t>
      </w:r>
      <w:r w:rsidR="00BA297C">
        <w:rPr>
          <w:lang w:val="en-US"/>
        </w:rPr>
        <w:t>No. of case</w:t>
      </w:r>
      <w:r>
        <w:rPr>
          <w:lang w:val="sr-Cyrl-RS"/>
        </w:rPr>
        <w:t xml:space="preserve"> </w:t>
      </w:r>
      <w:r w:rsidRPr="00BA41CE">
        <w:rPr>
          <w:lang w:val="sr-Cyrl-RS"/>
        </w:rPr>
        <w:t>321-384/22</w:t>
      </w:r>
      <w:r>
        <w:rPr>
          <w:lang w:val="sr-Cyrl-RS"/>
        </w:rPr>
        <w:t>.</w:t>
      </w:r>
      <w:r w:rsidRPr="00BA41CE">
        <w:rPr>
          <w:lang w:val="sr-Cyrl-RS"/>
        </w:rPr>
        <w:t xml:space="preserve"> </w:t>
      </w:r>
    </w:p>
  </w:footnote>
  <w:footnote w:id="56">
    <w:p w14:paraId="4D499391" w14:textId="6ABC5787" w:rsidR="00CA7A81" w:rsidRPr="00BA41CE" w:rsidRDefault="00CA7A81" w:rsidP="00CA7A81">
      <w:pPr>
        <w:pStyle w:val="FootnoteText"/>
        <w:ind w:firstLine="0"/>
        <w:rPr>
          <w:lang w:val="sr-Cyrl-RS"/>
        </w:rPr>
      </w:pPr>
      <w:r w:rsidRPr="00BA41CE">
        <w:rPr>
          <w:rStyle w:val="FootnoteReference"/>
        </w:rPr>
        <w:footnoteRef/>
      </w:r>
      <w:r w:rsidRPr="00BA41CE">
        <w:t xml:space="preserve"> </w:t>
      </w:r>
      <w:r w:rsidR="00BA297C">
        <w:rPr>
          <w:lang w:val="en-US"/>
        </w:rPr>
        <w:t>No. of case</w:t>
      </w:r>
      <w:r>
        <w:rPr>
          <w:lang w:val="sr-Cyrl-RS"/>
        </w:rPr>
        <w:t xml:space="preserve"> </w:t>
      </w:r>
      <w:r w:rsidRPr="00BA41CE">
        <w:rPr>
          <w:lang w:val="sr-Cyrl-RS"/>
        </w:rPr>
        <w:t>321-241/22</w:t>
      </w:r>
      <w:r>
        <w:rPr>
          <w:lang w:val="sr-Cyrl-RS"/>
        </w:rPr>
        <w:t>.</w:t>
      </w:r>
    </w:p>
  </w:footnote>
  <w:footnote w:id="57">
    <w:p w14:paraId="3A91CB81" w14:textId="23B3525A" w:rsidR="00362A0B" w:rsidRPr="00964F69" w:rsidRDefault="00362A0B" w:rsidP="00362A0B">
      <w:pPr>
        <w:pStyle w:val="FootnoteText"/>
        <w:ind w:firstLine="0"/>
        <w:rPr>
          <w:lang w:val="sr-Cyrl-RS"/>
        </w:rPr>
      </w:pPr>
      <w:r w:rsidRPr="001360D5">
        <w:rPr>
          <w:rStyle w:val="FootnoteReference"/>
        </w:rPr>
        <w:footnoteRef/>
      </w:r>
      <w:r w:rsidRPr="001360D5">
        <w:rPr>
          <w:lang w:val="sr-Cyrl-RS"/>
        </w:rPr>
        <w:t xml:space="preserve"> </w:t>
      </w:r>
      <w:r w:rsidR="00BA297C">
        <w:rPr>
          <w:lang w:val="en-US"/>
        </w:rPr>
        <w:t>No. of case</w:t>
      </w:r>
      <w:r w:rsidRPr="001360D5">
        <w:rPr>
          <w:lang w:val="sr-Cyrl-RS"/>
        </w:rPr>
        <w:t xml:space="preserve"> 321-511/23.</w:t>
      </w:r>
    </w:p>
  </w:footnote>
  <w:footnote w:id="58">
    <w:p w14:paraId="4E6CF67E" w14:textId="720904C3" w:rsidR="00BA297C" w:rsidRPr="001360D5" w:rsidRDefault="00BA297C" w:rsidP="00BA297C">
      <w:pPr>
        <w:pStyle w:val="FootnoteText"/>
        <w:ind w:firstLine="0"/>
        <w:rPr>
          <w:lang w:val="sr-Cyrl-RS"/>
        </w:rPr>
      </w:pPr>
      <w:r w:rsidRPr="001360D5">
        <w:rPr>
          <w:rStyle w:val="FootnoteReference"/>
        </w:rPr>
        <w:footnoteRef/>
      </w:r>
      <w:r w:rsidRPr="001360D5">
        <w:t xml:space="preserve"> </w:t>
      </w:r>
      <w:r>
        <w:rPr>
          <w:lang w:val="en-US"/>
        </w:rPr>
        <w:t>No. of case</w:t>
      </w:r>
      <w:r w:rsidRPr="001360D5">
        <w:rPr>
          <w:lang w:val="sr-Cyrl-RS"/>
        </w:rPr>
        <w:t xml:space="preserve"> 321-613/20.</w:t>
      </w:r>
    </w:p>
  </w:footnote>
  <w:footnote w:id="59">
    <w:p w14:paraId="5A7E1CF8" w14:textId="6ABDF27F" w:rsidR="00BA297C" w:rsidRPr="00964F69" w:rsidRDefault="00BA297C" w:rsidP="00BA297C">
      <w:pPr>
        <w:pStyle w:val="FootnoteText"/>
        <w:ind w:firstLine="0"/>
        <w:rPr>
          <w:lang w:val="sr-Cyrl-RS"/>
        </w:rPr>
      </w:pPr>
      <w:r w:rsidRPr="001360D5">
        <w:rPr>
          <w:rStyle w:val="FootnoteReference"/>
        </w:rPr>
        <w:footnoteRef/>
      </w:r>
      <w:r w:rsidRPr="001360D5">
        <w:t xml:space="preserve"> </w:t>
      </w:r>
      <w:r>
        <w:rPr>
          <w:lang w:val="en-US"/>
        </w:rPr>
        <w:t>No. of case</w:t>
      </w:r>
      <w:r>
        <w:rPr>
          <w:lang w:val="en-US"/>
        </w:rPr>
        <w:t>s</w:t>
      </w:r>
      <w:r>
        <w:rPr>
          <w:lang w:val="sr-Cyrl-RS"/>
        </w:rPr>
        <w:t xml:space="preserve"> 321-355/23 </w:t>
      </w:r>
      <w:r>
        <w:rPr>
          <w:lang w:val="en-US"/>
        </w:rPr>
        <w:t>and</w:t>
      </w:r>
      <w:r>
        <w:rPr>
          <w:lang w:val="sr-Cyrl-RS"/>
        </w:rPr>
        <w:t xml:space="preserve"> </w:t>
      </w:r>
      <w:r w:rsidRPr="001360D5">
        <w:rPr>
          <w:lang w:val="sr-Cyrl-RS"/>
        </w:rPr>
        <w:t>321-227/22.</w:t>
      </w:r>
    </w:p>
  </w:footnote>
  <w:footnote w:id="60">
    <w:p w14:paraId="32D43F03" w14:textId="4E46F5F6" w:rsidR="00B37F05" w:rsidRPr="00BB1AC6" w:rsidRDefault="00B37F05" w:rsidP="004D666A">
      <w:pPr>
        <w:pStyle w:val="FootnoteText"/>
        <w:ind w:firstLine="0"/>
        <w:rPr>
          <w:lang w:val="sr-Cyrl-RS"/>
        </w:rPr>
      </w:pPr>
      <w:r w:rsidRPr="00BB1AC6">
        <w:rPr>
          <w:rStyle w:val="FootnoteReference"/>
        </w:rPr>
        <w:footnoteRef/>
      </w:r>
      <w:r w:rsidRPr="00BB1AC6">
        <w:t xml:space="preserve"> </w:t>
      </w:r>
      <w:r w:rsidR="00BA297C">
        <w:rPr>
          <w:lang w:val="en-US"/>
        </w:rPr>
        <w:t>No. of case</w:t>
      </w:r>
      <w:r>
        <w:rPr>
          <w:lang w:val="en-US"/>
        </w:rPr>
        <w:t>s</w:t>
      </w:r>
      <w:r w:rsidRPr="00BB1AC6">
        <w:rPr>
          <w:lang w:val="sr-Cyrl-RS"/>
        </w:rPr>
        <w:t xml:space="preserve"> 321-247/22 </w:t>
      </w:r>
      <w:r>
        <w:rPr>
          <w:lang w:val="en-US"/>
        </w:rPr>
        <w:t>and</w:t>
      </w:r>
      <w:r w:rsidRPr="00BB1AC6">
        <w:rPr>
          <w:lang w:val="sr-Cyrl-RS"/>
        </w:rPr>
        <w:t xml:space="preserve"> 321-131/21. </w:t>
      </w:r>
    </w:p>
  </w:footnote>
  <w:footnote w:id="61">
    <w:p w14:paraId="13822105" w14:textId="00028526" w:rsidR="00B37F05" w:rsidRPr="00964F69" w:rsidRDefault="00B37F05" w:rsidP="00E76550">
      <w:pPr>
        <w:pStyle w:val="FootnoteText"/>
        <w:ind w:firstLine="0"/>
        <w:rPr>
          <w:lang w:val="sr-Cyrl-RS"/>
        </w:rPr>
      </w:pPr>
      <w:r w:rsidRPr="00BB1AC6">
        <w:rPr>
          <w:rStyle w:val="FootnoteReference"/>
        </w:rPr>
        <w:footnoteRef/>
      </w:r>
      <w:r w:rsidRPr="00BB1AC6">
        <w:t xml:space="preserve"> </w:t>
      </w:r>
      <w:r w:rsidR="00BA297C">
        <w:rPr>
          <w:lang w:val="en-US"/>
        </w:rPr>
        <w:t>No. of case</w:t>
      </w:r>
      <w:r w:rsidRPr="00BB1AC6">
        <w:rPr>
          <w:lang w:val="sr-Cyrl-RS"/>
        </w:rPr>
        <w:t xml:space="preserve"> 321-106/23.</w:t>
      </w:r>
      <w:r w:rsidRPr="00964F69">
        <w:rPr>
          <w:lang w:val="sr-Cyrl-RS"/>
        </w:rPr>
        <w:t xml:space="preserve"> </w:t>
      </w:r>
    </w:p>
  </w:footnote>
  <w:footnote w:id="62">
    <w:p w14:paraId="023988DF" w14:textId="4BF353FA" w:rsidR="00B37F05" w:rsidRPr="00964F69" w:rsidRDefault="00B37F05" w:rsidP="009524BC">
      <w:pPr>
        <w:pStyle w:val="FootnoteText"/>
        <w:ind w:firstLine="0"/>
        <w:jc w:val="left"/>
        <w:rPr>
          <w:lang w:val="sr-Cyrl-RS"/>
        </w:rPr>
      </w:pPr>
      <w:r w:rsidRPr="00964F69">
        <w:rPr>
          <w:rStyle w:val="FootnoteReference"/>
        </w:rPr>
        <w:footnoteRef/>
      </w:r>
      <w:r w:rsidRPr="00964F69">
        <w:t xml:space="preserve"> </w:t>
      </w:r>
      <w:r>
        <w:rPr>
          <w:lang w:val="en-US"/>
        </w:rPr>
        <w:t>Special report of the Protector of Citizens on services of additional support to children and students in education, available at</w:t>
      </w:r>
      <w:r>
        <w:rPr>
          <w:lang w:val="sr-Cyrl-RS"/>
        </w:rPr>
        <w:t xml:space="preserve">: </w:t>
      </w:r>
      <w:hyperlink r:id="rId23" w:history="1">
        <w:r w:rsidRPr="00964F69">
          <w:rPr>
            <w:rStyle w:val="Hyperlink"/>
            <w:lang w:val="sr-Cyrl-RS"/>
          </w:rPr>
          <w:t>https://www.ombudsman.rs/index.php/izvestaji/posebnii-izvestaji/5927-in-luzivn-br-z-v-nj-uslug-d-d-n-p-drsh-d-ci-i-uc-nici-u-br-z-v-nju</w:t>
        </w:r>
      </w:hyperlink>
      <w:r w:rsidRPr="00964F69">
        <w:rPr>
          <w:lang w:val="sr-Cyrl-RS"/>
        </w:rPr>
        <w:t xml:space="preserve">. </w:t>
      </w:r>
    </w:p>
  </w:footnote>
  <w:footnote w:id="63">
    <w:p w14:paraId="7444947F" w14:textId="41EA7C9E" w:rsidR="00B37F05" w:rsidRPr="00964F69" w:rsidRDefault="00B37F05" w:rsidP="00E76550">
      <w:pPr>
        <w:pStyle w:val="FootnoteText"/>
        <w:ind w:firstLine="0"/>
        <w:rPr>
          <w:lang w:val="sr-Cyrl-RS"/>
        </w:rPr>
      </w:pPr>
      <w:r w:rsidRPr="00964F69">
        <w:rPr>
          <w:rStyle w:val="FootnoteReference"/>
        </w:rPr>
        <w:footnoteRef/>
      </w:r>
      <w:r w:rsidRPr="00964F69">
        <w:t xml:space="preserve"> </w:t>
      </w:r>
      <w:r w:rsidR="00BA297C">
        <w:rPr>
          <w:lang w:val="en-US"/>
        </w:rPr>
        <w:t>No. of case</w:t>
      </w:r>
      <w:r w:rsidRPr="00BB1AC6">
        <w:rPr>
          <w:lang w:val="sr-Cyrl-RS"/>
        </w:rPr>
        <w:t xml:space="preserve"> 315-374/23.</w:t>
      </w:r>
    </w:p>
  </w:footnote>
  <w:footnote w:id="64">
    <w:p w14:paraId="1328305D" w14:textId="1C89A728" w:rsidR="00B37F05" w:rsidRPr="00A64A76" w:rsidRDefault="00B37F05" w:rsidP="00A64A76">
      <w:pPr>
        <w:pStyle w:val="FootnoteText"/>
        <w:ind w:firstLine="0"/>
        <w:rPr>
          <w:lang w:val="sr-Cyrl-RS"/>
        </w:rPr>
      </w:pPr>
      <w:r>
        <w:rPr>
          <w:rStyle w:val="FootnoteReference"/>
        </w:rPr>
        <w:footnoteRef/>
      </w:r>
      <w:r>
        <w:t xml:space="preserve"> </w:t>
      </w:r>
      <w:r>
        <w:rPr>
          <w:lang w:val="en-US"/>
        </w:rPr>
        <w:t>Available at</w:t>
      </w:r>
      <w:r w:rsidRPr="004F566C">
        <w:t xml:space="preserve"> </w:t>
      </w:r>
      <w:hyperlink r:id="rId24" w:history="1">
        <w:r w:rsidRPr="00867CCD">
          <w:rPr>
            <w:rStyle w:val="Hyperlink"/>
            <w:lang w:val="sr-Cyrl-RS"/>
          </w:rPr>
          <w:t>https://www.ombudsman.rs/%20index.php/2011-12-11-11-34-45/7855-ishlj-nj-z-sh-i-ni-gr-d-n-n-d-pun-z-n-z-sh-i-i-lic-s-n-lni-s-nj</w:t>
        </w:r>
      </w:hyperlink>
      <w:r>
        <w:rPr>
          <w:lang w:val="sr-Cyrl-RS"/>
        </w:rPr>
        <w:t>.</w:t>
      </w:r>
    </w:p>
  </w:footnote>
  <w:footnote w:id="65">
    <w:p w14:paraId="0C9EDE94" w14:textId="4743259E" w:rsidR="00B37F05" w:rsidRPr="00C85450" w:rsidRDefault="00B37F05" w:rsidP="00B60910">
      <w:pPr>
        <w:pStyle w:val="FootnoteText"/>
        <w:ind w:firstLine="0"/>
        <w:rPr>
          <w:lang w:val="sr-Cyrl-RS"/>
        </w:rPr>
      </w:pPr>
      <w:r w:rsidRPr="004F566C">
        <w:rPr>
          <w:rStyle w:val="FootnoteReference"/>
        </w:rPr>
        <w:footnoteRef/>
      </w:r>
      <w:r w:rsidRPr="004F566C">
        <w:rPr>
          <w:lang w:val="sr-Cyrl-RS"/>
        </w:rPr>
        <w:t xml:space="preserve"> </w:t>
      </w:r>
      <w:r>
        <w:rPr>
          <w:lang w:val="en-US"/>
        </w:rPr>
        <w:t>Article</w:t>
      </w:r>
      <w:r>
        <w:rPr>
          <w:lang w:val="sr-Cyrl-RS"/>
        </w:rPr>
        <w:t xml:space="preserve"> 24</w:t>
      </w:r>
      <w:r w:rsidRPr="004F566C">
        <w:rPr>
          <w:lang w:val="sr-Cyrl-RS"/>
        </w:rPr>
        <w:t xml:space="preserve"> </w:t>
      </w:r>
      <w:r>
        <w:rPr>
          <w:lang w:val="en-US"/>
        </w:rPr>
        <w:t>of the UN Convention on the rights of the child</w:t>
      </w:r>
      <w:r>
        <w:rPr>
          <w:lang w:val="sr-Cyrl-RS"/>
        </w:rPr>
        <w:t>.</w:t>
      </w:r>
    </w:p>
  </w:footnote>
  <w:footnote w:id="66">
    <w:p w14:paraId="45CD9241" w14:textId="544710A5" w:rsidR="00B37F05" w:rsidRPr="004F566C" w:rsidRDefault="00B37F05" w:rsidP="00B60910">
      <w:pPr>
        <w:pStyle w:val="FootnoteText"/>
        <w:ind w:firstLine="0"/>
        <w:rPr>
          <w:lang w:val="sr-Cyrl-RS"/>
        </w:rPr>
      </w:pPr>
      <w:r w:rsidRPr="004F566C">
        <w:rPr>
          <w:rStyle w:val="FootnoteReference"/>
        </w:rPr>
        <w:footnoteRef/>
      </w:r>
      <w:r w:rsidRPr="004F566C">
        <w:t xml:space="preserve"> </w:t>
      </w:r>
      <w:r>
        <w:rPr>
          <w:lang w:val="en-US"/>
        </w:rPr>
        <w:t>Article</w:t>
      </w:r>
      <w:r>
        <w:rPr>
          <w:lang w:val="sr-Cyrl-RS"/>
        </w:rPr>
        <w:t xml:space="preserve"> 37</w:t>
      </w:r>
      <w:r w:rsidRPr="004F566C">
        <w:rPr>
          <w:lang w:val="sr-Cyrl-RS"/>
        </w:rPr>
        <w:t xml:space="preserve"> </w:t>
      </w:r>
      <w:r>
        <w:rPr>
          <w:lang w:val="en-US"/>
        </w:rPr>
        <w:t>UN Convention on the rights of the child</w:t>
      </w:r>
      <w:r>
        <w:rPr>
          <w:lang w:val="sr-Cyrl-RS"/>
        </w:rPr>
        <w:t>.</w:t>
      </w:r>
    </w:p>
  </w:footnote>
  <w:footnote w:id="67">
    <w:p w14:paraId="7A70B42E" w14:textId="457B044E" w:rsidR="00B37F05" w:rsidRPr="002141EE" w:rsidRDefault="00B37F05" w:rsidP="00B60910">
      <w:pPr>
        <w:pStyle w:val="FootnoteText"/>
        <w:ind w:firstLine="0"/>
        <w:rPr>
          <w:highlight w:val="yellow"/>
          <w:lang w:val="sr-Cyrl-RS"/>
        </w:rPr>
      </w:pPr>
      <w:r w:rsidRPr="00BB1AC6">
        <w:rPr>
          <w:rStyle w:val="FootnoteReference"/>
        </w:rPr>
        <w:footnoteRef/>
      </w:r>
      <w:r w:rsidRPr="00BB1AC6">
        <w:t xml:space="preserve"> </w:t>
      </w:r>
      <w:r w:rsidR="00BA297C">
        <w:rPr>
          <w:lang w:val="en-US"/>
        </w:rPr>
        <w:t>No. of case</w:t>
      </w:r>
      <w:r w:rsidRPr="00BB1AC6">
        <w:rPr>
          <w:lang w:val="sr-Cyrl-RS"/>
        </w:rPr>
        <w:t xml:space="preserve"> 353-23/23. </w:t>
      </w:r>
    </w:p>
  </w:footnote>
  <w:footnote w:id="68">
    <w:p w14:paraId="50BD507B" w14:textId="04BD5349" w:rsidR="00B37F05" w:rsidRPr="00B60910" w:rsidRDefault="00B37F05" w:rsidP="00B60910">
      <w:pPr>
        <w:pStyle w:val="FootnoteText"/>
        <w:ind w:firstLine="0"/>
        <w:rPr>
          <w:lang w:val="sr-Latn-RS"/>
        </w:rPr>
      </w:pPr>
      <w:r w:rsidRPr="00D57AE3">
        <w:rPr>
          <w:rStyle w:val="FootnoteReference"/>
        </w:rPr>
        <w:footnoteRef/>
      </w:r>
      <w:r w:rsidRPr="00D57AE3">
        <w:t xml:space="preserve"> </w:t>
      </w:r>
      <w:r w:rsidR="00BA297C">
        <w:rPr>
          <w:lang w:val="en-US"/>
        </w:rPr>
        <w:t>No. of case</w:t>
      </w:r>
      <w:r w:rsidRPr="00D57AE3">
        <w:rPr>
          <w:lang w:val="sr-Cyrl-RS"/>
        </w:rPr>
        <w:t xml:space="preserve"> 353-23/23. </w:t>
      </w:r>
    </w:p>
  </w:footnote>
  <w:footnote w:id="69">
    <w:p w14:paraId="4BDC13B6" w14:textId="37D6DFE2" w:rsidR="00B37F05" w:rsidRPr="005A1BCC" w:rsidRDefault="00B37F05" w:rsidP="005A1BCC">
      <w:pPr>
        <w:pStyle w:val="FootnoteText"/>
        <w:ind w:firstLine="0"/>
        <w:rPr>
          <w:lang w:val="sr-Cyrl-RS"/>
        </w:rPr>
      </w:pPr>
      <w:r>
        <w:rPr>
          <w:rStyle w:val="FootnoteReference"/>
        </w:rPr>
        <w:footnoteRef/>
      </w:r>
      <w:r>
        <w:t xml:space="preserve"> </w:t>
      </w:r>
      <w:r>
        <w:rPr>
          <w:lang w:val="en-US"/>
        </w:rPr>
        <w:t>Available at</w:t>
      </w:r>
      <w:r>
        <w:rPr>
          <w:lang w:val="sr-Cyrl-RS"/>
        </w:rPr>
        <w:t xml:space="preserve"> </w:t>
      </w:r>
      <w:hyperlink r:id="rId25" w:history="1">
        <w:r w:rsidRPr="004A434F">
          <w:rPr>
            <w:rStyle w:val="Hyperlink"/>
          </w:rPr>
          <w:t>https://www.ombudsman.rs/index.php/izvestaji/posebnii-izvestaji/7910-p-s-b-n-izv-sh-z-sh-i-ni-gr-d-n-n-silju-u-sh-l</w:t>
        </w:r>
      </w:hyperlink>
      <w:r>
        <w:rPr>
          <w:lang w:val="sr-Cyrl-RS"/>
        </w:rPr>
        <w:t xml:space="preserve"> </w:t>
      </w:r>
    </w:p>
  </w:footnote>
  <w:footnote w:id="70">
    <w:p w14:paraId="21D98928" w14:textId="10204F71" w:rsidR="00B37F05" w:rsidRPr="00BA2A4B" w:rsidRDefault="00B37F05" w:rsidP="008F37C0">
      <w:pPr>
        <w:pStyle w:val="FootnoteText"/>
        <w:ind w:firstLine="0"/>
        <w:rPr>
          <w:lang w:val="sr-Cyrl-RS"/>
        </w:rPr>
      </w:pPr>
      <w:r w:rsidRPr="000D5756">
        <w:rPr>
          <w:rStyle w:val="FootnoteReference"/>
        </w:rPr>
        <w:footnoteRef/>
      </w:r>
      <w:r w:rsidRPr="000D5756">
        <w:t xml:space="preserve"> </w:t>
      </w:r>
      <w:r>
        <w:rPr>
          <w:lang w:val="en-US"/>
        </w:rPr>
        <w:t>Available at</w:t>
      </w:r>
      <w:r w:rsidRPr="00BA2A4B">
        <w:rPr>
          <w:lang w:val="sr-Cyrl-RS"/>
        </w:rPr>
        <w:t xml:space="preserve">: </w:t>
      </w:r>
      <w:hyperlink r:id="rId26" w:history="1">
        <w:r w:rsidRPr="00BA2A4B">
          <w:rPr>
            <w:rStyle w:val="Hyperlink"/>
          </w:rPr>
          <w:t>https://www.ombudsman.rs/index.php/2011-12-11-11-34-45/7860-n-pl-c-ni-ucni-r-d-sn-v-z-s-v-riv-nj-pr-v-n-zdr-vs-v-n-sigur-nj</w:t>
        </w:r>
      </w:hyperlink>
      <w:r w:rsidRPr="00BA2A4B">
        <w:rPr>
          <w:lang w:val="sr-Cyrl-RS"/>
        </w:rPr>
        <w:t xml:space="preserve">. </w:t>
      </w:r>
    </w:p>
  </w:footnote>
  <w:footnote w:id="71">
    <w:p w14:paraId="316F8C10" w14:textId="04429B9A" w:rsidR="00B37F05" w:rsidRPr="0083291E" w:rsidRDefault="00B37F05" w:rsidP="008F37C0">
      <w:pPr>
        <w:pStyle w:val="FootnoteText"/>
        <w:ind w:firstLine="0"/>
        <w:rPr>
          <w:lang w:val="sr-Latn-RS"/>
        </w:rPr>
      </w:pPr>
      <w:r w:rsidRPr="00C61864">
        <w:rPr>
          <w:rStyle w:val="FootnoteReference"/>
        </w:rPr>
        <w:footnoteRef/>
      </w:r>
      <w:r w:rsidRPr="00C61864">
        <w:t xml:space="preserve"> </w:t>
      </w:r>
      <w:r>
        <w:rPr>
          <w:lang w:val="en-US"/>
        </w:rPr>
        <w:t>Act</w:t>
      </w:r>
      <w:r w:rsidR="00407CD4">
        <w:rPr>
          <w:lang w:val="sr-Cyrl-RS"/>
        </w:rPr>
        <w:t xml:space="preserve"> </w:t>
      </w:r>
      <w:r w:rsidR="00407CD4">
        <w:rPr>
          <w:lang w:val="en-US"/>
        </w:rPr>
        <w:t>N</w:t>
      </w:r>
      <w:r>
        <w:rPr>
          <w:lang w:val="sr-Cyrl-RS"/>
        </w:rPr>
        <w:t>o</w:t>
      </w:r>
      <w:r w:rsidR="00D06E2E">
        <w:rPr>
          <w:lang w:val="sr-Cyrl-RS"/>
        </w:rPr>
        <w:t>.</w:t>
      </w:r>
      <w:r w:rsidRPr="00C61864">
        <w:rPr>
          <w:lang w:val="sr-Cyrl-RS"/>
        </w:rPr>
        <w:t xml:space="preserve"> 000333942 2023 11900 003 000 000 001 </w:t>
      </w:r>
      <w:r>
        <w:rPr>
          <w:lang w:val="en-US"/>
        </w:rPr>
        <w:t>dated November 14, 2023</w:t>
      </w:r>
      <w:r w:rsidRPr="00C61864">
        <w:rPr>
          <w:lang w:val="sr-Latn-RS"/>
        </w:rPr>
        <w:t>.</w:t>
      </w:r>
    </w:p>
  </w:footnote>
  <w:footnote w:id="72">
    <w:p w14:paraId="50FDB2B8" w14:textId="14AC0B7F" w:rsidR="00B37F05" w:rsidRPr="00BA2A4B" w:rsidRDefault="00B37F05" w:rsidP="008F37C0">
      <w:pPr>
        <w:pStyle w:val="FootnoteText"/>
        <w:ind w:firstLine="0"/>
        <w:rPr>
          <w:lang w:val="en-US"/>
        </w:rPr>
      </w:pPr>
      <w:r w:rsidRPr="00BA2A4B">
        <w:rPr>
          <w:rStyle w:val="FootnoteReference"/>
        </w:rPr>
        <w:footnoteRef/>
      </w:r>
      <w:r w:rsidRPr="00BA2A4B">
        <w:t xml:space="preserve"> </w:t>
      </w:r>
      <w:r>
        <w:rPr>
          <w:shd w:val="clear" w:color="auto" w:fill="FFFFFF"/>
          <w:lang w:val="en-US"/>
        </w:rPr>
        <w:t>“Official Gazette of RS”</w:t>
      </w:r>
      <w:r w:rsidRPr="00BA2A4B">
        <w:t xml:space="preserve">, </w:t>
      </w:r>
      <w:r w:rsidR="00407CD4">
        <w:rPr>
          <w:lang w:val="en-US"/>
        </w:rPr>
        <w:t>No</w:t>
      </w:r>
      <w:r w:rsidRPr="00BA2A4B">
        <w:t>. 113/17, 50/18, 46/21 –</w:t>
      </w:r>
      <w:r>
        <w:rPr>
          <w:lang w:val="sr-Latn-RS"/>
        </w:rPr>
        <w:t>CC decision</w:t>
      </w:r>
      <w:r w:rsidRPr="00BA2A4B">
        <w:t xml:space="preserve">, 51/21 – </w:t>
      </w:r>
      <w:r>
        <w:rPr>
          <w:lang w:val="sr-Latn-RS"/>
        </w:rPr>
        <w:t>CC decision</w:t>
      </w:r>
      <w:r w:rsidRPr="00BA2A4B">
        <w:t xml:space="preserve">, 53/21 – </w:t>
      </w:r>
      <w:r>
        <w:rPr>
          <w:lang w:val="sr-Latn-RS"/>
        </w:rPr>
        <w:t>CC decision</w:t>
      </w:r>
      <w:r w:rsidRPr="00BA2A4B">
        <w:t xml:space="preserve">, 66/21, 130/21, 43/23 - </w:t>
      </w:r>
      <w:r>
        <w:rPr>
          <w:lang w:val="sr-Latn-RS"/>
        </w:rPr>
        <w:t>CC decision and</w:t>
      </w:r>
      <w:r w:rsidRPr="00BA2A4B">
        <w:t xml:space="preserve"> 62/23.</w:t>
      </w:r>
    </w:p>
  </w:footnote>
  <w:footnote w:id="73">
    <w:p w14:paraId="2FBE279E" w14:textId="12A1EA35" w:rsidR="00B37F05" w:rsidRPr="000D5756" w:rsidRDefault="00B37F05" w:rsidP="008F37C0">
      <w:pPr>
        <w:pStyle w:val="FootnoteText"/>
        <w:ind w:firstLine="0"/>
        <w:rPr>
          <w:lang w:val="sr-Cyrl-RS"/>
        </w:rPr>
      </w:pPr>
      <w:r w:rsidRPr="000D5756">
        <w:rPr>
          <w:rStyle w:val="FootnoteReference"/>
          <w:lang w:val="sr-Cyrl-RS"/>
        </w:rPr>
        <w:footnoteRef/>
      </w:r>
      <w:r w:rsidRPr="000D5756">
        <w:rPr>
          <w:lang w:val="sr-Cyrl-RS"/>
        </w:rPr>
        <w:t xml:space="preserve"> </w:t>
      </w:r>
      <w:r>
        <w:rPr>
          <w:lang w:val="en-US"/>
        </w:rPr>
        <w:t>Available at</w:t>
      </w:r>
      <w:r w:rsidRPr="000D5756">
        <w:rPr>
          <w:lang w:val="sr-Cyrl-RS"/>
        </w:rPr>
        <w:t xml:space="preserve">: </w:t>
      </w:r>
      <w:hyperlink r:id="rId27" w:history="1">
        <w:r w:rsidRPr="000D5756">
          <w:rPr>
            <w:rStyle w:val="Hyperlink"/>
            <w:lang w:val="sr-Cyrl-RS"/>
          </w:rPr>
          <w:t>https://www.ombudsman.rs/index.php/2011-12-11-11-34-45/7710-z-sh-i-ni-gr-d-n-upu-i-ishlj-nj-n-n-cr-z-n-iz-n-i-d-pun-z-n-fin-nsi-s-p-drshci-p-r-dici-s-d-c</w:t>
        </w:r>
      </w:hyperlink>
      <w:r w:rsidRPr="000D5756">
        <w:rPr>
          <w:lang w:val="sr-Cyrl-RS"/>
        </w:rPr>
        <w:t xml:space="preserve">. </w:t>
      </w:r>
    </w:p>
  </w:footnote>
  <w:footnote w:id="74">
    <w:p w14:paraId="2D02AC05" w14:textId="77638D0E" w:rsidR="00B37F05" w:rsidRPr="00BA2A4B" w:rsidRDefault="00B37F05" w:rsidP="008F37C0">
      <w:pPr>
        <w:pStyle w:val="FootnoteText"/>
        <w:ind w:firstLine="0"/>
        <w:rPr>
          <w:lang w:val="sr-Cyrl-RS"/>
        </w:rPr>
      </w:pPr>
      <w:r w:rsidRPr="00BA2A4B">
        <w:rPr>
          <w:rStyle w:val="FootnoteReference"/>
          <w:lang w:val="sr-Cyrl-RS"/>
        </w:rPr>
        <w:footnoteRef/>
      </w:r>
      <w:r w:rsidRPr="00BA2A4B">
        <w:rPr>
          <w:lang w:val="sr-Cyrl-RS"/>
        </w:rPr>
        <w:t xml:space="preserve"> </w:t>
      </w:r>
      <w:r>
        <w:rPr>
          <w:shd w:val="clear" w:color="auto" w:fill="FFFFFF"/>
          <w:lang w:val="en-US"/>
        </w:rPr>
        <w:t>“Official Gazette of RS”, number</w:t>
      </w:r>
      <w:r>
        <w:rPr>
          <w:shd w:val="clear" w:color="auto" w:fill="FFFFFF"/>
          <w:lang w:val="sr-Cyrl-RS"/>
        </w:rPr>
        <w:t xml:space="preserve"> 18/23.</w:t>
      </w:r>
    </w:p>
  </w:footnote>
  <w:footnote w:id="75">
    <w:p w14:paraId="5A8E0A91" w14:textId="7E015B88" w:rsidR="00B37F05" w:rsidRPr="00BA2A4B" w:rsidRDefault="00B37F05" w:rsidP="008F37C0">
      <w:pPr>
        <w:pStyle w:val="FootnoteText"/>
        <w:ind w:firstLine="0"/>
        <w:rPr>
          <w:lang w:val="sr-Cyrl-RS"/>
        </w:rPr>
      </w:pPr>
      <w:r w:rsidRPr="00BA2A4B">
        <w:rPr>
          <w:rStyle w:val="FootnoteReference"/>
          <w:lang w:val="sr-Cyrl-RS"/>
        </w:rPr>
        <w:footnoteRef/>
      </w:r>
      <w:r>
        <w:rPr>
          <w:lang w:val="sr-Latn-RS"/>
        </w:rPr>
        <w:t xml:space="preserve"> </w:t>
      </w:r>
      <w:r>
        <w:rPr>
          <w:lang w:val="en-US"/>
        </w:rPr>
        <w:t>Available at</w:t>
      </w:r>
      <w:r w:rsidRPr="00BA2A4B">
        <w:rPr>
          <w:lang w:val="sr-Cyrl-RS"/>
        </w:rPr>
        <w:t xml:space="preserve">:  </w:t>
      </w:r>
      <w:hyperlink r:id="rId28" w:history="1">
        <w:r w:rsidRPr="00BA2A4B">
          <w:rPr>
            <w:rStyle w:val="Hyperlink"/>
            <w:lang w:val="sr-Cyrl-RS"/>
          </w:rPr>
          <w:t>https://ombudsman.rs/index.php/2011-12-25-10-17-15/2011-12-26-10-05-05/7673-n-dl-zni-rg-ni-uv-zili-ishlj-nj-z-sh-i-ni-gr-d-n-pri-d-n-sh-nju-n-v-ur-db-subv-nci-i-z-up-vinu-s-n-p-sn-vu-r-d-nj-d</w:t>
        </w:r>
      </w:hyperlink>
      <w:r w:rsidRPr="00BA2A4B">
        <w:rPr>
          <w:rStyle w:val="Hyperlink"/>
          <w:lang w:val="sr-Cyrl-RS"/>
        </w:rPr>
        <w:t xml:space="preserve">. </w:t>
      </w:r>
    </w:p>
  </w:footnote>
  <w:footnote w:id="76">
    <w:p w14:paraId="163832D9" w14:textId="04A8D67A" w:rsidR="00B37F05" w:rsidRPr="00BA2A4B" w:rsidRDefault="00B37F05" w:rsidP="008F37C0">
      <w:pPr>
        <w:pStyle w:val="FootnoteText"/>
        <w:ind w:firstLine="0"/>
        <w:rPr>
          <w:lang w:val="sr-Cyrl-RS"/>
        </w:rPr>
      </w:pPr>
      <w:r w:rsidRPr="00BA2A4B">
        <w:rPr>
          <w:rStyle w:val="FootnoteReference"/>
          <w:lang w:val="sr-Cyrl-RS"/>
        </w:rPr>
        <w:footnoteRef/>
      </w:r>
      <w:r w:rsidRPr="00BA2A4B">
        <w:rPr>
          <w:lang w:val="sr-Cyrl-RS"/>
        </w:rPr>
        <w:t xml:space="preserve"> </w:t>
      </w:r>
      <w:r>
        <w:rPr>
          <w:lang w:val="en-US"/>
        </w:rPr>
        <w:t>It is prescribed that in these cases the commission will repeat the procedure if the applicants whose requests are denied repeat the request for granting subsidies within 30 days since the day when new regulation comes into force. Moreover, it is prescribed that the commission not later than within 30 days upon the reception of necessary documentation decides on the submitted request.</w:t>
      </w:r>
      <w:r w:rsidRPr="00BA2A4B">
        <w:rPr>
          <w:lang w:val="sr-Cyrl-RS"/>
        </w:rPr>
        <w:t xml:space="preserve"> </w:t>
      </w:r>
    </w:p>
  </w:footnote>
  <w:footnote w:id="77">
    <w:p w14:paraId="05035DF7" w14:textId="55F031A6" w:rsidR="00B37F05" w:rsidRPr="00BA2A4B" w:rsidRDefault="00B37F05" w:rsidP="008F37C0">
      <w:pPr>
        <w:spacing w:after="0"/>
        <w:rPr>
          <w:rStyle w:val="Hyperlink"/>
          <w:sz w:val="18"/>
          <w:szCs w:val="18"/>
          <w:lang w:val="sr-Cyrl-RS"/>
        </w:rPr>
      </w:pPr>
      <w:r w:rsidRPr="00BA2A4B">
        <w:rPr>
          <w:rStyle w:val="FootnoteReference"/>
          <w:sz w:val="18"/>
          <w:szCs w:val="18"/>
          <w:lang w:val="sr-Cyrl-RS"/>
        </w:rPr>
        <w:footnoteRef/>
      </w:r>
      <w:r w:rsidRPr="00BA2A4B">
        <w:rPr>
          <w:sz w:val="18"/>
          <w:szCs w:val="18"/>
          <w:lang w:val="sr-Cyrl-RS"/>
        </w:rPr>
        <w:t xml:space="preserve"> </w:t>
      </w:r>
      <w:r>
        <w:rPr>
          <w:sz w:val="18"/>
          <w:szCs w:val="18"/>
        </w:rPr>
        <w:t>Available at</w:t>
      </w:r>
      <w:r w:rsidRPr="00BA2A4B">
        <w:rPr>
          <w:sz w:val="18"/>
          <w:szCs w:val="18"/>
          <w:lang w:val="sr-Cyrl-RS"/>
        </w:rPr>
        <w:t xml:space="preserve">: </w:t>
      </w:r>
      <w:hyperlink r:id="rId29" w:history="1">
        <w:r w:rsidRPr="00BA2A4B">
          <w:rPr>
            <w:rStyle w:val="Hyperlink"/>
            <w:sz w:val="18"/>
            <w:szCs w:val="18"/>
            <w:lang w:val="sr-Cyrl-RS"/>
          </w:rPr>
          <w:t>https://www.ombudsman.rs/index.php/2011-12-25-10-17-15/2011-12-26-10-05-05/7681-n-dl-zni-rg-ni-pr-pus-ili-d-p-r-d-zr-vu-n-silj-sh-i-i-dv-g-dishnj-d-iz-vrshc</w:t>
        </w:r>
      </w:hyperlink>
      <w:r w:rsidRPr="00BA2A4B">
        <w:rPr>
          <w:rStyle w:val="Hyperlink"/>
          <w:sz w:val="18"/>
          <w:szCs w:val="18"/>
          <w:lang w:val="sr-Cyrl-RS"/>
        </w:rPr>
        <w:t xml:space="preserve">, </w:t>
      </w:r>
    </w:p>
    <w:p w14:paraId="6D3889DF" w14:textId="77777777" w:rsidR="00B37F05" w:rsidRPr="00BA2A4B" w:rsidRDefault="00B37F05" w:rsidP="008F37C0">
      <w:pPr>
        <w:spacing w:after="0"/>
        <w:rPr>
          <w:rStyle w:val="Hyperlink"/>
          <w:sz w:val="18"/>
          <w:szCs w:val="18"/>
          <w:lang w:val="sr-Cyrl-RS"/>
        </w:rPr>
      </w:pPr>
      <w:hyperlink r:id="rId30" w:history="1">
        <w:r w:rsidRPr="00BA2A4B">
          <w:rPr>
            <w:rStyle w:val="Hyperlink"/>
            <w:sz w:val="18"/>
            <w:szCs w:val="18"/>
            <w:lang w:val="sr-Cyrl-RS"/>
          </w:rPr>
          <w:t>https://www.ombudsman.rs/index.php/2011-12-25-10-17-15/2011-12-26-10-05-05/7808-p-sh-lic-p-r-bni-n-vi-pr-li-z-z-sh-i-u-z-n-d-p-r-dicn-g-n-silj</w:t>
        </w:r>
      </w:hyperlink>
      <w:r w:rsidRPr="00BA2A4B">
        <w:rPr>
          <w:rStyle w:val="Hyperlink"/>
          <w:sz w:val="18"/>
          <w:szCs w:val="18"/>
          <w:lang w:val="sr-Cyrl-RS"/>
        </w:rPr>
        <w:t xml:space="preserve">, </w:t>
      </w:r>
    </w:p>
    <w:p w14:paraId="2D0E123F" w14:textId="77777777" w:rsidR="00B37F05" w:rsidRPr="00BA2A4B" w:rsidRDefault="00B37F05" w:rsidP="008F37C0">
      <w:pPr>
        <w:spacing w:after="0"/>
        <w:rPr>
          <w:rStyle w:val="Hyperlink"/>
          <w:sz w:val="18"/>
          <w:szCs w:val="18"/>
          <w:lang w:val="sr-Cyrl-RS"/>
        </w:rPr>
      </w:pPr>
      <w:hyperlink r:id="rId31" w:history="1">
        <w:r w:rsidRPr="00BA2A4B">
          <w:rPr>
            <w:rStyle w:val="Hyperlink"/>
            <w:sz w:val="18"/>
            <w:szCs w:val="18"/>
            <w:lang w:val="sr-Cyrl-RS"/>
          </w:rPr>
          <w:t>https://www.ombudsman.rs/index.php/2011-12-25-10-17-15/2011-12-26-10-05-05/7796-p-sh-lic-p-zv-gr-d-n-d-pri-v-sv-u-vrs-u-n-silj</w:t>
        </w:r>
      </w:hyperlink>
      <w:r w:rsidRPr="00BA2A4B">
        <w:rPr>
          <w:rStyle w:val="Hyperlink"/>
          <w:sz w:val="18"/>
          <w:szCs w:val="18"/>
          <w:lang w:val="sr-Cyrl-RS"/>
        </w:rPr>
        <w:t xml:space="preserve">, </w:t>
      </w:r>
    </w:p>
    <w:p w14:paraId="0FDEB376" w14:textId="77777777" w:rsidR="00B37F05" w:rsidRPr="00BA2A4B" w:rsidRDefault="00B37F05" w:rsidP="008F37C0">
      <w:pPr>
        <w:spacing w:after="0"/>
        <w:rPr>
          <w:color w:val="0000FF" w:themeColor="hyperlink"/>
          <w:sz w:val="18"/>
          <w:szCs w:val="18"/>
          <w:u w:val="single"/>
          <w:lang w:val="sr-Cyrl-RS"/>
        </w:rPr>
      </w:pPr>
      <w:hyperlink r:id="rId32" w:history="1">
        <w:r w:rsidRPr="00BA2A4B">
          <w:rPr>
            <w:rStyle w:val="Hyperlink"/>
            <w:sz w:val="18"/>
            <w:szCs w:val="18"/>
            <w:lang w:val="sr-Cyrl-RS"/>
          </w:rPr>
          <w:t>https://www.ombudsman.rs/index.php/2012-02-07-14-03-33/7790-n-dl-zni-rg-ni-d-pr-dl-z-iz-n-i-d-pun-z-n-spr-c-v-nju-n-silj-u-p-r-dici-i-b-zb-d-pri-nu-z-n-i-n-l-l-n-ucini-c-n-silj-u-p-r-dici</w:t>
        </w:r>
      </w:hyperlink>
      <w:r w:rsidRPr="00BA2A4B">
        <w:rPr>
          <w:rStyle w:val="Hyperlink"/>
          <w:sz w:val="18"/>
          <w:szCs w:val="18"/>
          <w:lang w:val="sr-Cyrl-RS"/>
        </w:rPr>
        <w:t xml:space="preserve">, </w:t>
      </w:r>
      <w:hyperlink r:id="rId33" w:history="1">
        <w:r w:rsidRPr="00BA2A4B">
          <w:rPr>
            <w:rStyle w:val="Hyperlink"/>
            <w:sz w:val="18"/>
            <w:szCs w:val="18"/>
            <w:lang w:val="sr-Cyrl-RS"/>
          </w:rPr>
          <w:t>https://www.ombudsman.rs/index.php/2012-02-07-14-03-33/7923-pr-p-ru-z-z-sh-i-u-d-c-u-sluc-vi-p-r-dicn-g-n-silj</w:t>
        </w:r>
      </w:hyperlink>
      <w:r w:rsidRPr="00BA2A4B">
        <w:rPr>
          <w:rStyle w:val="Hyperlink"/>
          <w:sz w:val="18"/>
          <w:szCs w:val="18"/>
          <w:lang w:val="sr-Cyrl-RS"/>
        </w:rPr>
        <w:t xml:space="preserve">, </w:t>
      </w:r>
      <w:hyperlink r:id="rId34" w:history="1">
        <w:r w:rsidRPr="00BA2A4B">
          <w:rPr>
            <w:rStyle w:val="Hyperlink"/>
            <w:sz w:val="18"/>
            <w:szCs w:val="18"/>
            <w:lang w:val="sr-Cyrl-RS"/>
          </w:rPr>
          <w:t>https://www.ombudsman.rs/index.php/2012-02-07-14-03-33/7928-p-r-b-n-individu-lni-pl-n-p-drsh-z-sv-u-zr-vu-p-r-dicn-g-n-silj</w:t>
        </w:r>
      </w:hyperlink>
      <w:r w:rsidRPr="00BA2A4B">
        <w:rPr>
          <w:rStyle w:val="Hyperlink"/>
          <w:sz w:val="18"/>
          <w:szCs w:val="18"/>
          <w:lang w:val="sr-Cyrl-RS"/>
        </w:rPr>
        <w:t xml:space="preserve">. </w:t>
      </w:r>
    </w:p>
  </w:footnote>
  <w:footnote w:id="78">
    <w:p w14:paraId="6D976EA9" w14:textId="5EA3C46E" w:rsidR="00B37F05" w:rsidRPr="000D5756" w:rsidRDefault="00B37F05" w:rsidP="00B61AA4">
      <w:pPr>
        <w:spacing w:after="0"/>
        <w:rPr>
          <w:rFonts w:cs="Calibri"/>
          <w:sz w:val="18"/>
          <w:szCs w:val="18"/>
          <w:lang w:val="sr-Cyrl-RS"/>
        </w:rPr>
      </w:pPr>
      <w:r w:rsidRPr="00C61864">
        <w:rPr>
          <w:rStyle w:val="FootnoteReference"/>
          <w:sz w:val="18"/>
          <w:szCs w:val="18"/>
          <w:lang w:val="sr-Cyrl-RS"/>
        </w:rPr>
        <w:footnoteRef/>
      </w:r>
      <w:r w:rsidRPr="00C61864">
        <w:rPr>
          <w:sz w:val="18"/>
          <w:szCs w:val="18"/>
          <w:lang w:val="sr-Cyrl-RS"/>
        </w:rPr>
        <w:t xml:space="preserve"> </w:t>
      </w:r>
      <w:r w:rsidR="00BA297C">
        <w:rPr>
          <w:sz w:val="18"/>
          <w:szCs w:val="18"/>
        </w:rPr>
        <w:t>No. of case</w:t>
      </w:r>
      <w:r>
        <w:rPr>
          <w:sz w:val="18"/>
          <w:szCs w:val="18"/>
        </w:rPr>
        <w:t>s</w:t>
      </w:r>
      <w:r w:rsidRPr="00C61864">
        <w:rPr>
          <w:sz w:val="18"/>
          <w:szCs w:val="18"/>
          <w:lang w:val="sr-Cyrl-RS"/>
        </w:rPr>
        <w:t xml:space="preserve"> </w:t>
      </w:r>
      <w:r>
        <w:rPr>
          <w:rFonts w:cs="Calibri"/>
          <w:sz w:val="18"/>
          <w:szCs w:val="18"/>
          <w:lang w:val="sr-Cyrl-RS"/>
        </w:rPr>
        <w:t>322-60/22 and</w:t>
      </w:r>
      <w:r w:rsidRPr="00C61864">
        <w:rPr>
          <w:rFonts w:cs="Calibri"/>
          <w:sz w:val="18"/>
          <w:szCs w:val="18"/>
          <w:lang w:val="sr-Cyrl-RS"/>
        </w:rPr>
        <w:t xml:space="preserve"> 322-26/22. </w:t>
      </w:r>
    </w:p>
  </w:footnote>
  <w:footnote w:id="79">
    <w:p w14:paraId="657D3D75" w14:textId="00341060" w:rsidR="00B37F05" w:rsidRPr="00FC6317" w:rsidRDefault="00B37F05" w:rsidP="008F37C0">
      <w:pPr>
        <w:pStyle w:val="FootnoteText"/>
        <w:ind w:firstLine="0"/>
        <w:rPr>
          <w:lang w:val="en-US"/>
        </w:rPr>
      </w:pPr>
      <w:r w:rsidRPr="000D5756">
        <w:rPr>
          <w:rStyle w:val="FootnoteReference"/>
          <w:lang w:val="sr-Cyrl-RS"/>
        </w:rPr>
        <w:footnoteRef/>
      </w:r>
      <w:r w:rsidRPr="000D5756">
        <w:rPr>
          <w:lang w:val="sr-Cyrl-RS"/>
        </w:rPr>
        <w:t xml:space="preserve"> </w:t>
      </w:r>
      <w:r>
        <w:rPr>
          <w:lang w:val="en-US"/>
        </w:rPr>
        <w:t>The Protector of Citizens in the Opinion indicated to the need that Ministry of Health in cooperation with other relevant authorities and institutions take action with the aim of review</w:t>
      </w:r>
      <w:r w:rsidRPr="000D5756">
        <w:rPr>
          <w:lang w:val="sr-Cyrl-RS"/>
        </w:rPr>
        <w:t xml:space="preserve"> </w:t>
      </w:r>
      <w:r>
        <w:rPr>
          <w:lang w:val="en-US"/>
        </w:rPr>
        <w:t>of existing gynaecology and obstetric procedures which are applied at all maternity hospitals in the Republic of Serbia and confirm if they are in compliance with generally accepted professional standards and codes of ethics, especially when it comes to the procedure on the implementation of the intervention of induced abortions and that, if it is deemed necessary, take measures with the aim of making it fit; that the Ministry of Health take all measures and actions with the aim of better, clearer, more transparent and timely information of patients in all maternity hospitals in the Republic of Serbia on their rights before, during their staying and after their discharge from the health care institution as well as on the mechanisms of the protection of their rights; that the Ministry of Health take measures from its competence so that doctors and health care workers of all maternity hospitals in the Republic of Serbia in their future work act in compliance with Article 28 of the Law on Patient Rights and provide that every patient is free from pain and suffering and that measure taking is done with full respect of the patient personality. Also, it is recommended that the Serbian Medical Chamber in cooperation with Serbian Chamber of Nurses and Medical Technicians, with the aim of better and more efficient protection of rights of pregnant women and nursing mothers as especially vulnerable group of citizens, conduct continual training with the aim of sensibilizaion of health care employees so that they can treat patients in an adequate manner in order to prevent any form of inappropriate acting.</w:t>
      </w:r>
    </w:p>
  </w:footnote>
  <w:footnote w:id="80">
    <w:p w14:paraId="10AB9948" w14:textId="496494BE" w:rsidR="00B37F05" w:rsidRPr="000D5756" w:rsidRDefault="00B37F05" w:rsidP="008F37C0">
      <w:pPr>
        <w:pStyle w:val="FootnoteText"/>
        <w:ind w:firstLine="0"/>
        <w:rPr>
          <w:lang w:val="sr-Cyrl-RS"/>
        </w:rPr>
      </w:pPr>
      <w:r w:rsidRPr="000D5756">
        <w:rPr>
          <w:rStyle w:val="FootnoteReference"/>
          <w:lang w:val="sr-Cyrl-RS"/>
        </w:rPr>
        <w:footnoteRef/>
      </w:r>
      <w:r>
        <w:rPr>
          <w:lang w:val="sr-Cyrl-RS"/>
        </w:rPr>
        <w:t xml:space="preserve"> </w:t>
      </w:r>
      <w:r>
        <w:rPr>
          <w:lang w:val="en-US"/>
        </w:rPr>
        <w:t>Available at</w:t>
      </w:r>
      <w:r>
        <w:rPr>
          <w:lang w:val="sr-Cyrl-RS"/>
        </w:rPr>
        <w:t>:</w:t>
      </w:r>
      <w:r w:rsidRPr="000D5756">
        <w:rPr>
          <w:lang w:val="sr-Cyrl-RS"/>
        </w:rPr>
        <w:t xml:space="preserve"> </w:t>
      </w:r>
      <w:hyperlink r:id="rId35" w:history="1">
        <w:r w:rsidRPr="00C06B30">
          <w:rPr>
            <w:rStyle w:val="Hyperlink"/>
            <w:lang w:val="sr-Cyrl-RS"/>
          </w:rPr>
          <w:t>https://www.ombudsman.rs/index.php/2011-12-25-10-17-15/2011-12-26-10-05-05/7762-pr-rsh-ni-p-s-up-pr-iv-ins-ru-n-r-zb-g-pr-n-s-p-r-d-n-drush-v-ni-r-z</w:t>
        </w:r>
      </w:hyperlink>
      <w:r>
        <w:rPr>
          <w:lang w:val="sr-Cyrl-RS"/>
        </w:rPr>
        <w:t xml:space="preserve">. </w:t>
      </w:r>
    </w:p>
  </w:footnote>
  <w:footnote w:id="81">
    <w:p w14:paraId="1BDC3BD3" w14:textId="5C056180" w:rsidR="00B37F05" w:rsidRDefault="00B37F05" w:rsidP="00FE6EFD">
      <w:pPr>
        <w:pStyle w:val="FootnoteText"/>
        <w:ind w:firstLine="0"/>
        <w:rPr>
          <w:lang w:val="sr-Cyrl-RS"/>
        </w:rPr>
      </w:pPr>
      <w:r w:rsidRPr="00BA2A4B">
        <w:rPr>
          <w:rStyle w:val="FootnoteReference"/>
        </w:rPr>
        <w:footnoteRef/>
      </w:r>
      <w:r>
        <w:rPr>
          <w:lang w:val="sr-Cyrl-RS"/>
        </w:rPr>
        <w:t xml:space="preserve"> </w:t>
      </w:r>
      <w:r>
        <w:rPr>
          <w:lang w:val="en-US"/>
        </w:rPr>
        <w:t>Available at</w:t>
      </w:r>
      <w:r>
        <w:rPr>
          <w:lang w:val="sr-Cyrl-RS"/>
        </w:rPr>
        <w:t>:</w:t>
      </w:r>
    </w:p>
    <w:p w14:paraId="11707D52" w14:textId="4C92192A" w:rsidR="00B37F05" w:rsidRPr="00BA2A4B" w:rsidRDefault="00B37F05" w:rsidP="00FE6EFD">
      <w:pPr>
        <w:pStyle w:val="FootnoteText"/>
        <w:ind w:firstLine="0"/>
        <w:rPr>
          <w:lang w:val="sr-Latn-RS"/>
        </w:rPr>
      </w:pPr>
      <w:r w:rsidRPr="00BA2A4B">
        <w:t xml:space="preserve"> </w:t>
      </w:r>
      <w:hyperlink r:id="rId36" w:history="1">
        <w:r w:rsidRPr="00BA2A4B">
          <w:rPr>
            <w:rStyle w:val="Hyperlink"/>
          </w:rPr>
          <w:t>https://www.ombudsman.rs/attachments/article/7859/Poseban%20izvestaj%20Zastitnika%20gradjana.pdf</w:t>
        </w:r>
      </w:hyperlink>
      <w:r w:rsidRPr="00BA2A4B">
        <w:t xml:space="preserve"> </w:t>
      </w:r>
    </w:p>
  </w:footnote>
  <w:footnote w:id="82">
    <w:p w14:paraId="22242897" w14:textId="1D9787CB" w:rsidR="00B37F05" w:rsidRPr="000D5756" w:rsidRDefault="00B37F05" w:rsidP="008F37C0">
      <w:pPr>
        <w:pStyle w:val="FootnoteText"/>
        <w:ind w:firstLine="0"/>
        <w:rPr>
          <w:lang w:val="sr-Cyrl-RS"/>
        </w:rPr>
      </w:pPr>
      <w:r w:rsidRPr="000D5756">
        <w:rPr>
          <w:rStyle w:val="FootnoteReference"/>
          <w:lang w:val="sr-Cyrl-RS"/>
        </w:rPr>
        <w:footnoteRef/>
      </w:r>
      <w:r w:rsidRPr="000D5756">
        <w:rPr>
          <w:lang w:val="sr-Cyrl-RS"/>
        </w:rPr>
        <w:t xml:space="preserve"> </w:t>
      </w:r>
      <w:r>
        <w:rPr>
          <w:lang w:val="en-US"/>
        </w:rPr>
        <w:t>Available at</w:t>
      </w:r>
      <w:r w:rsidRPr="000D5756">
        <w:rPr>
          <w:lang w:val="sr-Cyrl-RS"/>
        </w:rPr>
        <w:t xml:space="preserve">: </w:t>
      </w:r>
      <w:hyperlink r:id="rId37" w:history="1">
        <w:r w:rsidRPr="000D5756">
          <w:rPr>
            <w:rStyle w:val="Hyperlink"/>
            <w:lang w:val="sr-Cyrl-RS"/>
          </w:rPr>
          <w:t>https://www.ombudsman.rs/index.php/2011-12-11-11-34-45/7506-un-pr-di-i-h-niz-spr-c-v-nj-i-z-sh-i-d-s-su-ln-g-uzn-ir-v-nj-n-f-ul-i</w:t>
        </w:r>
      </w:hyperlink>
      <w:r w:rsidRPr="000D5756">
        <w:rPr>
          <w:rStyle w:val="Hyperlink"/>
          <w:lang w:val="sr-Cyrl-RS"/>
        </w:rPr>
        <w:t>.</w:t>
      </w:r>
    </w:p>
  </w:footnote>
  <w:footnote w:id="83">
    <w:p w14:paraId="3C65D4FB" w14:textId="0D5D64DD" w:rsidR="00B37F05" w:rsidRPr="00653674" w:rsidRDefault="00B37F05" w:rsidP="004061FE">
      <w:pPr>
        <w:pStyle w:val="FootnoteText"/>
        <w:ind w:firstLine="0"/>
        <w:rPr>
          <w:lang w:val="sr-Latn-RS"/>
        </w:rPr>
      </w:pPr>
      <w:r w:rsidRPr="000D5756">
        <w:rPr>
          <w:rStyle w:val="FootnoteReference"/>
          <w:lang w:val="sr-Cyrl-RS"/>
        </w:rPr>
        <w:footnoteRef/>
      </w:r>
      <w:r>
        <w:rPr>
          <w:lang w:val="sr-Cyrl-RS"/>
        </w:rPr>
        <w:t xml:space="preserve"> </w:t>
      </w:r>
      <w:r>
        <w:rPr>
          <w:lang w:val="sr-Latn-RS"/>
        </w:rPr>
        <w:t xml:space="preserve">In the act of the director of the Administration for the enforcement of penal sanctions number </w:t>
      </w:r>
      <w:r w:rsidRPr="000D5756">
        <w:rPr>
          <w:lang w:val="sr-Cyrl-RS"/>
        </w:rPr>
        <w:t>021-02-9/2016-05</w:t>
      </w:r>
      <w:r>
        <w:rPr>
          <w:lang w:val="sr-Latn-RS"/>
        </w:rPr>
        <w:t xml:space="preserve"> dated May 31, 2016, which was distributed to all institutes for the enforcement of penal sanctions, it was stated that all persons infected by human immunodeficiency virus (HIV) and serving prison sentence, detention measures or safety measures are initially sent to Special Prison Hospital in Belgrade for the examination at the Infectious Disease Clinic of the Clinical Center of Serbia, timely determination of needed therapy and provision of an adequate medicine as well as for the extension of the therapy.</w:t>
      </w:r>
    </w:p>
  </w:footnote>
  <w:footnote w:id="84">
    <w:p w14:paraId="2196F140" w14:textId="544D72F8" w:rsidR="00B37F05" w:rsidRPr="008C4165" w:rsidRDefault="00B37F05" w:rsidP="00085F26">
      <w:pPr>
        <w:pStyle w:val="FootnoteText"/>
        <w:ind w:firstLine="0"/>
        <w:jc w:val="left"/>
        <w:rPr>
          <w:lang w:val="sr-Cyrl-RS"/>
        </w:rPr>
      </w:pPr>
      <w:r>
        <w:rPr>
          <w:rStyle w:val="FootnoteReference"/>
        </w:rPr>
        <w:footnoteRef/>
      </w:r>
      <w:r>
        <w:rPr>
          <w:lang w:val="sr-Latn-RS"/>
        </w:rPr>
        <w:t>Further information available in the Special report on the following link</w:t>
      </w:r>
      <w:r>
        <w:rPr>
          <w:lang w:val="sr-Cyrl-RS"/>
        </w:rPr>
        <w:t xml:space="preserve"> </w:t>
      </w:r>
      <w:hyperlink r:id="rId38" w:history="1">
        <w:r w:rsidRPr="004A434F">
          <w:rPr>
            <w:rStyle w:val="Hyperlink"/>
            <w:lang w:val="sr-Cyrl-RS"/>
          </w:rPr>
          <w:t>https://www.ombudsman.rs/index.php/izvestaji/posebnii-izvestaji/7910-p-s-b-n-izv-sh-z-sh-i-ni-gr-d-n-n-silju-u-sh-l</w:t>
        </w:r>
      </w:hyperlink>
      <w:r>
        <w:rPr>
          <w:lang w:val="sr-Cyrl-RS"/>
        </w:rPr>
        <w:t xml:space="preserve"> </w:t>
      </w:r>
    </w:p>
  </w:footnote>
  <w:footnote w:id="85">
    <w:p w14:paraId="478E1B4C" w14:textId="0E44C615" w:rsidR="00B37F05" w:rsidRPr="00085F26" w:rsidRDefault="00B37F05" w:rsidP="003173A2">
      <w:pPr>
        <w:pStyle w:val="FootnoteText"/>
        <w:ind w:firstLine="0"/>
        <w:rPr>
          <w:rFonts w:cs="Times New Roman"/>
          <w:lang w:val="sr-Latn-RS"/>
        </w:rPr>
      </w:pPr>
      <w:r w:rsidRPr="000D5756">
        <w:rPr>
          <w:rStyle w:val="FootnoteReference"/>
          <w:rFonts w:cs="Times New Roman"/>
          <w:lang w:val="sr-Cyrl-RS"/>
        </w:rPr>
        <w:footnoteRef/>
      </w:r>
      <w:r w:rsidRPr="000D5756">
        <w:rPr>
          <w:rFonts w:cs="Times New Roman"/>
          <w:lang w:val="sr-Cyrl-RS"/>
        </w:rPr>
        <w:t xml:space="preserve"> </w:t>
      </w:r>
      <w:r>
        <w:rPr>
          <w:rFonts w:cs="Times New Roman"/>
          <w:lang w:val="sr-Latn-RS"/>
        </w:rPr>
        <w:t>This training is, inter alia, another step forward in the realization of since 2017 many times repeated recommendation of the Protector of Citizens to authorities of local self-government unit to explicitly include LGBTI persons in local action plans and prescribe measures for the improvement of the position of these persons as well as to allocate adequate budget funds for such activities so that in this manner LGBTI persons are enabled to exercise their Constitutionally and legally guaranteed rights in their local community as well. The Instrument for the inclusion of the principle that no one is left out into legal and strategic documents of the Republic of Serbia, which is executed in compliance with 2020-2030 UN Agenda was presented in this proces.</w:t>
      </w:r>
    </w:p>
  </w:footnote>
  <w:footnote w:id="86">
    <w:p w14:paraId="31BA19A3" w14:textId="523FDFBE" w:rsidR="00B37F05" w:rsidRPr="00CA3F93" w:rsidRDefault="00B37F05" w:rsidP="00CA3F93">
      <w:pPr>
        <w:pStyle w:val="CommentText"/>
        <w:spacing w:after="0" w:line="240" w:lineRule="auto"/>
        <w:rPr>
          <w:rFonts w:ascii="Book Antiqua" w:hAnsi="Book Antiqua"/>
          <w:sz w:val="18"/>
          <w:szCs w:val="18"/>
          <w:lang w:val="sr-Cyrl-RS"/>
        </w:rPr>
      </w:pPr>
      <w:r w:rsidRPr="00CA3F93">
        <w:rPr>
          <w:rStyle w:val="FootnoteReference"/>
          <w:rFonts w:ascii="Book Antiqua" w:hAnsi="Book Antiqua"/>
          <w:sz w:val="18"/>
          <w:szCs w:val="18"/>
        </w:rPr>
        <w:footnoteRef/>
      </w:r>
      <w:r w:rsidRPr="00CA3F93">
        <w:rPr>
          <w:rFonts w:ascii="Book Antiqua" w:hAnsi="Book Antiqua"/>
          <w:sz w:val="18"/>
          <w:szCs w:val="18"/>
        </w:rPr>
        <w:t xml:space="preserve"> </w:t>
      </w:r>
      <w:r>
        <w:rPr>
          <w:rFonts w:ascii="Book Antiqua" w:hAnsi="Book Antiqua"/>
          <w:sz w:val="18"/>
          <w:szCs w:val="18"/>
        </w:rPr>
        <w:t xml:space="preserve">Three trainings were held – </w:t>
      </w:r>
      <w:r>
        <w:rPr>
          <w:rFonts w:ascii="Book Antiqua" w:hAnsi="Book Antiqua"/>
          <w:sz w:val="18"/>
          <w:szCs w:val="18"/>
          <w:lang w:val="sr-Latn-RS"/>
        </w:rPr>
        <w:t>in Šabac, Niš and Novi Sad.</w:t>
      </w:r>
      <w:r w:rsidRPr="00CA3F93">
        <w:rPr>
          <w:rFonts w:ascii="Book Antiqua" w:hAnsi="Book Antiqua"/>
          <w:sz w:val="18"/>
          <w:szCs w:val="18"/>
          <w:lang w:val="sr-Cyrl-RS"/>
        </w:rPr>
        <w:t xml:space="preserve"> </w:t>
      </w:r>
    </w:p>
  </w:footnote>
  <w:footnote w:id="87">
    <w:p w14:paraId="17A5FC1F" w14:textId="29242F87" w:rsidR="00B37F05" w:rsidRPr="000D5756" w:rsidRDefault="00B37F05" w:rsidP="00CA3F93">
      <w:pPr>
        <w:pStyle w:val="FootnoteText"/>
        <w:ind w:firstLine="0"/>
        <w:rPr>
          <w:lang w:val="sr-Cyrl-RS"/>
        </w:rPr>
      </w:pPr>
      <w:r w:rsidRPr="000D5756">
        <w:rPr>
          <w:rStyle w:val="FootnoteReference"/>
          <w:lang w:val="sr-Cyrl-RS"/>
        </w:rPr>
        <w:footnoteRef/>
      </w:r>
      <w:r>
        <w:rPr>
          <w:lang w:val="sr-Cyrl-RS"/>
        </w:rPr>
        <w:t xml:space="preserve"> </w:t>
      </w:r>
      <w:r>
        <w:rPr>
          <w:lang w:val="en-US"/>
        </w:rPr>
        <w:t>Available at</w:t>
      </w:r>
      <w:r w:rsidRPr="000D5756">
        <w:rPr>
          <w:lang w:val="sr-Cyrl-RS"/>
        </w:rPr>
        <w:t xml:space="preserve">: </w:t>
      </w:r>
      <w:hyperlink r:id="rId39" w:history="1">
        <w:r w:rsidRPr="000D5756">
          <w:rPr>
            <w:rStyle w:val="Hyperlink"/>
            <w:lang w:val="sr-Cyrl-RS"/>
          </w:rPr>
          <w:t>https://www.srbija.gov.rs/dokument/45678/strategije-programi-planovi-.php</w:t>
        </w:r>
      </w:hyperlink>
      <w:r>
        <w:rPr>
          <w:rStyle w:val="Hyperlink"/>
          <w:lang w:val="sr-Cyrl-RS"/>
        </w:rPr>
        <w:t xml:space="preserve">. </w:t>
      </w:r>
      <w:r w:rsidRPr="000D5756">
        <w:rPr>
          <w:lang w:val="sr-Cyrl-RS"/>
        </w:rPr>
        <w:t xml:space="preserve"> </w:t>
      </w:r>
    </w:p>
  </w:footnote>
  <w:footnote w:id="88">
    <w:p w14:paraId="55C5E124" w14:textId="1DD05476" w:rsidR="00B37F05" w:rsidRPr="000D5756" w:rsidRDefault="00B37F05" w:rsidP="00CA3F93">
      <w:pPr>
        <w:pStyle w:val="FootnoteText"/>
        <w:ind w:firstLine="0"/>
        <w:rPr>
          <w:lang w:val="sr-Cyrl-RS"/>
        </w:rPr>
      </w:pPr>
      <w:r w:rsidRPr="000D5756">
        <w:rPr>
          <w:rStyle w:val="FootnoteReference"/>
          <w:lang w:val="sr-Cyrl-RS"/>
        </w:rPr>
        <w:footnoteRef/>
      </w:r>
      <w:r>
        <w:rPr>
          <w:lang w:val="sr-Cyrl-RS"/>
        </w:rPr>
        <w:t xml:space="preserve"> </w:t>
      </w:r>
      <w:r>
        <w:rPr>
          <w:lang w:val="en-US"/>
        </w:rPr>
        <w:t>“Official Gazette of RS”</w:t>
      </w:r>
      <w:r w:rsidR="006E7376">
        <w:rPr>
          <w:lang w:val="sr-Cyrl-RS"/>
        </w:rPr>
        <w:t xml:space="preserve">, </w:t>
      </w:r>
      <w:r w:rsidR="006E7376">
        <w:rPr>
          <w:lang w:val="en-US"/>
        </w:rPr>
        <w:t>N</w:t>
      </w:r>
      <w:r>
        <w:rPr>
          <w:lang w:val="sr-Cyrl-RS"/>
        </w:rPr>
        <w:t>o</w:t>
      </w:r>
      <w:r w:rsidRPr="000D5756">
        <w:rPr>
          <w:lang w:val="sr-Cyrl-RS"/>
        </w:rPr>
        <w:t xml:space="preserve">. 18/05, 72/11 – </w:t>
      </w:r>
      <w:r>
        <w:rPr>
          <w:lang w:val="en-US"/>
        </w:rPr>
        <w:t>state law and</w:t>
      </w:r>
      <w:r w:rsidRPr="000D5756">
        <w:rPr>
          <w:lang w:val="sr-Cyrl-RS"/>
        </w:rPr>
        <w:t xml:space="preserve"> 6/15.</w:t>
      </w:r>
    </w:p>
  </w:footnote>
  <w:footnote w:id="89">
    <w:p w14:paraId="235AFE8B" w14:textId="31B22877" w:rsidR="00B37F05" w:rsidRPr="000D5756" w:rsidRDefault="00B37F05" w:rsidP="00CA3F93">
      <w:pPr>
        <w:pStyle w:val="FootnoteText"/>
        <w:ind w:firstLine="0"/>
        <w:rPr>
          <w:lang w:val="sr-Cyrl-RS"/>
        </w:rPr>
      </w:pPr>
      <w:r w:rsidRPr="000D5756">
        <w:rPr>
          <w:rStyle w:val="FootnoteReference"/>
          <w:lang w:val="sr-Cyrl-RS"/>
        </w:rPr>
        <w:footnoteRef/>
      </w:r>
      <w:r w:rsidRPr="000D5756">
        <w:rPr>
          <w:lang w:val="sr-Cyrl-RS"/>
        </w:rPr>
        <w:t xml:space="preserve"> </w:t>
      </w:r>
      <w:r>
        <w:rPr>
          <w:lang w:val="en-US"/>
        </w:rPr>
        <w:t>“Official Gazette of RS”, number</w:t>
      </w:r>
      <w:r w:rsidRPr="000D5756">
        <w:rPr>
          <w:lang w:val="sr-Cyrl-RS"/>
        </w:rPr>
        <w:t xml:space="preserve"> 94/16.</w:t>
      </w:r>
    </w:p>
  </w:footnote>
  <w:footnote w:id="90">
    <w:p w14:paraId="74E3D383" w14:textId="07D002F8" w:rsidR="00B37F05" w:rsidRPr="000D5756" w:rsidRDefault="00B37F05" w:rsidP="00CA3F93">
      <w:pPr>
        <w:pStyle w:val="FootnoteText"/>
        <w:ind w:firstLine="0"/>
        <w:rPr>
          <w:rFonts w:cs="Calibri"/>
          <w:lang w:val="sr-Cyrl-RS"/>
        </w:rPr>
      </w:pPr>
      <w:r w:rsidRPr="000D5756">
        <w:rPr>
          <w:rStyle w:val="FootnoteReference"/>
        </w:rPr>
        <w:footnoteRef/>
      </w:r>
      <w:r w:rsidRPr="000D5756">
        <w:t xml:space="preserve"> </w:t>
      </w:r>
      <w:r>
        <w:rPr>
          <w:rFonts w:cs="Calibri"/>
          <w:lang w:val="en-US"/>
        </w:rPr>
        <w:t xml:space="preserve">At home (keeping household, taking care of raising children, taking care of other family members) as well as work at the farm, etc. </w:t>
      </w:r>
    </w:p>
  </w:footnote>
  <w:footnote w:id="91">
    <w:p w14:paraId="6C1DD60A" w14:textId="74DCC3E4" w:rsidR="00B37F05" w:rsidRPr="00BF4EA4" w:rsidRDefault="00B37F05" w:rsidP="00B37F05">
      <w:pPr>
        <w:pStyle w:val="FootnoteText"/>
        <w:ind w:firstLine="0"/>
        <w:rPr>
          <w:lang w:val="sr-Cyrl-RS"/>
        </w:rPr>
      </w:pPr>
      <w:r w:rsidRPr="00EF20D0">
        <w:rPr>
          <w:rStyle w:val="FootnoteReference"/>
          <w:lang w:val="sr-Cyrl-RS"/>
        </w:rPr>
        <w:footnoteRef/>
      </w:r>
      <w:r w:rsidRPr="00EF20D0">
        <w:rPr>
          <w:lang w:val="sr-Cyrl-RS"/>
        </w:rPr>
        <w:t xml:space="preserve"> </w:t>
      </w:r>
      <w:r>
        <w:rPr>
          <w:lang w:val="en-US"/>
        </w:rPr>
        <w:t xml:space="preserve">“Official Gazette </w:t>
      </w:r>
      <w:r w:rsidR="00BA297C">
        <w:rPr>
          <w:lang w:val="en-US"/>
        </w:rPr>
        <w:t xml:space="preserve">of </w:t>
      </w:r>
      <w:r>
        <w:rPr>
          <w:lang w:val="en-US"/>
        </w:rPr>
        <w:t>RS”,</w:t>
      </w:r>
      <w:r w:rsidRPr="00F72E72">
        <w:rPr>
          <w:lang w:val="sr-Cyrl-RS"/>
        </w:rPr>
        <w:t xml:space="preserve"> </w:t>
      </w:r>
      <w:r>
        <w:rPr>
          <w:lang w:val="en-US"/>
        </w:rPr>
        <w:t>No.</w:t>
      </w:r>
      <w:r w:rsidRPr="00F72E72">
        <w:rPr>
          <w:lang w:val="sr-Cyrl-RS"/>
        </w:rPr>
        <w:t xml:space="preserve"> 126/21.</w:t>
      </w:r>
    </w:p>
  </w:footnote>
  <w:footnote w:id="92">
    <w:p w14:paraId="4FA94148" w14:textId="77777777" w:rsidR="00B37F05" w:rsidRPr="003A39E4" w:rsidRDefault="00B37F05" w:rsidP="00B37F05">
      <w:pPr>
        <w:pStyle w:val="FootnoteText"/>
        <w:ind w:firstLine="0"/>
        <w:rPr>
          <w:lang w:val="sr-Cyrl-RS"/>
        </w:rPr>
      </w:pPr>
      <w:r w:rsidRPr="003A39E4">
        <w:rPr>
          <w:rStyle w:val="FootnoteReference"/>
          <w:lang w:val="sr-Cyrl-RS"/>
        </w:rPr>
        <w:footnoteRef/>
      </w:r>
      <w:r>
        <w:rPr>
          <w:lang w:val="sr-Latn-RS"/>
        </w:rPr>
        <w:t xml:space="preserve"> </w:t>
      </w:r>
      <w:r>
        <w:rPr>
          <w:lang w:val="sr-Cyrl-RS"/>
        </w:rPr>
        <w:t xml:space="preserve">Article 15, </w:t>
      </w:r>
      <w:r>
        <w:rPr>
          <w:lang w:val="en-US"/>
        </w:rPr>
        <w:t>P</w:t>
      </w:r>
      <w:r w:rsidRPr="00882B54">
        <w:rPr>
          <w:lang w:val="sr-Cyrl-RS"/>
        </w:rPr>
        <w:t xml:space="preserve">aragraph 2 of this Law stipulates that an adult beneficiary, regardless of the degree of </w:t>
      </w:r>
      <w:r>
        <w:rPr>
          <w:lang w:val="en-US"/>
        </w:rPr>
        <w:t>work</w:t>
      </w:r>
      <w:r w:rsidRPr="00882B54">
        <w:rPr>
          <w:lang w:val="sr-Cyrl-RS"/>
        </w:rPr>
        <w:t xml:space="preserve"> capacity, or the legal representative of a minor beneficiary, has the right to change or withdraw the declaration of consent to accommodation at any time by freely expres</w:t>
      </w:r>
      <w:r>
        <w:rPr>
          <w:lang w:val="sr-Cyrl-RS"/>
        </w:rPr>
        <w:t xml:space="preserve">sed personal will. Article 18, </w:t>
      </w:r>
      <w:r>
        <w:rPr>
          <w:lang w:val="en-US"/>
        </w:rPr>
        <w:t>P</w:t>
      </w:r>
      <w:r w:rsidRPr="00882B54">
        <w:rPr>
          <w:lang w:val="sr-Cyrl-RS"/>
        </w:rPr>
        <w:t xml:space="preserve">aragraph 1 of the mentioned Law stipulates that the use of the accommodation service by the </w:t>
      </w:r>
      <w:r>
        <w:rPr>
          <w:lang w:val="en-US"/>
        </w:rPr>
        <w:t>beneficiary</w:t>
      </w:r>
      <w:r w:rsidRPr="00882B54">
        <w:rPr>
          <w:lang w:val="sr-Cyrl-RS"/>
        </w:rPr>
        <w:t xml:space="preserve"> ends with the decision of the competent center for social work, i.e</w:t>
      </w:r>
      <w:r>
        <w:rPr>
          <w:lang w:val="sr-Cyrl-RS"/>
        </w:rPr>
        <w:t xml:space="preserve">. the service provider, and in </w:t>
      </w:r>
      <w:r>
        <w:rPr>
          <w:lang w:val="en-US"/>
        </w:rPr>
        <w:t>P</w:t>
      </w:r>
      <w:r w:rsidRPr="00882B54">
        <w:rPr>
          <w:lang w:val="sr-Cyrl-RS"/>
        </w:rPr>
        <w:t xml:space="preserve">aragraph 2, </w:t>
      </w:r>
      <w:r>
        <w:rPr>
          <w:lang w:val="en-US"/>
        </w:rPr>
        <w:t>Item</w:t>
      </w:r>
      <w:r>
        <w:rPr>
          <w:lang w:val="sr-Cyrl-RS"/>
        </w:rPr>
        <w:t xml:space="preserve"> 3 of the same </w:t>
      </w:r>
      <w:r>
        <w:rPr>
          <w:lang w:val="en-US"/>
        </w:rPr>
        <w:t>A</w:t>
      </w:r>
      <w:r w:rsidRPr="00882B54">
        <w:rPr>
          <w:lang w:val="sr-Cyrl-RS"/>
        </w:rPr>
        <w:t xml:space="preserve">rticle, that the competent center for social work, i.e. the service provider, makes a decision on termination of the use of the accommodation service at the request of the </w:t>
      </w:r>
      <w:r>
        <w:rPr>
          <w:lang w:val="en-US"/>
        </w:rPr>
        <w:t>beneficiary</w:t>
      </w:r>
      <w:r w:rsidRPr="00882B54">
        <w:rPr>
          <w:lang w:val="sr-Cyrl-RS"/>
        </w:rPr>
        <w:t xml:space="preserve">, regardless of the degree of </w:t>
      </w:r>
      <w:r>
        <w:rPr>
          <w:lang w:val="en-US"/>
        </w:rPr>
        <w:t>work</w:t>
      </w:r>
      <w:r w:rsidRPr="00882B54">
        <w:rPr>
          <w:lang w:val="sr-Cyrl-RS"/>
        </w:rPr>
        <w:t xml:space="preserve"> capacity, that is, the legal representative of the minor </w:t>
      </w:r>
      <w:r>
        <w:rPr>
          <w:lang w:val="en-US"/>
        </w:rPr>
        <w:t>beneficiary</w:t>
      </w:r>
      <w:r w:rsidRPr="00882B54">
        <w:rPr>
          <w:lang w:val="sr-Cyrl-RS"/>
        </w:rPr>
        <w:t xml:space="preserve"> and withdrawal of the informed consent to the accommodation.</w:t>
      </w:r>
    </w:p>
  </w:footnote>
  <w:footnote w:id="93">
    <w:p w14:paraId="2B3A468B" w14:textId="77777777" w:rsidR="00B37F05" w:rsidRPr="003A39E4" w:rsidRDefault="00B37F05" w:rsidP="00B37F05">
      <w:pPr>
        <w:pStyle w:val="FootnoteText"/>
        <w:ind w:firstLine="0"/>
        <w:rPr>
          <w:lang w:val="sr-Cyrl-RS"/>
        </w:rPr>
      </w:pPr>
      <w:r w:rsidRPr="003A39E4">
        <w:rPr>
          <w:rStyle w:val="FootnoteReference"/>
          <w:lang w:val="sr-Cyrl-RS"/>
        </w:rPr>
        <w:footnoteRef/>
      </w:r>
      <w:r w:rsidRPr="003A39E4">
        <w:rPr>
          <w:lang w:val="sr-Cyrl-RS"/>
        </w:rPr>
        <w:t xml:space="preserve"> </w:t>
      </w:r>
      <w:r>
        <w:rPr>
          <w:lang w:val="en-US"/>
        </w:rPr>
        <w:t>No. of case</w:t>
      </w:r>
      <w:r>
        <w:rPr>
          <w:lang w:val="sr-Cyrl-RS"/>
        </w:rPr>
        <w:t xml:space="preserve"> 324-132/22.</w:t>
      </w:r>
    </w:p>
  </w:footnote>
  <w:footnote w:id="94">
    <w:p w14:paraId="75B0FEBC" w14:textId="77777777" w:rsidR="00B37F05" w:rsidRPr="004C311D" w:rsidRDefault="00B37F05" w:rsidP="00B37F05">
      <w:pPr>
        <w:pStyle w:val="FootnoteText"/>
        <w:ind w:firstLine="0"/>
        <w:rPr>
          <w:lang w:val="sr-Latn-RS"/>
        </w:rPr>
      </w:pPr>
      <w:r w:rsidRPr="003A39E4">
        <w:rPr>
          <w:rStyle w:val="FootnoteReference"/>
          <w:lang w:val="sr-Cyrl-RS"/>
        </w:rPr>
        <w:footnoteRef/>
      </w:r>
      <w:r w:rsidRPr="003A39E4">
        <w:rPr>
          <w:lang w:val="sr-Cyrl-RS"/>
        </w:rPr>
        <w:t xml:space="preserve"> </w:t>
      </w:r>
      <w:r>
        <w:rPr>
          <w:lang w:val="en-US"/>
        </w:rPr>
        <w:t>No. of case</w:t>
      </w:r>
      <w:r>
        <w:rPr>
          <w:lang w:val="sr-Cyrl-RS"/>
        </w:rPr>
        <w:t xml:space="preserve"> </w:t>
      </w:r>
      <w:r w:rsidRPr="003A39E4">
        <w:rPr>
          <w:lang w:val="sr-Cyrl-RS"/>
        </w:rPr>
        <w:t>323-294/</w:t>
      </w:r>
      <w:r>
        <w:rPr>
          <w:lang w:val="sr-Cyrl-RS"/>
        </w:rPr>
        <w:t xml:space="preserve">22. </w:t>
      </w:r>
    </w:p>
  </w:footnote>
  <w:footnote w:id="95">
    <w:p w14:paraId="22297400" w14:textId="45BA4967" w:rsidR="00B37F05" w:rsidRPr="00F72E72" w:rsidRDefault="00B37F05" w:rsidP="00B37F05">
      <w:pPr>
        <w:pStyle w:val="FootnoteText"/>
        <w:ind w:firstLine="0"/>
        <w:rPr>
          <w:lang w:val="sr-Cyrl-RS"/>
        </w:rPr>
      </w:pPr>
      <w:r w:rsidRPr="003A39E4">
        <w:rPr>
          <w:rStyle w:val="FootnoteReference"/>
          <w:lang w:val="sr-Cyrl-RS"/>
        </w:rPr>
        <w:footnoteRef/>
      </w:r>
      <w:r w:rsidRPr="003A39E4">
        <w:rPr>
          <w:lang w:val="sr-Cyrl-RS"/>
        </w:rPr>
        <w:t xml:space="preserve"> </w:t>
      </w:r>
      <w:r>
        <w:rPr>
          <w:lang w:val="en-US"/>
        </w:rPr>
        <w:t>T</w:t>
      </w:r>
      <w:r w:rsidRPr="00882B54">
        <w:rPr>
          <w:lang w:val="sr-Cyrl-RS"/>
        </w:rPr>
        <w:t>he Commissi</w:t>
      </w:r>
      <w:r w:rsidR="00BA297C">
        <w:rPr>
          <w:lang w:val="sr-Cyrl-RS"/>
        </w:rPr>
        <w:t xml:space="preserve">on noted that 454 requests were </w:t>
      </w:r>
      <w:r w:rsidRPr="00882B54">
        <w:rPr>
          <w:lang w:val="sr-Cyrl-RS"/>
        </w:rPr>
        <w:t xml:space="preserve">received on the first day, of which 448 meet the formal requirements for participation in the Public Call. Since the Public </w:t>
      </w:r>
      <w:r>
        <w:rPr>
          <w:lang w:val="en-US"/>
        </w:rPr>
        <w:t>Call</w:t>
      </w:r>
      <w:r w:rsidRPr="00882B54">
        <w:rPr>
          <w:lang w:val="sr-Cyrl-RS"/>
        </w:rPr>
        <w:t xml:space="preserve"> stated that requests will be considered upon arrival, and r</w:t>
      </w:r>
      <w:r>
        <w:rPr>
          <w:lang w:val="sr-Cyrl-RS"/>
        </w:rPr>
        <w:t>equests received by April 28,</w:t>
      </w:r>
      <w:r>
        <w:rPr>
          <w:lang w:val="en-US"/>
        </w:rPr>
        <w:t xml:space="preserve"> </w:t>
      </w:r>
      <w:r>
        <w:rPr>
          <w:lang w:val="sr-Cyrl-RS"/>
        </w:rPr>
        <w:t>2023</w:t>
      </w:r>
      <w:r w:rsidRPr="00882B54">
        <w:rPr>
          <w:lang w:val="sr-Cyrl-RS"/>
        </w:rPr>
        <w:t xml:space="preserve"> met the conditions of the Public Call, the Commission considered that there was no need to consider other requests, received by the end of the deadline (a total of 825 requests were received).</w:t>
      </w:r>
    </w:p>
  </w:footnote>
  <w:footnote w:id="96">
    <w:p w14:paraId="2B53E7A9" w14:textId="77777777" w:rsidR="00B37F05" w:rsidRPr="00EF20D0" w:rsidRDefault="00B37F05" w:rsidP="00B37F05">
      <w:pPr>
        <w:pStyle w:val="FootnoteText"/>
        <w:ind w:firstLine="0"/>
        <w:rPr>
          <w:lang w:val="sr-Cyrl-RS"/>
        </w:rPr>
      </w:pPr>
      <w:r w:rsidRPr="00EF20D0">
        <w:rPr>
          <w:rStyle w:val="FootnoteReference"/>
          <w:lang w:val="sr-Cyrl-RS"/>
        </w:rPr>
        <w:footnoteRef/>
      </w:r>
      <w:r w:rsidRPr="00EF20D0">
        <w:rPr>
          <w:lang w:val="sr-Cyrl-RS"/>
        </w:rPr>
        <w:t xml:space="preserve"> </w:t>
      </w:r>
      <w:r>
        <w:rPr>
          <w:lang w:val="en-US"/>
        </w:rPr>
        <w:t>Available at</w:t>
      </w:r>
      <w:r w:rsidRPr="00EF20D0">
        <w:rPr>
          <w:lang w:val="sr-Cyrl-RS"/>
        </w:rPr>
        <w:t xml:space="preserve">: </w:t>
      </w:r>
      <w:hyperlink r:id="rId40" w:history="1">
        <w:r w:rsidRPr="00BF4EA4">
          <w:rPr>
            <w:rStyle w:val="Hyperlink"/>
            <w:lang w:val="sr-Cyrl-RS"/>
          </w:rPr>
          <w:t>https://www.ombudsman.rs/index.php/2011-12-11-11-34-45/7710-z-sh-i-ni-gr-d-n-upu-i-ishlj-nj-n-n-cr-z-n-iz-n-i-d-pun-z-n-fin-nsi-s-p-drshci-p-r-dici-s-d-c</w:t>
        </w:r>
      </w:hyperlink>
      <w:r w:rsidRPr="00EF20D0">
        <w:rPr>
          <w:lang w:val="sr-Cyrl-RS"/>
        </w:rPr>
        <w:t xml:space="preserve">. </w:t>
      </w:r>
    </w:p>
  </w:footnote>
  <w:footnote w:id="97">
    <w:p w14:paraId="4CEB190F" w14:textId="77777777" w:rsidR="00B37F05" w:rsidRPr="00EF20D0" w:rsidRDefault="00B37F05" w:rsidP="00B37F05">
      <w:pPr>
        <w:pStyle w:val="FootnoteText"/>
        <w:ind w:firstLine="0"/>
        <w:rPr>
          <w:lang w:val="sr-Cyrl-RS"/>
        </w:rPr>
      </w:pPr>
      <w:r w:rsidRPr="00EF20D0">
        <w:rPr>
          <w:rStyle w:val="FootnoteReference"/>
          <w:lang w:val="sr-Cyrl-RS"/>
        </w:rPr>
        <w:footnoteRef/>
      </w:r>
      <w:r w:rsidRPr="00EF20D0">
        <w:rPr>
          <w:lang w:val="sr-Cyrl-RS"/>
        </w:rPr>
        <w:t xml:space="preserve"> </w:t>
      </w:r>
      <w:r>
        <w:rPr>
          <w:lang w:val="en-US"/>
        </w:rPr>
        <w:t>Available at</w:t>
      </w:r>
      <w:r w:rsidRPr="00EF20D0">
        <w:rPr>
          <w:lang w:val="sr-Cyrl-RS"/>
        </w:rPr>
        <w:t xml:space="preserve">: </w:t>
      </w:r>
      <w:hyperlink r:id="rId41" w:history="1">
        <w:r w:rsidRPr="00BF4EA4">
          <w:rPr>
            <w:rStyle w:val="Hyperlink"/>
            <w:lang w:val="sr-Cyrl-RS"/>
          </w:rPr>
          <w:t>https://www.ombudsman.rs/index.php/2011-12-11-11-34-45/7710-z-sh-i-ni-gr-d-n-upu-i-ishlj-nj-n-n-cr-z-n-iz-n-i-d-pun-z-n-fin-nsi-s-p-drshci-p-r-dici-s-d-c</w:t>
        </w:r>
      </w:hyperlink>
      <w:r w:rsidRPr="00EF20D0">
        <w:rPr>
          <w:lang w:val="sr-Cyrl-RS"/>
        </w:rPr>
        <w:t xml:space="preserve">. </w:t>
      </w:r>
    </w:p>
  </w:footnote>
  <w:footnote w:id="98">
    <w:p w14:paraId="722D260B" w14:textId="77777777" w:rsidR="00B37F05" w:rsidRPr="004C311D" w:rsidRDefault="00B37F05" w:rsidP="00B37F05">
      <w:pPr>
        <w:pStyle w:val="FootnoteText"/>
        <w:ind w:firstLine="0"/>
        <w:rPr>
          <w:lang w:val="sr-Cyrl-RS"/>
        </w:rPr>
      </w:pPr>
      <w:r w:rsidRPr="00EF20D0">
        <w:rPr>
          <w:rStyle w:val="FootnoteReference"/>
          <w:lang w:val="sr-Cyrl-RS"/>
        </w:rPr>
        <w:footnoteRef/>
      </w:r>
      <w:r w:rsidRPr="00EF20D0">
        <w:rPr>
          <w:lang w:val="sr-Cyrl-RS"/>
        </w:rPr>
        <w:t xml:space="preserve"> </w:t>
      </w:r>
      <w:r w:rsidRPr="00563A55">
        <w:rPr>
          <w:rFonts w:eastAsia="Times New Roman" w:cs="Times New Roman"/>
          <w:lang w:val="sr-Cyrl-RS"/>
        </w:rPr>
        <w:t>Based on the Law on Professional Rehabilitation and Employment of Persons with Disabilities</w:t>
      </w:r>
      <w:r w:rsidRPr="00EF20D0">
        <w:rPr>
          <w:rFonts w:eastAsia="Times New Roman" w:cs="Times New Roman"/>
          <w:lang w:val="sr-Cyrl-RS"/>
        </w:rPr>
        <w:t>.</w:t>
      </w:r>
      <w:r w:rsidRPr="004C311D">
        <w:rPr>
          <w:rFonts w:eastAsia="Times New Roman" w:cs="Times New Roman"/>
          <w:lang w:val="sr-Cyrl-RS"/>
        </w:rPr>
        <w:t xml:space="preserve"> </w:t>
      </w:r>
    </w:p>
  </w:footnote>
  <w:footnote w:id="99">
    <w:p w14:paraId="49196CC8" w14:textId="77777777" w:rsidR="00B37F05" w:rsidRPr="00F72E72" w:rsidRDefault="00B37F05" w:rsidP="00B37F05">
      <w:pPr>
        <w:pStyle w:val="FootnoteText"/>
        <w:ind w:firstLine="0"/>
        <w:rPr>
          <w:lang w:val="sr-Cyrl-RS"/>
        </w:rPr>
      </w:pPr>
      <w:r w:rsidRPr="00EF20D0">
        <w:rPr>
          <w:rStyle w:val="FootnoteReference"/>
        </w:rPr>
        <w:footnoteRef/>
      </w:r>
      <w:r w:rsidRPr="00EF20D0">
        <w:t xml:space="preserve"> </w:t>
      </w:r>
      <w:r w:rsidRPr="00563A55">
        <w:rPr>
          <w:rFonts w:eastAsia="Times New Roman" w:cs="Times New Roman"/>
          <w:lang w:val="sr-Cyrl-RS"/>
        </w:rPr>
        <w:t>Which is carried out on the basis of the Law on Pension and Disability Insurance.</w:t>
      </w:r>
    </w:p>
  </w:footnote>
  <w:footnote w:id="100">
    <w:p w14:paraId="6F6F0700" w14:textId="77777777" w:rsidR="00B37F05" w:rsidRPr="003A39E4" w:rsidRDefault="00B37F05" w:rsidP="00B37F05">
      <w:pPr>
        <w:pStyle w:val="FootnoteText"/>
        <w:ind w:firstLine="0"/>
        <w:rPr>
          <w:lang w:val="sr-Cyrl-RS"/>
        </w:rPr>
      </w:pPr>
      <w:r w:rsidRPr="004556EA">
        <w:rPr>
          <w:rStyle w:val="FootnoteReference"/>
        </w:rPr>
        <w:footnoteRef/>
      </w:r>
      <w:r w:rsidRPr="004556EA">
        <w:t xml:space="preserve"> </w:t>
      </w:r>
      <w:r>
        <w:rPr>
          <w:lang w:val="en-US"/>
        </w:rPr>
        <w:t>No. of case</w:t>
      </w:r>
      <w:r w:rsidRPr="004556EA">
        <w:rPr>
          <w:lang w:val="sr-Cyrl-RS"/>
        </w:rPr>
        <w:t xml:space="preserve"> 323-573/23. </w:t>
      </w:r>
    </w:p>
  </w:footnote>
  <w:footnote w:id="101">
    <w:p w14:paraId="116C7CBF" w14:textId="77777777" w:rsidR="00B37F05" w:rsidRPr="007A484B" w:rsidRDefault="00B37F05" w:rsidP="00B37F05">
      <w:pPr>
        <w:pStyle w:val="FootnoteText"/>
        <w:ind w:firstLine="0"/>
        <w:rPr>
          <w:lang w:val="sr-Cyrl-RS"/>
        </w:rPr>
      </w:pPr>
      <w:r w:rsidRPr="003A39E4">
        <w:rPr>
          <w:rStyle w:val="FootnoteReference"/>
        </w:rPr>
        <w:footnoteRef/>
      </w:r>
      <w:r w:rsidRPr="003A39E4">
        <w:t xml:space="preserve"> </w:t>
      </w:r>
      <w:r>
        <w:rPr>
          <w:lang w:val="en-US"/>
        </w:rPr>
        <w:t>Available at</w:t>
      </w:r>
      <w:r w:rsidRPr="003A39E4">
        <w:rPr>
          <w:lang w:val="sr-Cyrl-RS"/>
        </w:rPr>
        <w:t xml:space="preserve">: </w:t>
      </w:r>
      <w:hyperlink r:id="rId42" w:history="1">
        <w:r w:rsidRPr="003A39E4">
          <w:rPr>
            <w:rStyle w:val="Hyperlink"/>
            <w:lang w:val="sr-Cyrl-RS"/>
          </w:rPr>
          <w:t>https://www.ombudsman.rs/index.php/2012-02-07-14-03-33/7928-p-r-b-n-individu-lni-pl-n-p-drsh-z-sv-u-zr-vu-p-r-dicn-g-n-silj</w:t>
        </w:r>
      </w:hyperlink>
      <w:r w:rsidRPr="003A39E4">
        <w:rPr>
          <w:lang w:val="sr-Cyrl-RS"/>
        </w:rPr>
        <w:t>.</w:t>
      </w:r>
      <w:r>
        <w:rPr>
          <w:lang w:val="sr-Cyrl-RS"/>
        </w:rPr>
        <w:t xml:space="preserve"> </w:t>
      </w:r>
    </w:p>
  </w:footnote>
  <w:footnote w:id="102">
    <w:p w14:paraId="09FA54AD" w14:textId="77777777" w:rsidR="00B37F05" w:rsidRPr="00E76A68" w:rsidRDefault="00B37F05" w:rsidP="00B37F05">
      <w:pPr>
        <w:pStyle w:val="FootnoteText"/>
        <w:ind w:firstLine="0"/>
        <w:rPr>
          <w:lang w:val="sr-Cyrl-RS"/>
        </w:rPr>
      </w:pPr>
      <w:r w:rsidRPr="00E76A68">
        <w:rPr>
          <w:rStyle w:val="FootnoteReference"/>
        </w:rPr>
        <w:footnoteRef/>
      </w:r>
      <w:r w:rsidRPr="00E76A68">
        <w:t xml:space="preserve"> </w:t>
      </w:r>
      <w:r>
        <w:rPr>
          <w:lang w:val="en-US"/>
        </w:rPr>
        <w:t>Available at</w:t>
      </w:r>
      <w:r w:rsidRPr="003A39E4">
        <w:rPr>
          <w:lang w:val="sr-Cyrl-RS"/>
        </w:rPr>
        <w:t>:</w:t>
      </w:r>
      <w:r>
        <w:t xml:space="preserve"> </w:t>
      </w:r>
      <w:hyperlink r:id="rId43" w:history="1">
        <w:r w:rsidRPr="003A39E4">
          <w:rPr>
            <w:rStyle w:val="Hyperlink"/>
            <w:lang w:val="sr-Cyrl-RS"/>
          </w:rPr>
          <w:t>https://www.ombudsman.rs/index.php/2011-12-25-10-17-15/2011-12-26-10-05-05/7728-pr-pus-i-n-dl-znih-rg-n-u-sluc-u-ubis-v-u-s-r-c-d-u-n-b-z-ni-s-si</w:t>
        </w:r>
      </w:hyperlink>
      <w:r w:rsidRPr="003A39E4">
        <w:rPr>
          <w:lang w:val="sr-Cyrl-RS"/>
        </w:rPr>
        <w:t>.</w:t>
      </w:r>
      <w:r>
        <w:rPr>
          <w:lang w:val="sr-Cyrl-RS"/>
        </w:rPr>
        <w:t xml:space="preserve"> </w:t>
      </w:r>
      <w:r w:rsidRPr="00E76A68">
        <w:rPr>
          <w:lang w:val="sr-Cyrl-RS"/>
        </w:rPr>
        <w:t xml:space="preserve"> </w:t>
      </w:r>
    </w:p>
  </w:footnote>
  <w:footnote w:id="103">
    <w:p w14:paraId="638F278B" w14:textId="77777777" w:rsidR="00B37F05" w:rsidRPr="00FA4529" w:rsidRDefault="00B37F05" w:rsidP="00B37F05">
      <w:pPr>
        <w:pStyle w:val="FootnoteText"/>
        <w:ind w:firstLine="0"/>
        <w:rPr>
          <w:lang w:val="sr-Cyrl-RS"/>
        </w:rPr>
      </w:pPr>
      <w:r w:rsidRPr="00D92453">
        <w:rPr>
          <w:rStyle w:val="FootnoteReference"/>
        </w:rPr>
        <w:footnoteRef/>
      </w:r>
      <w:r w:rsidRPr="00D92453">
        <w:t xml:space="preserve"> </w:t>
      </w:r>
      <w:r w:rsidRPr="00FA5692">
        <w:t>The mentioned special report was prepared in cooperation with the association "Strength of Friendship - Amity" with the support of UN Women. The report was presented with the support of the Council of Europe, within the project "Cooperation in Monitoring and Improving Economic and Social Rights" in Belgrade to public authorities on republican, provincial and local level, while the report was presented to civil society organizations at 4 regional round tables in Belgrade, Novi Sad, Niš and Kragujevac.</w:t>
      </w:r>
    </w:p>
  </w:footnote>
  <w:footnote w:id="104">
    <w:p w14:paraId="05ECF044" w14:textId="106FB7A3" w:rsidR="00B37F05" w:rsidRPr="003A39E4" w:rsidRDefault="00B37F05" w:rsidP="00B37F05">
      <w:pPr>
        <w:pStyle w:val="FootnoteText"/>
        <w:ind w:firstLine="0"/>
        <w:rPr>
          <w:lang w:val="sr-Cyrl-RS"/>
        </w:rPr>
      </w:pPr>
      <w:r w:rsidRPr="00C919EA">
        <w:rPr>
          <w:rStyle w:val="FootnoteReference"/>
        </w:rPr>
        <w:footnoteRef/>
      </w:r>
      <w:r w:rsidRPr="00C919EA">
        <w:t xml:space="preserve"> </w:t>
      </w:r>
      <w:r w:rsidR="00BA297C">
        <w:rPr>
          <w:lang w:val="en-US"/>
        </w:rPr>
        <w:t>“Official Gazette of RS”</w:t>
      </w:r>
      <w:r>
        <w:rPr>
          <w:lang w:val="en-US"/>
        </w:rPr>
        <w:t>, No.</w:t>
      </w:r>
      <w:r>
        <w:t xml:space="preserve"> 126/</w:t>
      </w:r>
      <w:r w:rsidRPr="00447962">
        <w:t>21</w:t>
      </w:r>
      <w:r>
        <w:rPr>
          <w:lang w:val="sr-Cyrl-RS"/>
        </w:rPr>
        <w:t>.</w:t>
      </w:r>
    </w:p>
  </w:footnote>
  <w:footnote w:id="105">
    <w:p w14:paraId="6DCA2256" w14:textId="63CE5723" w:rsidR="00B37F05" w:rsidRPr="00BF3187" w:rsidRDefault="00B37F05" w:rsidP="00B37F05">
      <w:pPr>
        <w:pStyle w:val="FootnoteText"/>
        <w:ind w:firstLine="0"/>
        <w:rPr>
          <w:lang w:val="sr-Latn-RS"/>
        </w:rPr>
      </w:pPr>
      <w:r w:rsidRPr="00BF3187">
        <w:rPr>
          <w:rStyle w:val="FootnoteReference"/>
        </w:rPr>
        <w:footnoteRef/>
      </w:r>
      <w:r w:rsidRPr="00BF3187">
        <w:t xml:space="preserve"> </w:t>
      </w:r>
      <w:r w:rsidR="00BA297C">
        <w:rPr>
          <w:lang w:val="en-US"/>
        </w:rPr>
        <w:t>“Official Gazette of RS”</w:t>
      </w:r>
      <w:r>
        <w:rPr>
          <w:lang w:val="en-US"/>
        </w:rPr>
        <w:t>, No.</w:t>
      </w:r>
      <w:r w:rsidRPr="00BF3187">
        <w:rPr>
          <w:lang w:val="sr-Cyrl-RS"/>
        </w:rPr>
        <w:t xml:space="preserve"> </w:t>
      </w:r>
      <w:r w:rsidRPr="00BF3187">
        <w:rPr>
          <w:lang w:val="sr-Latn-RS"/>
        </w:rPr>
        <w:t>105/21.</w:t>
      </w:r>
    </w:p>
  </w:footnote>
  <w:footnote w:id="106">
    <w:p w14:paraId="7E9441F0" w14:textId="3EE664B6" w:rsidR="00B37F05" w:rsidRPr="002A751D" w:rsidRDefault="00B37F05" w:rsidP="00B37F05">
      <w:pPr>
        <w:pStyle w:val="FootnoteText"/>
        <w:ind w:firstLine="0"/>
        <w:jc w:val="left"/>
        <w:rPr>
          <w:lang w:val="sr-Cyrl-RS"/>
        </w:rPr>
      </w:pPr>
      <w:r w:rsidRPr="00980EC9">
        <w:rPr>
          <w:rStyle w:val="FootnoteReference"/>
          <w:lang w:val="sr-Cyrl-RS"/>
        </w:rPr>
        <w:footnoteRef/>
      </w:r>
      <w:r>
        <w:rPr>
          <w:lang w:val="sr-Cyrl-RS"/>
        </w:rPr>
        <w:t xml:space="preserve"> </w:t>
      </w:r>
      <w:r w:rsidR="00BA297C">
        <w:rPr>
          <w:lang w:val="en-US"/>
        </w:rPr>
        <w:t>“Official Gazette of RS”</w:t>
      </w:r>
      <w:r>
        <w:rPr>
          <w:lang w:val="en-US"/>
        </w:rPr>
        <w:t>, No.</w:t>
      </w:r>
      <w:r>
        <w:rPr>
          <w:lang w:val="sr-Cyrl-RS"/>
        </w:rPr>
        <w:t xml:space="preserve"> 126/21.</w:t>
      </w:r>
    </w:p>
  </w:footnote>
  <w:footnote w:id="107">
    <w:p w14:paraId="18B28867" w14:textId="04B84870" w:rsidR="00B37F05" w:rsidRPr="00E65FAF" w:rsidRDefault="00B37F05" w:rsidP="00B37F05">
      <w:pPr>
        <w:pStyle w:val="FootnoteText"/>
        <w:ind w:firstLine="0"/>
        <w:rPr>
          <w:lang w:val="sr-Cyrl-RS"/>
        </w:rPr>
      </w:pPr>
      <w:r w:rsidRPr="00E65FAF">
        <w:rPr>
          <w:rStyle w:val="FootnoteReference"/>
        </w:rPr>
        <w:footnoteRef/>
      </w:r>
      <w:r w:rsidRPr="00E65FAF">
        <w:rPr>
          <w:lang w:val="sr-Cyrl-RS"/>
        </w:rPr>
        <w:t xml:space="preserve"> </w:t>
      </w:r>
      <w:r w:rsidR="00BA297C">
        <w:rPr>
          <w:lang w:val="en-US"/>
        </w:rPr>
        <w:t>“Official Gazette of RS”</w:t>
      </w:r>
      <w:r>
        <w:rPr>
          <w:lang w:val="en-US"/>
        </w:rPr>
        <w:t>, No.</w:t>
      </w:r>
      <w:r w:rsidRPr="00E65FAF">
        <w:rPr>
          <w:lang w:val="sr-Cyrl-RS"/>
        </w:rPr>
        <w:t xml:space="preserve"> 12/22.</w:t>
      </w:r>
      <w:r w:rsidRPr="00E65FAF">
        <w:t xml:space="preserve"> </w:t>
      </w:r>
    </w:p>
  </w:footnote>
  <w:footnote w:id="108">
    <w:p w14:paraId="1427A6C5" w14:textId="77777777" w:rsidR="00B37F05" w:rsidRPr="00CD5517" w:rsidRDefault="00B37F05" w:rsidP="00B37F05">
      <w:pPr>
        <w:pStyle w:val="FootnoteText"/>
        <w:ind w:firstLine="0"/>
        <w:rPr>
          <w:lang w:val="sr-Cyrl-RS"/>
        </w:rPr>
      </w:pPr>
      <w:r w:rsidRPr="00CD5517">
        <w:rPr>
          <w:rStyle w:val="FootnoteReference"/>
        </w:rPr>
        <w:footnoteRef/>
      </w:r>
      <w:r w:rsidRPr="00CD5517">
        <w:t xml:space="preserve"> </w:t>
      </w:r>
      <w:r>
        <w:rPr>
          <w:lang w:val="en-US"/>
        </w:rPr>
        <w:t>Available at</w:t>
      </w:r>
      <w:r w:rsidRPr="00CD5517">
        <w:rPr>
          <w:lang w:val="sr-Cyrl-RS"/>
        </w:rPr>
        <w:t xml:space="preserve">: </w:t>
      </w:r>
      <w:hyperlink r:id="rId44" w:history="1">
        <w:r w:rsidRPr="00CD5517">
          <w:rPr>
            <w:rStyle w:val="Hyperlink"/>
            <w:lang w:val="sr-Cyrl-RS"/>
          </w:rPr>
          <w:t>https://www.ombudsman.rs/index.php/2012-02-07-14-03-33/7671-up-d-p-s-upi-u-s-l-du-s-z-n-sluzb-n-up-r-bi-zi-i-pis</w:t>
        </w:r>
      </w:hyperlink>
      <w:r w:rsidRPr="00CD5517">
        <w:rPr>
          <w:lang w:val="sr-Cyrl-RS"/>
        </w:rPr>
        <w:t>.</w:t>
      </w:r>
    </w:p>
  </w:footnote>
  <w:footnote w:id="109">
    <w:p w14:paraId="503594C1" w14:textId="77777777" w:rsidR="00B37F05" w:rsidRPr="002A37B8" w:rsidRDefault="00B37F05" w:rsidP="00B37F05">
      <w:pPr>
        <w:pStyle w:val="FootnoteText"/>
        <w:ind w:firstLine="0"/>
        <w:rPr>
          <w:lang w:val="sr-Cyrl-RS"/>
        </w:rPr>
      </w:pPr>
      <w:r w:rsidRPr="00CD5517">
        <w:rPr>
          <w:rStyle w:val="FootnoteReference"/>
        </w:rPr>
        <w:footnoteRef/>
      </w:r>
      <w:r>
        <w:rPr>
          <w:lang w:val="sr-Cyrl-RS"/>
        </w:rPr>
        <w:t xml:space="preserve"> </w:t>
      </w:r>
      <w:r>
        <w:rPr>
          <w:lang w:val="en-US"/>
        </w:rPr>
        <w:t>Available at</w:t>
      </w:r>
      <w:r w:rsidRPr="00CD5517">
        <w:rPr>
          <w:lang w:val="sr-Cyrl-RS"/>
        </w:rPr>
        <w:t>:</w:t>
      </w:r>
      <w:r>
        <w:rPr>
          <w:lang w:val="sr-Cyrl-RS"/>
        </w:rPr>
        <w:t xml:space="preserve"> </w:t>
      </w:r>
      <w:hyperlink r:id="rId45" w:history="1">
        <w:r w:rsidRPr="00CD5517">
          <w:rPr>
            <w:rStyle w:val="Hyperlink"/>
            <w:lang w:val="sr-Cyrl-RS"/>
          </w:rPr>
          <w:t>https://www.ombudsman.rs/index.php/2011-12-11-11-34-45/7698-inis-rs-v-d-d-n-s-r-sh-nj-upisu-i-n-d-n-zi-u-n-ci-n-ln-njin</w:t>
        </w:r>
      </w:hyperlink>
      <w:r w:rsidRPr="00CD5517">
        <w:rPr>
          <w:lang w:val="sr-Cyrl-RS"/>
        </w:rPr>
        <w:t>.</w:t>
      </w:r>
      <w:r>
        <w:rPr>
          <w:lang w:val="sr-Cyrl-RS"/>
        </w:rPr>
        <w:t xml:space="preserve"> </w:t>
      </w:r>
    </w:p>
  </w:footnote>
  <w:footnote w:id="110">
    <w:p w14:paraId="32988B01" w14:textId="77777777" w:rsidR="00B37F05" w:rsidRPr="000F4229" w:rsidRDefault="00B37F05" w:rsidP="00B37F05">
      <w:pPr>
        <w:pStyle w:val="FootnoteText"/>
        <w:ind w:firstLine="0"/>
        <w:rPr>
          <w:lang w:val="sr-Cyrl-RS"/>
        </w:rPr>
      </w:pPr>
      <w:r>
        <w:rPr>
          <w:rStyle w:val="FootnoteReference"/>
        </w:rPr>
        <w:footnoteRef/>
      </w:r>
      <w:r>
        <w:t xml:space="preserve"> </w:t>
      </w:r>
      <w:r>
        <w:rPr>
          <w:lang w:val="en-US"/>
        </w:rPr>
        <w:t>Available at</w:t>
      </w:r>
      <w:r>
        <w:rPr>
          <w:lang w:val="sr-Cyrl-RS"/>
        </w:rPr>
        <w:t xml:space="preserve">: </w:t>
      </w:r>
      <w:hyperlink r:id="rId46" w:history="1">
        <w:r w:rsidRPr="006F5519">
          <w:rPr>
            <w:rStyle w:val="Hyperlink"/>
            <w:lang w:val="sr-Cyrl-RS"/>
          </w:rPr>
          <w:t>https://www.ombudsman.rs/index.php/2012-02-07-14-03-33/7934-z-sh-i-ni-gr-d-n-p-v-c-i-f-nd-s-n-v-z-s-ci-ln-s-n-v-nj</w:t>
        </w:r>
      </w:hyperlink>
      <w:r>
        <w:rPr>
          <w:rStyle w:val="Hyperlink"/>
          <w:lang w:val="sr-Cyrl-RS"/>
        </w:rPr>
        <w:t>.</w:t>
      </w:r>
      <w:r>
        <w:rPr>
          <w:lang w:val="sr-Cyrl-RS"/>
        </w:rPr>
        <w:t xml:space="preserve"> </w:t>
      </w:r>
    </w:p>
  </w:footnote>
  <w:footnote w:id="111">
    <w:p w14:paraId="21196581" w14:textId="4EE172BD" w:rsidR="00B37F05" w:rsidRPr="00EE1A56" w:rsidRDefault="00B37F05" w:rsidP="00B37F05">
      <w:pPr>
        <w:pStyle w:val="FootnoteText"/>
        <w:ind w:firstLine="0"/>
        <w:rPr>
          <w:lang w:val="sr-Cyrl-RS"/>
        </w:rPr>
      </w:pPr>
      <w:r w:rsidRPr="00EE1A56">
        <w:rPr>
          <w:rStyle w:val="FootnoteReference"/>
        </w:rPr>
        <w:footnoteRef/>
      </w:r>
      <w:r w:rsidRPr="00EE1A56">
        <w:t xml:space="preserve"> </w:t>
      </w:r>
      <w:r w:rsidR="00BA297C">
        <w:rPr>
          <w:lang w:val="en-US"/>
        </w:rPr>
        <w:t>“Official Gazette of RS”</w:t>
      </w:r>
      <w:r>
        <w:rPr>
          <w:lang w:val="en-US"/>
        </w:rPr>
        <w:t xml:space="preserve">, No. </w:t>
      </w:r>
      <w:r>
        <w:t xml:space="preserve">85/05, 88/05 - </w:t>
      </w:r>
      <w:r>
        <w:rPr>
          <w:lang w:val="en-US"/>
        </w:rPr>
        <w:t>corr</w:t>
      </w:r>
      <w:r>
        <w:t xml:space="preserve">., 107/05 - </w:t>
      </w:r>
      <w:r>
        <w:rPr>
          <w:lang w:val="en-US"/>
        </w:rPr>
        <w:t>corr</w:t>
      </w:r>
      <w:r>
        <w:t xml:space="preserve">., 72/09, 111/09, 121/12, 104/13, 108/14, 94/16 </w:t>
      </w:r>
      <w:r>
        <w:rPr>
          <w:lang w:val="en-US"/>
        </w:rPr>
        <w:t xml:space="preserve">and </w:t>
      </w:r>
      <w:r>
        <w:t>35/</w:t>
      </w:r>
      <w:r w:rsidRPr="00EE1A56">
        <w:t>19.</w:t>
      </w:r>
    </w:p>
  </w:footnote>
  <w:footnote w:id="112">
    <w:p w14:paraId="6657CBEB" w14:textId="09928C8B" w:rsidR="00B37F05" w:rsidRPr="003F4EC1" w:rsidRDefault="00B37F05" w:rsidP="00B37F05">
      <w:pPr>
        <w:pStyle w:val="FootnoteText"/>
        <w:ind w:firstLine="0"/>
      </w:pPr>
      <w:r w:rsidRPr="00EE1A56">
        <w:rPr>
          <w:rStyle w:val="FootnoteReference"/>
        </w:rPr>
        <w:footnoteRef/>
      </w:r>
      <w:r w:rsidRPr="00EE1A56">
        <w:t xml:space="preserve"> </w:t>
      </w:r>
      <w:r w:rsidRPr="003F4EC1">
        <w:t>The trainings were organized with the support of the Council of Europe within the joint program of the European U</w:t>
      </w:r>
      <w:r>
        <w:t xml:space="preserve">nion and the Council of Europe </w:t>
      </w:r>
      <w:r>
        <w:rPr>
          <w:lang w:val="en-US"/>
        </w:rPr>
        <w:t>“</w:t>
      </w:r>
      <w:r w:rsidR="00EB67F5">
        <w:rPr>
          <w:lang w:val="en-US"/>
        </w:rPr>
        <w:t>Combating</w:t>
      </w:r>
      <w:r w:rsidRPr="003F4EC1">
        <w:t xml:space="preserve"> discrimination and p</w:t>
      </w:r>
      <w:r>
        <w:t>romotion of diversity in Serbia</w:t>
      </w:r>
      <w:r>
        <w:rPr>
          <w:lang w:val="en-US"/>
        </w:rPr>
        <w:t>”</w:t>
      </w:r>
      <w:r w:rsidRPr="003F4EC1">
        <w:t xml:space="preserve"> - Horizontal Facility for the Western Balkans and Turkey.</w:t>
      </w:r>
    </w:p>
  </w:footnote>
  <w:footnote w:id="113">
    <w:p w14:paraId="5136F034" w14:textId="77777777" w:rsidR="00B37F05" w:rsidRPr="00DB1BA3" w:rsidRDefault="00B37F05" w:rsidP="00B37F05">
      <w:pPr>
        <w:pStyle w:val="FootnoteText"/>
        <w:ind w:firstLine="0"/>
        <w:rPr>
          <w:lang w:val="sr-Cyrl-RS"/>
        </w:rPr>
      </w:pPr>
      <w:r w:rsidRPr="00DB1BA3">
        <w:rPr>
          <w:rStyle w:val="FootnoteReference"/>
          <w:lang w:val="sr-Cyrl-RS"/>
        </w:rPr>
        <w:footnoteRef/>
      </w:r>
      <w:r w:rsidRPr="00DB1BA3">
        <w:rPr>
          <w:lang w:val="sr-Cyrl-RS"/>
        </w:rPr>
        <w:t xml:space="preserve"> </w:t>
      </w:r>
      <w:r w:rsidRPr="001B5309">
        <w:rPr>
          <w:bCs/>
          <w:lang w:val="en-US"/>
        </w:rPr>
        <w:t xml:space="preserve">Regional workshop on </w:t>
      </w:r>
      <w:r>
        <w:rPr>
          <w:bCs/>
          <w:lang w:val="en-US"/>
        </w:rPr>
        <w:t>combating</w:t>
      </w:r>
      <w:r w:rsidRPr="001B5309">
        <w:rPr>
          <w:bCs/>
          <w:lang w:val="en-US"/>
        </w:rPr>
        <w:t xml:space="preserve"> racism for representatives of governments and equality bodies from the Western Balkans and Eastern Partnership region, Albania, </w:t>
      </w:r>
      <w:r>
        <w:rPr>
          <w:bCs/>
          <w:lang w:val="en-US"/>
        </w:rPr>
        <w:t>Valona</w:t>
      </w:r>
      <w:r w:rsidRPr="001B5309">
        <w:rPr>
          <w:bCs/>
          <w:lang w:val="en-US"/>
        </w:rPr>
        <w:t>, June 2023</w:t>
      </w:r>
      <w:r w:rsidRPr="001B5309">
        <w:rPr>
          <w:lang w:val="en-US"/>
        </w:rPr>
        <w:t>.</w:t>
      </w:r>
      <w:r w:rsidRPr="00DB1BA3">
        <w:rPr>
          <w:lang w:val="sr-Cyrl-RS"/>
        </w:rPr>
        <w:t xml:space="preserve">  </w:t>
      </w:r>
    </w:p>
  </w:footnote>
  <w:footnote w:id="114">
    <w:p w14:paraId="43A9E211" w14:textId="77777777" w:rsidR="00B37F05" w:rsidRPr="00DB1BA3" w:rsidRDefault="00B37F05" w:rsidP="00B37F05">
      <w:pPr>
        <w:pStyle w:val="FootnoteText"/>
        <w:ind w:firstLine="0"/>
        <w:rPr>
          <w:lang w:val="sr-Cyrl-RS"/>
        </w:rPr>
      </w:pPr>
      <w:r w:rsidRPr="00DB1BA3">
        <w:rPr>
          <w:rStyle w:val="FootnoteReference"/>
          <w:lang w:val="sr-Cyrl-RS"/>
        </w:rPr>
        <w:footnoteRef/>
      </w:r>
      <w:r w:rsidRPr="00DB1BA3">
        <w:rPr>
          <w:lang w:val="sr-Cyrl-RS"/>
        </w:rPr>
        <w:t xml:space="preserve"> </w:t>
      </w:r>
      <w:r w:rsidRPr="001B5309">
        <w:rPr>
          <w:lang w:val="sr-Cyrl-RS"/>
        </w:rPr>
        <w:t>Regional conference on access to documents and prevention of statelessness in Southeast Europe, North Macedonia, Skopje, October 2023.</w:t>
      </w:r>
    </w:p>
  </w:footnote>
  <w:footnote w:id="115">
    <w:p w14:paraId="67528495" w14:textId="7C61A350" w:rsidR="00B37F05" w:rsidRPr="002239C8" w:rsidRDefault="00B37F05" w:rsidP="00B37F05">
      <w:pPr>
        <w:pStyle w:val="FootnoteText"/>
        <w:ind w:firstLine="0"/>
      </w:pPr>
      <w:r w:rsidRPr="002239C8">
        <w:rPr>
          <w:rStyle w:val="FootnoteReference"/>
        </w:rPr>
        <w:footnoteRef/>
      </w:r>
      <w:r w:rsidRPr="002239C8">
        <w:t xml:space="preserve"> </w:t>
      </w:r>
      <w:r w:rsidRPr="003437A9">
        <w:rPr>
          <w:lang w:val="sr-Cyrl-RS"/>
        </w:rPr>
        <w:t xml:space="preserve">Bearing in mind that the Protector of Citizens is not authorized to </w:t>
      </w:r>
      <w:r w:rsidR="006E7376">
        <w:rPr>
          <w:lang w:val="en-US"/>
        </w:rPr>
        <w:t>oversee</w:t>
      </w:r>
      <w:r w:rsidRPr="003437A9">
        <w:rPr>
          <w:lang w:val="sr-Cyrl-RS"/>
        </w:rPr>
        <w:t xml:space="preserve"> the work of the courts, the complainants are instructed to contact the competent authorities in this regard.</w:t>
      </w:r>
    </w:p>
  </w:footnote>
  <w:footnote w:id="116">
    <w:p w14:paraId="63B5433C" w14:textId="77777777" w:rsidR="00B37F05" w:rsidRPr="008D79B1" w:rsidRDefault="00B37F05" w:rsidP="00B37F05">
      <w:pPr>
        <w:pStyle w:val="FootnoteText"/>
        <w:ind w:firstLine="0"/>
        <w:rPr>
          <w:lang w:val="sr-Cyrl-RS"/>
        </w:rPr>
      </w:pPr>
      <w:r w:rsidRPr="002239C8">
        <w:rPr>
          <w:rStyle w:val="FootnoteReference"/>
        </w:rPr>
        <w:footnoteRef/>
      </w:r>
      <w:r w:rsidRPr="002239C8">
        <w:t xml:space="preserve"> </w:t>
      </w:r>
      <w:r>
        <w:rPr>
          <w:lang w:val="en-US"/>
        </w:rPr>
        <w:t>Available at</w:t>
      </w:r>
      <w:r>
        <w:rPr>
          <w:lang w:val="sr-Cyrl-RS"/>
        </w:rPr>
        <w:t xml:space="preserve">: </w:t>
      </w:r>
      <w:hyperlink r:id="rId47" w:history="1">
        <w:r w:rsidRPr="00A01225">
          <w:rPr>
            <w:rStyle w:val="Hyperlink"/>
          </w:rPr>
          <w:t>https://lls.ombudsman.org.rs/index.php?option=com_content&amp;view=article&amp;id=500:z-sh-i-ni-gr-d-n-u-vrdi-n-pr-viln-s-i-u-r-du-pz-sr-s-i-r-vic&amp;catid=88:2011-10-24-12-47-37&amp;Itemid=76</w:t>
        </w:r>
      </w:hyperlink>
      <w:r>
        <w:rPr>
          <w:lang w:val="sr-Cyrl-RS"/>
        </w:rPr>
        <w:t xml:space="preserve">. </w:t>
      </w:r>
    </w:p>
  </w:footnote>
  <w:footnote w:id="117">
    <w:p w14:paraId="3BE13F58" w14:textId="77777777" w:rsidR="00B37F05" w:rsidRPr="008D79B1" w:rsidRDefault="00B37F05" w:rsidP="00B37F05">
      <w:pPr>
        <w:pStyle w:val="FootnoteText"/>
        <w:ind w:firstLine="0"/>
        <w:rPr>
          <w:lang w:val="sr-Cyrl-RS"/>
        </w:rPr>
      </w:pPr>
      <w:r w:rsidRPr="002239C8">
        <w:rPr>
          <w:rStyle w:val="FootnoteReference"/>
        </w:rPr>
        <w:footnoteRef/>
      </w:r>
      <w:r>
        <w:rPr>
          <w:lang w:val="sr-Cyrl-RS"/>
        </w:rPr>
        <w:t xml:space="preserve"> </w:t>
      </w:r>
      <w:r>
        <w:rPr>
          <w:lang w:val="en-US"/>
        </w:rPr>
        <w:t>Available at</w:t>
      </w:r>
      <w:r>
        <w:rPr>
          <w:lang w:val="sr-Cyrl-RS"/>
        </w:rPr>
        <w:t>:</w:t>
      </w:r>
      <w:r w:rsidRPr="002239C8">
        <w:t xml:space="preserve"> </w:t>
      </w:r>
      <w:hyperlink r:id="rId48" w:history="1">
        <w:r w:rsidRPr="00A01225">
          <w:rPr>
            <w:rStyle w:val="Hyperlink"/>
          </w:rPr>
          <w:t>https://lls.ombudsman.org.rs/index.php?option=com_content&amp;view=article&amp;id=499:pr-p-ru-ruzn-z-v-ru-u-b-gr-du-ns-v-n-p-vr-d-lic-lish-nih-sl-b-d-s-r-u-d-v-n-d-u-n-v-i&amp;catid=88&amp;Itemid=76</w:t>
        </w:r>
      </w:hyperlink>
      <w:r>
        <w:rPr>
          <w:lang w:val="sr-Cyrl-RS"/>
        </w:rPr>
        <w:t xml:space="preserve">. </w:t>
      </w:r>
    </w:p>
  </w:footnote>
  <w:footnote w:id="118">
    <w:p w14:paraId="4B47F80C" w14:textId="77777777" w:rsidR="00B37F05" w:rsidRPr="008D79B1" w:rsidRDefault="00B37F05" w:rsidP="00B37F05">
      <w:pPr>
        <w:pStyle w:val="FootnoteText"/>
        <w:ind w:firstLine="0"/>
        <w:rPr>
          <w:lang w:val="sr-Cyrl-RS"/>
        </w:rPr>
      </w:pPr>
      <w:r w:rsidRPr="002239C8">
        <w:rPr>
          <w:rStyle w:val="FootnoteReference"/>
        </w:rPr>
        <w:footnoteRef/>
      </w:r>
      <w:r w:rsidRPr="002239C8">
        <w:t xml:space="preserve"> </w:t>
      </w:r>
      <w:r>
        <w:rPr>
          <w:lang w:val="en-US"/>
        </w:rPr>
        <w:t>Available at</w:t>
      </w:r>
      <w:r>
        <w:rPr>
          <w:lang w:val="sr-Cyrl-RS"/>
        </w:rPr>
        <w:t xml:space="preserve">: </w:t>
      </w:r>
      <w:hyperlink r:id="rId49" w:history="1">
        <w:r w:rsidRPr="00A01225">
          <w:rPr>
            <w:rStyle w:val="Hyperlink"/>
          </w:rPr>
          <w:t>https://lls.ombudsman.org.rs/index.php?option=com_content&amp;view=article&amp;id=498:ruzni-z-v-r-u-n-v-s-du-ni-guci-d-br-nu-p-s-u-pri-v-r-ni-u&amp;catid=88:2011-10-24-12-47-37&amp;Itemid=76</w:t>
        </w:r>
      </w:hyperlink>
      <w:r>
        <w:rPr>
          <w:lang w:val="sr-Cyrl-RS"/>
        </w:rPr>
        <w:t xml:space="preserve">. </w:t>
      </w:r>
    </w:p>
  </w:footnote>
  <w:footnote w:id="119">
    <w:p w14:paraId="2303BF79" w14:textId="7F018172" w:rsidR="00B37F05" w:rsidRPr="008D79B1" w:rsidRDefault="00B37F05" w:rsidP="00B37F05">
      <w:pPr>
        <w:pStyle w:val="FootnoteText"/>
        <w:ind w:firstLine="0"/>
        <w:rPr>
          <w:lang w:val="sr-Cyrl-RS"/>
        </w:rPr>
      </w:pPr>
      <w:r w:rsidRPr="002239C8">
        <w:rPr>
          <w:rStyle w:val="FootnoteReference"/>
        </w:rPr>
        <w:footnoteRef/>
      </w:r>
      <w:r w:rsidRPr="002239C8">
        <w:t xml:space="preserve"> </w:t>
      </w:r>
      <w:r w:rsidR="006E7376">
        <w:rPr>
          <w:lang w:val="en-US"/>
        </w:rPr>
        <w:t>Available at</w:t>
      </w:r>
      <w:r>
        <w:rPr>
          <w:lang w:val="sr-Cyrl-RS"/>
        </w:rPr>
        <w:t xml:space="preserve">: </w:t>
      </w:r>
      <w:hyperlink r:id="rId50" w:history="1">
        <w:r w:rsidRPr="00A01225">
          <w:rPr>
            <w:rStyle w:val="Hyperlink"/>
          </w:rPr>
          <w:t>https://lls.ombudsman.org.rs/index.php?option=com_content&amp;view=article&amp;id=496:n-z-ni-i-p-s-up-nj-p-lici-s-ih-sluzb-ni-ps-z-un-p-vr-d-n-pr-v-gr-d-nin-n-n-p-vr-div-s-fizic-g-i-psihic-g-in-gri-i-pr-v-n-d-s-ns-v&amp;catid=88:2011-10-24-12-47-37&amp;Itemid=76</w:t>
        </w:r>
      </w:hyperlink>
      <w:r>
        <w:rPr>
          <w:lang w:val="sr-Cyrl-RS"/>
        </w:rPr>
        <w:t xml:space="preserve">. </w:t>
      </w:r>
    </w:p>
  </w:footnote>
  <w:footnote w:id="120">
    <w:p w14:paraId="61D55A00" w14:textId="17C122AF" w:rsidR="00B37F05" w:rsidRPr="008D79B1" w:rsidRDefault="00B37F05" w:rsidP="00B37F05">
      <w:pPr>
        <w:pStyle w:val="FootnoteText"/>
        <w:ind w:firstLine="0"/>
        <w:rPr>
          <w:lang w:val="sr-Cyrl-RS"/>
        </w:rPr>
      </w:pPr>
      <w:r w:rsidRPr="002239C8">
        <w:rPr>
          <w:rStyle w:val="FootnoteReference"/>
        </w:rPr>
        <w:footnoteRef/>
      </w:r>
      <w:r w:rsidRPr="002239C8">
        <w:t xml:space="preserve"> </w:t>
      </w:r>
      <w:r w:rsidR="006E7376">
        <w:rPr>
          <w:lang w:val="en-US"/>
        </w:rPr>
        <w:t>Available at</w:t>
      </w:r>
      <w:r>
        <w:rPr>
          <w:lang w:val="sr-Cyrl-RS"/>
        </w:rPr>
        <w:t xml:space="preserve">: </w:t>
      </w:r>
      <w:hyperlink r:id="rId51" w:history="1">
        <w:r w:rsidRPr="00A01225">
          <w:rPr>
            <w:rStyle w:val="Hyperlink"/>
          </w:rPr>
          <w:t>https://lls.ombudsman.org.rs/index.php?option=com_content&amp;view=article&amp;id=501:n-z-ni-i-p-s-up-nj-p-lici-s-ih-sluzb-ni-pi-z-l-zni-p-vr-d-n-pr-v-gr-d-n-n-n-p-vr-div-s-fizic-g-i-psihic-g-in-gri-i-pr-v-n-d-s-ns-v&amp;catid=88:2011-10-24-12-47-37&amp;Itemid=76</w:t>
        </w:r>
      </w:hyperlink>
      <w:r>
        <w:rPr>
          <w:lang w:val="sr-Cyrl-RS"/>
        </w:rPr>
        <w:t xml:space="preserve">. </w:t>
      </w:r>
    </w:p>
  </w:footnote>
  <w:footnote w:id="121">
    <w:p w14:paraId="50EA920F" w14:textId="77777777" w:rsidR="00B37F05" w:rsidRPr="008D79B1" w:rsidRDefault="00B37F05" w:rsidP="00B37F05">
      <w:pPr>
        <w:pStyle w:val="FootnoteText"/>
        <w:ind w:firstLine="0"/>
        <w:jc w:val="left"/>
        <w:rPr>
          <w:lang w:val="sr-Cyrl-RS"/>
        </w:rPr>
      </w:pPr>
      <w:r w:rsidRPr="0023619F">
        <w:rPr>
          <w:rStyle w:val="FootnoteReference"/>
        </w:rPr>
        <w:footnoteRef/>
      </w:r>
      <w:r w:rsidRPr="0023619F">
        <w:t xml:space="preserve"> </w:t>
      </w:r>
      <w:r>
        <w:rPr>
          <w:lang w:val="en-US"/>
        </w:rPr>
        <w:t>Available at</w:t>
      </w:r>
      <w:r>
        <w:rPr>
          <w:lang w:val="sr-Cyrl-RS"/>
        </w:rPr>
        <w:t xml:space="preserve">: </w:t>
      </w:r>
      <w:hyperlink r:id="rId52" w:history="1">
        <w:r w:rsidRPr="00A01225">
          <w:rPr>
            <w:rStyle w:val="Hyperlink"/>
          </w:rPr>
          <w:t>https://lls.ombudsman.org.rs/index.php?option=com_content&amp;view=article&amp;id=495:a&amp;catid=88:2011-10-24-12-47-37&amp;Itemid=76</w:t>
        </w:r>
      </w:hyperlink>
      <w:r>
        <w:rPr>
          <w:lang w:val="sr-Cyrl-RS"/>
        </w:rPr>
        <w:t xml:space="preserve">. </w:t>
      </w:r>
    </w:p>
  </w:footnote>
  <w:footnote w:id="122">
    <w:p w14:paraId="51F21E0B" w14:textId="77777777" w:rsidR="00B37F05" w:rsidRPr="0023619F" w:rsidRDefault="00B37F05" w:rsidP="00B37F05">
      <w:pPr>
        <w:pStyle w:val="FootnoteText"/>
        <w:ind w:firstLine="0"/>
        <w:rPr>
          <w:lang w:val="sr-Cyrl-RS"/>
        </w:rPr>
      </w:pPr>
      <w:r w:rsidRPr="0023619F">
        <w:rPr>
          <w:rStyle w:val="FootnoteReference"/>
        </w:rPr>
        <w:footnoteRef/>
      </w:r>
      <w:r w:rsidRPr="0023619F">
        <w:t xml:space="preserve"> </w:t>
      </w:r>
      <w:r>
        <w:rPr>
          <w:lang w:val="en-US"/>
        </w:rPr>
        <w:t>“Official Gazette RS, No.</w:t>
      </w:r>
      <w:r>
        <w:rPr>
          <w:color w:val="333333"/>
        </w:rPr>
        <w:t xml:space="preserve"> 45/</w:t>
      </w:r>
      <w:r w:rsidRPr="0023619F">
        <w:rPr>
          <w:color w:val="333333"/>
        </w:rPr>
        <w:t>23.</w:t>
      </w:r>
    </w:p>
  </w:footnote>
  <w:footnote w:id="123">
    <w:p w14:paraId="5077689B" w14:textId="77777777" w:rsidR="00B37F05" w:rsidRPr="007516A7" w:rsidRDefault="00B37F05" w:rsidP="00B37F05">
      <w:pPr>
        <w:pStyle w:val="FootnoteText"/>
        <w:ind w:firstLine="0"/>
        <w:rPr>
          <w:lang w:val="sr-Cyrl-RS"/>
        </w:rPr>
      </w:pPr>
      <w:r w:rsidRPr="00FC6ED2">
        <w:rPr>
          <w:rStyle w:val="FootnoteReference"/>
        </w:rPr>
        <w:footnoteRef/>
      </w:r>
      <w:r w:rsidRPr="00FC6ED2">
        <w:t xml:space="preserve"> </w:t>
      </w:r>
      <w:r>
        <w:rPr>
          <w:lang w:val="en-US"/>
        </w:rPr>
        <w:t>No. of case</w:t>
      </w:r>
      <w:r>
        <w:rPr>
          <w:lang w:val="sr-Cyrl-RS"/>
        </w:rPr>
        <w:t xml:space="preserve"> </w:t>
      </w:r>
      <w:r w:rsidRPr="004556EA">
        <w:rPr>
          <w:lang w:val="sr-Cyrl-RS"/>
        </w:rPr>
        <w:t>4110-2/23.</w:t>
      </w:r>
      <w:r>
        <w:rPr>
          <w:lang w:val="sr-Cyrl-RS"/>
        </w:rPr>
        <w:t xml:space="preserve"> </w:t>
      </w:r>
    </w:p>
  </w:footnote>
  <w:footnote w:id="124">
    <w:p w14:paraId="0FF4EFA2" w14:textId="77777777" w:rsidR="00B37F05" w:rsidRPr="00D22893" w:rsidRDefault="00B37F05" w:rsidP="00B37F05">
      <w:pPr>
        <w:pStyle w:val="FootnoteText"/>
        <w:ind w:firstLine="0"/>
        <w:rPr>
          <w:lang w:val="sr-Cyrl-RS"/>
        </w:rPr>
      </w:pPr>
      <w:r w:rsidRPr="00D22893">
        <w:rPr>
          <w:rStyle w:val="FootnoteReference"/>
        </w:rPr>
        <w:footnoteRef/>
      </w:r>
      <w:r w:rsidRPr="00D22893">
        <w:t xml:space="preserve"> </w:t>
      </w:r>
      <w:r>
        <w:rPr>
          <w:lang w:val="en-US"/>
        </w:rPr>
        <w:t>Report on the visit to the Special Prison Hospital, ref. No.</w:t>
      </w:r>
      <w:r w:rsidRPr="00D22893">
        <w:rPr>
          <w:lang w:val="sr-Cyrl-RS"/>
        </w:rPr>
        <w:t xml:space="preserve"> 27573 </w:t>
      </w:r>
      <w:r>
        <w:rPr>
          <w:lang w:val="en-US"/>
        </w:rPr>
        <w:t>dated October 25, 2023</w:t>
      </w:r>
      <w:r w:rsidRPr="00D22893">
        <w:rPr>
          <w:lang w:val="sr-Cyrl-RS"/>
        </w:rPr>
        <w:t>.</w:t>
      </w:r>
    </w:p>
  </w:footnote>
  <w:footnote w:id="125">
    <w:p w14:paraId="4299CDDA" w14:textId="77777777" w:rsidR="00B37F05" w:rsidRPr="008F3979" w:rsidRDefault="00B37F05" w:rsidP="00B37F05">
      <w:pPr>
        <w:pStyle w:val="FootnoteText"/>
        <w:ind w:firstLine="0"/>
        <w:rPr>
          <w:lang w:val="sr-Cyrl-RS"/>
        </w:rPr>
      </w:pPr>
      <w:r w:rsidRPr="008F3979">
        <w:rPr>
          <w:rStyle w:val="FootnoteReference"/>
        </w:rPr>
        <w:footnoteRef/>
      </w:r>
      <w:r w:rsidRPr="008F3979">
        <w:t xml:space="preserve"> </w:t>
      </w:r>
      <w:r>
        <w:rPr>
          <w:lang w:val="en-US"/>
        </w:rPr>
        <w:t>“Official Gazette of RS”</w:t>
      </w:r>
      <w:r>
        <w:rPr>
          <w:lang w:val="sr-Cyrl-RS"/>
        </w:rPr>
        <w:t xml:space="preserve">, </w:t>
      </w:r>
      <w:r>
        <w:rPr>
          <w:lang w:val="en-US"/>
        </w:rPr>
        <w:t>No.</w:t>
      </w:r>
      <w:r w:rsidRPr="008F3979">
        <w:rPr>
          <w:lang w:val="sr-Cyrl-RS"/>
        </w:rPr>
        <w:t xml:space="preserve"> 105/21. </w:t>
      </w:r>
    </w:p>
  </w:footnote>
  <w:footnote w:id="126">
    <w:p w14:paraId="217B0049" w14:textId="77777777" w:rsidR="00B37F05" w:rsidRPr="008F3979" w:rsidRDefault="00B37F05" w:rsidP="00B37F05">
      <w:pPr>
        <w:pStyle w:val="FootnoteText"/>
        <w:ind w:firstLine="0"/>
        <w:rPr>
          <w:lang w:val="sr-Cyrl-RS"/>
        </w:rPr>
      </w:pPr>
      <w:r w:rsidRPr="008F3979">
        <w:rPr>
          <w:rStyle w:val="FootnoteReference"/>
        </w:rPr>
        <w:footnoteRef/>
      </w:r>
      <w:r w:rsidRPr="008F3979">
        <w:t xml:space="preserve"> </w:t>
      </w:r>
      <w:r>
        <w:rPr>
          <w:lang w:val="en-US"/>
        </w:rPr>
        <w:t>“Official Gazette of RS</w:t>
      </w:r>
      <w:r>
        <w:rPr>
          <w:lang w:val="sr-Cyrl-RS"/>
        </w:rPr>
        <w:t xml:space="preserve"> –</w:t>
      </w:r>
      <w:r w:rsidRPr="008F3979">
        <w:rPr>
          <w:lang w:val="sr-Cyrl-RS"/>
        </w:rPr>
        <w:t xml:space="preserve"> </w:t>
      </w:r>
      <w:r>
        <w:rPr>
          <w:lang w:val="en-US"/>
        </w:rPr>
        <w:t>International Agreements</w:t>
      </w:r>
      <w:r w:rsidRPr="008F3979">
        <w:rPr>
          <w:lang w:val="sr-Cyrl-RS"/>
        </w:rPr>
        <w:t xml:space="preserve">“, </w:t>
      </w:r>
      <w:r>
        <w:rPr>
          <w:lang w:val="en-US"/>
        </w:rPr>
        <w:t>No.</w:t>
      </w:r>
      <w:r w:rsidRPr="008F3979">
        <w:rPr>
          <w:lang w:val="sr-Cyrl-RS"/>
        </w:rPr>
        <w:t xml:space="preserve"> 19/09.</w:t>
      </w:r>
    </w:p>
  </w:footnote>
  <w:footnote w:id="127">
    <w:p w14:paraId="06C6AD11" w14:textId="77777777" w:rsidR="00B37F05" w:rsidRPr="004876F8" w:rsidRDefault="00B37F05" w:rsidP="00B37F05">
      <w:pPr>
        <w:rPr>
          <w:rFonts w:ascii="Calibri" w:hAnsi="Calibri" w:cs="Times New Roman"/>
          <w:sz w:val="18"/>
          <w:szCs w:val="18"/>
        </w:rPr>
      </w:pPr>
      <w:r w:rsidRPr="004876F8">
        <w:rPr>
          <w:rStyle w:val="FootnoteReference"/>
          <w:sz w:val="18"/>
          <w:szCs w:val="18"/>
        </w:rPr>
        <w:footnoteRef/>
      </w:r>
      <w:r w:rsidRPr="004876F8">
        <w:rPr>
          <w:sz w:val="18"/>
          <w:szCs w:val="18"/>
        </w:rPr>
        <w:t xml:space="preserve"> </w:t>
      </w:r>
      <w:r>
        <w:rPr>
          <w:sz w:val="18"/>
          <w:szCs w:val="18"/>
        </w:rPr>
        <w:t>Available at</w:t>
      </w:r>
      <w:r>
        <w:rPr>
          <w:sz w:val="18"/>
          <w:szCs w:val="18"/>
          <w:lang w:val="sr-Cyrl-RS"/>
        </w:rPr>
        <w:t xml:space="preserve"> </w:t>
      </w:r>
      <w:hyperlink r:id="rId53" w:history="1">
        <w:r w:rsidRPr="004876F8">
          <w:rPr>
            <w:rStyle w:val="Hyperlink"/>
            <w:sz w:val="18"/>
            <w:szCs w:val="18"/>
          </w:rPr>
          <w:t>https://www.ombudsman.rs/index.php/2012-02-07-14-03-33/7853-izv-sh-sluc-u-vi-n-s-ih-r-dni-ng-z-v-nih-n-izgr-dnji-f-bri-gu-u-zr-nj-ninu-s-pr-p-ru</w:t>
        </w:r>
      </w:hyperlink>
      <w:r w:rsidRPr="004876F8">
        <w:rPr>
          <w:sz w:val="18"/>
          <w:szCs w:val="18"/>
          <w:lang w:val="sr-Cyrl-RS"/>
        </w:rPr>
        <w:t xml:space="preserve">. </w:t>
      </w:r>
    </w:p>
    <w:p w14:paraId="0EEA0FAA" w14:textId="77777777" w:rsidR="00B37F05" w:rsidRPr="00E01A2A" w:rsidRDefault="00B37F05" w:rsidP="00B37F05">
      <w:pPr>
        <w:pStyle w:val="FootnoteText"/>
        <w:rPr>
          <w:lang w:val="sr-Latn-RS"/>
        </w:rPr>
      </w:pPr>
    </w:p>
  </w:footnote>
  <w:footnote w:id="128">
    <w:p w14:paraId="44679FDC" w14:textId="77777777" w:rsidR="00B37F05" w:rsidRPr="00E97881" w:rsidRDefault="00B37F05" w:rsidP="00B37F05">
      <w:pPr>
        <w:pStyle w:val="CommentText"/>
        <w:spacing w:after="0"/>
        <w:rPr>
          <w:rFonts w:ascii="Book Antiqua" w:hAnsi="Book Antiqua"/>
          <w:sz w:val="18"/>
          <w:szCs w:val="18"/>
          <w:lang w:val="sr-Cyrl-RS"/>
        </w:rPr>
      </w:pPr>
      <w:r w:rsidRPr="00E97881">
        <w:rPr>
          <w:rStyle w:val="FootnoteReference"/>
          <w:sz w:val="18"/>
          <w:szCs w:val="18"/>
        </w:rPr>
        <w:footnoteRef/>
      </w:r>
      <w:r w:rsidRPr="00E97881">
        <w:rPr>
          <w:rFonts w:ascii="Book Antiqua" w:hAnsi="Book Antiqua"/>
          <w:sz w:val="18"/>
          <w:szCs w:val="18"/>
        </w:rPr>
        <w:t xml:space="preserve"> </w:t>
      </w:r>
      <w:r>
        <w:rPr>
          <w:rFonts w:ascii="Book Antiqua" w:hAnsi="Book Antiqua"/>
          <w:sz w:val="18"/>
          <w:szCs w:val="18"/>
        </w:rPr>
        <w:t>No. of case</w:t>
      </w:r>
      <w:r>
        <w:rPr>
          <w:rFonts w:ascii="Book Antiqua" w:hAnsi="Book Antiqua"/>
          <w:sz w:val="18"/>
          <w:szCs w:val="18"/>
          <w:lang w:val="sr-Cyrl-RS"/>
        </w:rPr>
        <w:t xml:space="preserve"> 3110-397/23. </w:t>
      </w:r>
    </w:p>
  </w:footnote>
  <w:footnote w:id="129">
    <w:p w14:paraId="566C901D" w14:textId="77777777" w:rsidR="00B37F05" w:rsidRPr="00E97881" w:rsidRDefault="00B37F05" w:rsidP="00B37F05">
      <w:pPr>
        <w:pStyle w:val="FootnoteText"/>
        <w:ind w:firstLine="0"/>
        <w:rPr>
          <w:lang w:val="sr-Cyrl-RS"/>
        </w:rPr>
      </w:pPr>
      <w:r w:rsidRPr="00E97881">
        <w:rPr>
          <w:rStyle w:val="FootnoteReference"/>
        </w:rPr>
        <w:footnoteRef/>
      </w:r>
      <w:r w:rsidRPr="00E97881">
        <w:t xml:space="preserve"> </w:t>
      </w:r>
      <w:r>
        <w:rPr>
          <w:lang w:val="en-US"/>
        </w:rPr>
        <w:t>Ref. No</w:t>
      </w:r>
      <w:r w:rsidRPr="00E97881">
        <w:rPr>
          <w:lang w:val="sr-Cyrl-RS"/>
        </w:rPr>
        <w:t xml:space="preserve">. 11647 </w:t>
      </w:r>
      <w:r>
        <w:rPr>
          <w:lang w:val="en-US"/>
        </w:rPr>
        <w:t>dated May 16, 2023</w:t>
      </w:r>
      <w:r>
        <w:rPr>
          <w:lang w:val="sr-Cyrl-RS"/>
        </w:rPr>
        <w:t>,</w:t>
      </w:r>
      <w:r w:rsidRPr="00E97881">
        <w:rPr>
          <w:lang w:val="sr-Cyrl-RS"/>
        </w:rPr>
        <w:t xml:space="preserve"> </w:t>
      </w:r>
      <w:r>
        <w:rPr>
          <w:lang w:val="en-US"/>
        </w:rPr>
        <w:t>received</w:t>
      </w:r>
      <w:r w:rsidRPr="00E97881">
        <w:rPr>
          <w:lang w:val="sr-Cyrl-RS"/>
        </w:rPr>
        <w:t xml:space="preserve"> </w:t>
      </w:r>
      <w:r>
        <w:rPr>
          <w:lang w:val="en-US"/>
        </w:rPr>
        <w:t>May 22, 2023 and Ref. No.</w:t>
      </w:r>
      <w:r w:rsidRPr="00E97881">
        <w:rPr>
          <w:lang w:val="sr-Cyrl-RS"/>
        </w:rPr>
        <w:t xml:space="preserve"> 15630 </w:t>
      </w:r>
      <w:r>
        <w:rPr>
          <w:lang w:val="en-US"/>
        </w:rPr>
        <w:t>dated June 23, 2023,</w:t>
      </w:r>
      <w:r>
        <w:rPr>
          <w:lang w:val="sr-Cyrl-RS"/>
        </w:rPr>
        <w:t xml:space="preserve"> received</w:t>
      </w:r>
      <w:r w:rsidRPr="00E97881">
        <w:rPr>
          <w:lang w:val="sr-Cyrl-RS"/>
        </w:rPr>
        <w:t xml:space="preserve"> </w:t>
      </w:r>
      <w:r>
        <w:rPr>
          <w:lang w:val="en-US"/>
        </w:rPr>
        <w:t>July 3, 2023</w:t>
      </w:r>
    </w:p>
  </w:footnote>
  <w:footnote w:id="130">
    <w:p w14:paraId="1DE19688" w14:textId="45C59807" w:rsidR="00B37F05" w:rsidRPr="00DE1B0D" w:rsidRDefault="00B37F05" w:rsidP="00B37F05">
      <w:pPr>
        <w:spacing w:after="0"/>
        <w:rPr>
          <w:sz w:val="18"/>
          <w:szCs w:val="18"/>
          <w:highlight w:val="yellow"/>
          <w:lang w:val="sr-Cyrl-RS"/>
        </w:rPr>
      </w:pPr>
      <w:r w:rsidRPr="002B07C9">
        <w:rPr>
          <w:rStyle w:val="FootnoteReference"/>
          <w:sz w:val="18"/>
          <w:szCs w:val="18"/>
        </w:rPr>
        <w:footnoteRef/>
      </w:r>
      <w:r w:rsidRPr="002B07C9">
        <w:rPr>
          <w:sz w:val="18"/>
          <w:szCs w:val="18"/>
        </w:rPr>
        <w:t xml:space="preserve"> </w:t>
      </w:r>
      <w:r>
        <w:rPr>
          <w:rFonts w:cstheme="minorHAnsi"/>
          <w:sz w:val="18"/>
          <w:szCs w:val="18"/>
        </w:rPr>
        <w:t>No. of cases</w:t>
      </w:r>
      <w:r w:rsidRPr="002B07C9">
        <w:rPr>
          <w:rFonts w:cstheme="minorHAnsi"/>
          <w:sz w:val="18"/>
          <w:szCs w:val="18"/>
          <w:lang w:val="sr-Cyrl-CS"/>
        </w:rPr>
        <w:t xml:space="preserve"> </w:t>
      </w:r>
      <w:r w:rsidRPr="002B07C9">
        <w:rPr>
          <w:rFonts w:cstheme="minorHAnsi"/>
          <w:sz w:val="18"/>
          <w:szCs w:val="18"/>
          <w:lang w:val="sr-Cyrl-RS"/>
        </w:rPr>
        <w:t xml:space="preserve">3110-911/23, </w:t>
      </w:r>
      <w:r w:rsidRPr="002B07C9">
        <w:rPr>
          <w:rFonts w:cstheme="minorHAnsi"/>
          <w:sz w:val="18"/>
          <w:szCs w:val="18"/>
          <w:lang w:val="sr-Cyrl-CS"/>
        </w:rPr>
        <w:t>3110-1164/23, 3110-1188/23, 3110-1700/23.</w:t>
      </w:r>
    </w:p>
  </w:footnote>
  <w:footnote w:id="131">
    <w:p w14:paraId="7258ABC1" w14:textId="77777777" w:rsidR="00B37F05" w:rsidRPr="002B07C9" w:rsidRDefault="00B37F05" w:rsidP="00B37F05">
      <w:pPr>
        <w:pStyle w:val="FootnoteText"/>
        <w:ind w:firstLine="0"/>
        <w:rPr>
          <w:lang w:val="sr-Cyrl-RS"/>
        </w:rPr>
      </w:pPr>
      <w:r w:rsidRPr="002B07C9">
        <w:rPr>
          <w:rStyle w:val="FootnoteReference"/>
        </w:rPr>
        <w:footnoteRef/>
      </w:r>
      <w:r w:rsidRPr="002B07C9">
        <w:t xml:space="preserve"> </w:t>
      </w:r>
      <w:r>
        <w:rPr>
          <w:lang w:val="en-US"/>
        </w:rPr>
        <w:t>Ref. No.</w:t>
      </w:r>
      <w:r w:rsidRPr="002B07C9">
        <w:rPr>
          <w:rFonts w:cstheme="minorHAnsi"/>
          <w:lang w:val="sr-Cyrl-RS"/>
        </w:rPr>
        <w:t xml:space="preserve"> 33488 </w:t>
      </w:r>
      <w:r>
        <w:rPr>
          <w:rFonts w:cstheme="minorHAnsi"/>
          <w:lang w:val="en-US"/>
        </w:rPr>
        <w:t>dated December 25, 2023</w:t>
      </w:r>
    </w:p>
  </w:footnote>
  <w:footnote w:id="132">
    <w:p w14:paraId="5A769838" w14:textId="56AB116F" w:rsidR="007B2708" w:rsidRPr="002661A2" w:rsidRDefault="007B2708" w:rsidP="007B2708">
      <w:pPr>
        <w:pStyle w:val="FootnoteText"/>
        <w:ind w:firstLine="0"/>
        <w:rPr>
          <w:lang w:val="sr-Cyrl-RS"/>
        </w:rPr>
      </w:pPr>
      <w:r w:rsidRPr="002B07C9">
        <w:rPr>
          <w:rStyle w:val="FootnoteReference"/>
        </w:rPr>
        <w:footnoteRef/>
      </w:r>
      <w:r w:rsidRPr="002B07C9">
        <w:t xml:space="preserve"> </w:t>
      </w:r>
      <w:r w:rsidRPr="002B07C9">
        <w:rPr>
          <w:lang w:val="sr-Latn-RS"/>
        </w:rPr>
        <w:t xml:space="preserve"> </w:t>
      </w:r>
      <w:r w:rsidR="00AC0E41">
        <w:rPr>
          <w:rFonts w:cstheme="minorHAnsi"/>
          <w:lang w:val="en-US"/>
        </w:rPr>
        <w:t>No. of case</w:t>
      </w:r>
      <w:r w:rsidRPr="002B07C9">
        <w:rPr>
          <w:rFonts w:cstheme="minorHAnsi"/>
          <w:lang w:val="sr-Cyrl-RS"/>
        </w:rPr>
        <w:t xml:space="preserve"> </w:t>
      </w:r>
      <w:r w:rsidRPr="002B07C9">
        <w:rPr>
          <w:lang w:val="sr-Cyrl-RS"/>
        </w:rPr>
        <w:t>3110-1395/22.</w:t>
      </w:r>
    </w:p>
  </w:footnote>
  <w:footnote w:id="133">
    <w:p w14:paraId="1B58B0FC" w14:textId="53DEFFB6" w:rsidR="007B2708" w:rsidRPr="002661A2" w:rsidRDefault="007B2708" w:rsidP="007B2708">
      <w:pPr>
        <w:pStyle w:val="FootnoteText"/>
        <w:ind w:firstLine="0"/>
        <w:rPr>
          <w:lang w:val="sr-Cyrl-RS"/>
        </w:rPr>
      </w:pPr>
      <w:r w:rsidRPr="002661A2">
        <w:rPr>
          <w:rStyle w:val="FootnoteReference"/>
        </w:rPr>
        <w:footnoteRef/>
      </w:r>
      <w:r w:rsidRPr="002661A2">
        <w:t xml:space="preserve"> </w:t>
      </w:r>
      <w:r w:rsidR="00AC0E41" w:rsidRPr="00AC0E41">
        <w:rPr>
          <w:lang w:val="sr-Cyrl-RS"/>
        </w:rPr>
        <w:t xml:space="preserve">The conclusion submitted to the authority on </w:t>
      </w:r>
      <w:r w:rsidR="00AC0E41">
        <w:rPr>
          <w:lang w:val="en-US"/>
        </w:rPr>
        <w:t>September 28, 2022</w:t>
      </w:r>
      <w:r w:rsidR="00AC0E41" w:rsidRPr="00AC0E41">
        <w:rPr>
          <w:lang w:val="sr-Cyrl-RS"/>
        </w:rPr>
        <w:t xml:space="preserve"> which pointed out the violation of citizens' rights.</w:t>
      </w:r>
    </w:p>
  </w:footnote>
  <w:footnote w:id="134">
    <w:p w14:paraId="05C00E2C" w14:textId="77777777" w:rsidR="00B37F05" w:rsidRPr="00B5546F" w:rsidRDefault="00B37F05" w:rsidP="00B37F05">
      <w:pPr>
        <w:pStyle w:val="FootnoteText"/>
        <w:ind w:firstLine="0"/>
        <w:rPr>
          <w:lang w:val="sr-Cyrl-RS"/>
        </w:rPr>
      </w:pPr>
      <w:r w:rsidRPr="00B5546F">
        <w:rPr>
          <w:rStyle w:val="FootnoteReference"/>
        </w:rPr>
        <w:footnoteRef/>
      </w:r>
      <w:r>
        <w:rPr>
          <w:rFonts w:cstheme="minorHAnsi"/>
          <w:lang w:val="sr-Cyrl-RS"/>
        </w:rPr>
        <w:t xml:space="preserve"> </w:t>
      </w:r>
      <w:r>
        <w:rPr>
          <w:rFonts w:cstheme="minorHAnsi"/>
          <w:lang w:val="en-US"/>
        </w:rPr>
        <w:t>No. of case</w:t>
      </w:r>
      <w:r w:rsidRPr="00B5546F">
        <w:rPr>
          <w:rFonts w:cstheme="minorHAnsi"/>
          <w:lang w:val="sr-Cyrl-RS"/>
        </w:rPr>
        <w:t xml:space="preserve"> 3110-1596/22. </w:t>
      </w:r>
    </w:p>
  </w:footnote>
  <w:footnote w:id="135">
    <w:p w14:paraId="33EC6D13" w14:textId="77777777" w:rsidR="00B37F05" w:rsidRPr="00B5546F" w:rsidRDefault="00B37F05" w:rsidP="00B37F05">
      <w:pPr>
        <w:pStyle w:val="FootnoteText"/>
        <w:ind w:firstLine="0"/>
        <w:rPr>
          <w:lang w:val="sr-Cyrl-RS"/>
        </w:rPr>
      </w:pPr>
      <w:r w:rsidRPr="00B5546F">
        <w:rPr>
          <w:rStyle w:val="FootnoteReference"/>
        </w:rPr>
        <w:footnoteRef/>
      </w:r>
      <w:r>
        <w:rPr>
          <w:rFonts w:cstheme="minorHAnsi"/>
          <w:lang w:val="sr-Cyrl-RS"/>
        </w:rPr>
        <w:t xml:space="preserve"> </w:t>
      </w:r>
      <w:r>
        <w:rPr>
          <w:rFonts w:cstheme="minorHAnsi"/>
          <w:lang w:val="en-US"/>
        </w:rPr>
        <w:t>No. of case</w:t>
      </w:r>
      <w:r w:rsidRPr="00B5546F">
        <w:rPr>
          <w:rFonts w:cstheme="minorHAnsi"/>
          <w:lang w:val="sr-Cyrl-RS"/>
        </w:rPr>
        <w:t xml:space="preserve"> 3110-1150/22. </w:t>
      </w:r>
    </w:p>
  </w:footnote>
  <w:footnote w:id="136">
    <w:p w14:paraId="1021497F" w14:textId="77777777" w:rsidR="00B37F05" w:rsidRPr="00590290" w:rsidRDefault="00B37F05" w:rsidP="00B37F05">
      <w:pPr>
        <w:pStyle w:val="FootnoteText"/>
        <w:ind w:firstLine="0"/>
        <w:rPr>
          <w:lang w:val="sr-Cyrl-RS"/>
        </w:rPr>
      </w:pPr>
      <w:r w:rsidRPr="00B5546F">
        <w:rPr>
          <w:rStyle w:val="FootnoteReference"/>
        </w:rPr>
        <w:footnoteRef/>
      </w:r>
      <w:r>
        <w:rPr>
          <w:lang w:val="sr-Cyrl-RS"/>
        </w:rPr>
        <w:t xml:space="preserve"> </w:t>
      </w:r>
      <w:r>
        <w:rPr>
          <w:lang w:val="en-US"/>
        </w:rPr>
        <w:t>No. of case</w:t>
      </w:r>
      <w:r w:rsidRPr="00B5546F">
        <w:rPr>
          <w:lang w:val="sr-Cyrl-RS"/>
        </w:rPr>
        <w:t xml:space="preserve"> </w:t>
      </w:r>
      <w:r w:rsidRPr="00B5546F">
        <w:rPr>
          <w:rFonts w:cstheme="minorHAnsi"/>
          <w:lang w:val="sr-Cyrl-RS"/>
        </w:rPr>
        <w:t xml:space="preserve">3110-1236/22. </w:t>
      </w:r>
    </w:p>
  </w:footnote>
  <w:footnote w:id="137">
    <w:p w14:paraId="680D4D93" w14:textId="77777777" w:rsidR="00B37F05" w:rsidRPr="00B5546F" w:rsidRDefault="00B37F05" w:rsidP="00B37F05">
      <w:pPr>
        <w:pStyle w:val="FootnoteText"/>
        <w:ind w:firstLine="0"/>
        <w:rPr>
          <w:lang w:val="sr-Cyrl-RS"/>
        </w:rPr>
      </w:pPr>
      <w:r w:rsidRPr="00B5546F">
        <w:rPr>
          <w:rStyle w:val="FootnoteReference"/>
        </w:rPr>
        <w:footnoteRef/>
      </w:r>
      <w:r w:rsidRPr="00B5546F">
        <w:t xml:space="preserve"> </w:t>
      </w:r>
      <w:r>
        <w:rPr>
          <w:lang w:val="en-US"/>
        </w:rPr>
        <w:t>No. of case</w:t>
      </w:r>
      <w:r w:rsidRPr="00B5546F">
        <w:rPr>
          <w:lang w:val="sr-Cyrl-RS"/>
        </w:rPr>
        <w:t xml:space="preserve"> </w:t>
      </w:r>
      <w:r w:rsidRPr="00B5546F">
        <w:rPr>
          <w:rFonts w:cs="Times New Roman"/>
          <w:lang w:val="sr-Cyrl-RS"/>
        </w:rPr>
        <w:t xml:space="preserve">3110-268/23. </w:t>
      </w:r>
    </w:p>
  </w:footnote>
  <w:footnote w:id="138">
    <w:p w14:paraId="6165E255" w14:textId="77777777" w:rsidR="00B37F05" w:rsidRPr="00752BFC" w:rsidRDefault="00B37F05" w:rsidP="00B37F05">
      <w:pPr>
        <w:pStyle w:val="FootnoteText"/>
        <w:ind w:firstLine="0"/>
        <w:rPr>
          <w:lang w:val="sr-Cyrl-RS"/>
        </w:rPr>
      </w:pPr>
      <w:r w:rsidRPr="00B5546F">
        <w:rPr>
          <w:rStyle w:val="FootnoteReference"/>
        </w:rPr>
        <w:footnoteRef/>
      </w:r>
      <w:r w:rsidRPr="00B5546F">
        <w:t xml:space="preserve"> </w:t>
      </w:r>
      <w:r>
        <w:rPr>
          <w:lang w:val="en-US"/>
        </w:rPr>
        <w:t>No. of case</w:t>
      </w:r>
      <w:r w:rsidRPr="00B5546F">
        <w:rPr>
          <w:lang w:val="sr-Cyrl-RS"/>
        </w:rPr>
        <w:t xml:space="preserve"> 3310-404/22.</w:t>
      </w:r>
    </w:p>
  </w:footnote>
  <w:footnote w:id="139">
    <w:p w14:paraId="1CA8C03B" w14:textId="77777777" w:rsidR="00B37F05" w:rsidRPr="00C502B5" w:rsidRDefault="00B37F05" w:rsidP="00B37F05">
      <w:pPr>
        <w:pStyle w:val="FootnoteText"/>
        <w:ind w:firstLine="0"/>
        <w:rPr>
          <w:lang w:val="sr-Cyrl-RS"/>
        </w:rPr>
      </w:pPr>
      <w:r w:rsidRPr="00DA3425">
        <w:rPr>
          <w:rStyle w:val="FootnoteReference"/>
          <w:lang w:val="sr-Cyrl-RS"/>
        </w:rPr>
        <w:footnoteRef/>
      </w:r>
      <w:r w:rsidRPr="00DA3425">
        <w:rPr>
          <w:lang w:val="sr-Cyrl-RS"/>
        </w:rPr>
        <w:t xml:space="preserve"> </w:t>
      </w:r>
      <w:r w:rsidRPr="002324A1">
        <w:rPr>
          <w:lang w:val="sr-Cyrl-RS"/>
        </w:rPr>
        <w:t xml:space="preserve">In the period from April 24 to August 23, 2023, 77 citizens </w:t>
      </w:r>
      <w:r>
        <w:rPr>
          <w:lang w:val="en-US"/>
        </w:rPr>
        <w:t xml:space="preserve">appealed </w:t>
      </w:r>
      <w:r w:rsidRPr="002324A1">
        <w:rPr>
          <w:lang w:val="sr-Cyrl-RS"/>
        </w:rPr>
        <w:t>who personally, or one of their family members</w:t>
      </w:r>
      <w:r>
        <w:rPr>
          <w:lang w:val="sr-Cyrl-RS"/>
        </w:rPr>
        <w:t>, suffered from cystic fibrosis.</w:t>
      </w:r>
    </w:p>
  </w:footnote>
  <w:footnote w:id="140">
    <w:p w14:paraId="10E359C0" w14:textId="46329145" w:rsidR="00B37F05" w:rsidRPr="00DA3425" w:rsidRDefault="00B37F05" w:rsidP="00B37F05">
      <w:pPr>
        <w:pStyle w:val="FootnoteText"/>
        <w:ind w:firstLine="0"/>
        <w:rPr>
          <w:rFonts w:cs="Times New Roman"/>
          <w:lang w:val="sr-Cyrl-RS"/>
        </w:rPr>
      </w:pPr>
      <w:r w:rsidRPr="00DA3425">
        <w:rPr>
          <w:rStyle w:val="FootnoteReference"/>
          <w:rFonts w:cs="Times New Roman"/>
          <w:lang w:val="sr-Cyrl-RS"/>
        </w:rPr>
        <w:footnoteRef/>
      </w:r>
      <w:r w:rsidRPr="00DA3425">
        <w:rPr>
          <w:rFonts w:cs="Times New Roman"/>
          <w:lang w:val="sr-Cyrl-RS"/>
        </w:rPr>
        <w:t xml:space="preserve"> </w:t>
      </w:r>
      <w:r w:rsidR="006E7376">
        <w:rPr>
          <w:rFonts w:cs="Times New Roman"/>
          <w:lang w:val="en-US"/>
        </w:rPr>
        <w:t>Law on Health</w:t>
      </w:r>
      <w:r>
        <w:rPr>
          <w:rFonts w:cs="Times New Roman"/>
          <w:lang w:val="en-US"/>
        </w:rPr>
        <w:t xml:space="preserve"> Care</w:t>
      </w:r>
      <w:r w:rsidRPr="00DA3425">
        <w:rPr>
          <w:rFonts w:cs="Times New Roman"/>
          <w:lang w:val="sr-Cyrl-RS"/>
        </w:rPr>
        <w:t xml:space="preserve">, </w:t>
      </w:r>
      <w:r>
        <w:rPr>
          <w:rFonts w:cs="Times New Roman"/>
          <w:lang w:val="en-US"/>
        </w:rPr>
        <w:t>“Official Gazette RS</w:t>
      </w:r>
      <w:r w:rsidRPr="00DA3425">
        <w:rPr>
          <w:rFonts w:cs="Times New Roman"/>
          <w:lang w:val="sr-Cyrl-RS"/>
        </w:rPr>
        <w:t xml:space="preserve">, </w:t>
      </w:r>
      <w:r>
        <w:rPr>
          <w:rFonts w:cs="Times New Roman"/>
          <w:lang w:val="en-US"/>
        </w:rPr>
        <w:t>No.</w:t>
      </w:r>
      <w:r w:rsidRPr="00DA3425">
        <w:rPr>
          <w:rFonts w:cs="Times New Roman"/>
          <w:lang w:val="sr-Cyrl-RS"/>
        </w:rPr>
        <w:t xml:space="preserve"> 25/19.</w:t>
      </w:r>
    </w:p>
  </w:footnote>
  <w:footnote w:id="141">
    <w:p w14:paraId="7CF6C4B5" w14:textId="77777777" w:rsidR="00B37F05" w:rsidRPr="00BB15EB" w:rsidRDefault="00B37F05" w:rsidP="00B37F05">
      <w:pPr>
        <w:pStyle w:val="FootnoteText"/>
        <w:ind w:firstLine="0"/>
        <w:rPr>
          <w:lang w:val="sr-Cyrl-RS"/>
        </w:rPr>
      </w:pPr>
      <w:r>
        <w:rPr>
          <w:rStyle w:val="FootnoteReference"/>
        </w:rPr>
        <w:footnoteRef/>
      </w:r>
      <w:r>
        <w:t xml:space="preserve"> </w:t>
      </w:r>
      <w:r>
        <w:rPr>
          <w:lang w:val="en-US"/>
        </w:rPr>
        <w:t>No. of case</w:t>
      </w:r>
      <w:r w:rsidRPr="008816C4">
        <w:rPr>
          <w:lang w:val="sr-Cyrl-RS"/>
        </w:rPr>
        <w:t xml:space="preserve"> 311-594/22.</w:t>
      </w:r>
    </w:p>
  </w:footnote>
  <w:footnote w:id="142">
    <w:p w14:paraId="21E5492B" w14:textId="77777777" w:rsidR="00B37F05" w:rsidRPr="00DA3425" w:rsidRDefault="00B37F05" w:rsidP="00B37F05">
      <w:pPr>
        <w:pStyle w:val="FootnoteText"/>
        <w:ind w:firstLine="0"/>
        <w:rPr>
          <w:lang w:val="sr-Cyrl-RS"/>
        </w:rPr>
      </w:pPr>
      <w:r w:rsidRPr="008816C4">
        <w:rPr>
          <w:rStyle w:val="FootnoteReference"/>
          <w:lang w:val="sr-Cyrl-RS"/>
        </w:rPr>
        <w:footnoteRef/>
      </w:r>
      <w:r w:rsidRPr="008816C4">
        <w:rPr>
          <w:lang w:val="sr-Cyrl-RS"/>
        </w:rPr>
        <w:t xml:space="preserve"> </w:t>
      </w:r>
      <w:r>
        <w:rPr>
          <w:lang w:val="en-US"/>
        </w:rPr>
        <w:t>No. of case</w:t>
      </w:r>
      <w:r w:rsidRPr="008816C4">
        <w:rPr>
          <w:lang w:val="sr-Cyrl-RS"/>
        </w:rPr>
        <w:t xml:space="preserve"> 311-404/23.</w:t>
      </w:r>
    </w:p>
  </w:footnote>
  <w:footnote w:id="143">
    <w:p w14:paraId="7434C25F" w14:textId="575D2BA0" w:rsidR="00B37F05" w:rsidRPr="00DA3425" w:rsidRDefault="00B37F05" w:rsidP="00B37F05">
      <w:pPr>
        <w:pStyle w:val="FootnoteText"/>
        <w:ind w:firstLine="0"/>
        <w:rPr>
          <w:lang w:val="sr-Cyrl-RS"/>
        </w:rPr>
      </w:pPr>
      <w:r w:rsidRPr="00DA3425">
        <w:rPr>
          <w:rStyle w:val="FootnoteReference"/>
          <w:lang w:val="sr-Cyrl-RS"/>
        </w:rPr>
        <w:footnoteRef/>
      </w:r>
      <w:r w:rsidRPr="00DA3425">
        <w:rPr>
          <w:lang w:val="sr-Cyrl-RS"/>
        </w:rPr>
        <w:t xml:space="preserve"> </w:t>
      </w:r>
      <w:r w:rsidR="006E7376">
        <w:rPr>
          <w:lang w:val="en-US"/>
        </w:rPr>
        <w:t>No</w:t>
      </w:r>
      <w:r>
        <w:rPr>
          <w:lang w:val="en-US"/>
        </w:rPr>
        <w:t>. of cases</w:t>
      </w:r>
      <w:r>
        <w:rPr>
          <w:lang w:val="sr-Cyrl-RS"/>
        </w:rPr>
        <w:t xml:space="preserve"> 311-958/23 </w:t>
      </w:r>
      <w:r>
        <w:rPr>
          <w:lang w:val="en-US"/>
        </w:rPr>
        <w:t>and</w:t>
      </w:r>
      <w:r>
        <w:rPr>
          <w:lang w:val="sr-Cyrl-RS"/>
        </w:rPr>
        <w:t xml:space="preserve"> 311-404/23. </w:t>
      </w:r>
    </w:p>
  </w:footnote>
  <w:footnote w:id="144">
    <w:p w14:paraId="2711A8DB" w14:textId="77777777" w:rsidR="00B37F05" w:rsidRPr="00261EA6" w:rsidRDefault="00B37F05" w:rsidP="00B37F05">
      <w:pPr>
        <w:pStyle w:val="FootnoteText"/>
        <w:ind w:firstLine="0"/>
        <w:rPr>
          <w:lang w:val="sr-Cyrl-RS"/>
        </w:rPr>
      </w:pPr>
      <w:r w:rsidRPr="00DA3425">
        <w:rPr>
          <w:rStyle w:val="FootnoteReference"/>
          <w:lang w:val="sr-Cyrl-RS"/>
        </w:rPr>
        <w:footnoteRef/>
      </w:r>
      <w:r w:rsidRPr="00DA3425">
        <w:rPr>
          <w:lang w:val="sr-Cyrl-RS"/>
        </w:rPr>
        <w:t xml:space="preserve"> </w:t>
      </w:r>
      <w:r>
        <w:rPr>
          <w:lang w:val="en-US"/>
        </w:rPr>
        <w:t>No. of case</w:t>
      </w:r>
      <w:r>
        <w:rPr>
          <w:lang w:val="sr-Cyrl-RS"/>
        </w:rPr>
        <w:t xml:space="preserve"> 311-404/23.</w:t>
      </w:r>
    </w:p>
  </w:footnote>
  <w:footnote w:id="145">
    <w:p w14:paraId="6B87943A" w14:textId="77777777" w:rsidR="00B37F05" w:rsidRPr="004C58F7" w:rsidRDefault="00B37F05" w:rsidP="00B37F05">
      <w:pPr>
        <w:pStyle w:val="FootnoteText"/>
        <w:ind w:firstLine="0"/>
        <w:rPr>
          <w:lang w:val="sr-Cyrl-RS"/>
        </w:rPr>
      </w:pPr>
      <w:r w:rsidRPr="004C58F7">
        <w:rPr>
          <w:rStyle w:val="FootnoteReference"/>
        </w:rPr>
        <w:footnoteRef/>
      </w:r>
      <w:r w:rsidRPr="004C58F7">
        <w:t xml:space="preserve"> </w:t>
      </w:r>
      <w:r>
        <w:rPr>
          <w:lang w:val="sr-Latn-RS"/>
        </w:rPr>
        <w:t>Conclusion</w:t>
      </w:r>
      <w:r>
        <w:rPr>
          <w:lang w:val="sr-Cyrl-RS"/>
        </w:rPr>
        <w:t xml:space="preserve"> 05 </w:t>
      </w:r>
      <w:r>
        <w:rPr>
          <w:lang w:val="sr-Latn-RS"/>
        </w:rPr>
        <w:t>No</w:t>
      </w:r>
      <w:r>
        <w:rPr>
          <w:lang w:val="sr-Cyrl-RS"/>
        </w:rPr>
        <w:t>. 117-7921/</w:t>
      </w:r>
      <w:r w:rsidRPr="004C58F7">
        <w:rPr>
          <w:lang w:val="sr-Cyrl-RS"/>
        </w:rPr>
        <w:t xml:space="preserve">23 </w:t>
      </w:r>
      <w:r>
        <w:rPr>
          <w:lang w:val="en-US"/>
        </w:rPr>
        <w:t>dated August 31, 2023 and No</w:t>
      </w:r>
      <w:r>
        <w:rPr>
          <w:lang w:val="sr-Cyrl-RS"/>
        </w:rPr>
        <w:t>. 112-8328/</w:t>
      </w:r>
      <w:r w:rsidRPr="004C58F7">
        <w:rPr>
          <w:lang w:val="sr-Cyrl-RS"/>
        </w:rPr>
        <w:t xml:space="preserve">23 </w:t>
      </w:r>
      <w:r>
        <w:rPr>
          <w:lang w:val="en-US"/>
        </w:rPr>
        <w:t>dated September 12, 2023</w:t>
      </w:r>
      <w:r w:rsidRPr="004C58F7">
        <w:rPr>
          <w:lang w:val="sr-Cyrl-RS"/>
        </w:rPr>
        <w:t xml:space="preserve">.  </w:t>
      </w:r>
    </w:p>
  </w:footnote>
  <w:footnote w:id="146">
    <w:p w14:paraId="4B4E5787" w14:textId="77777777" w:rsidR="00B37F05" w:rsidRPr="004C58F7" w:rsidRDefault="00B37F05" w:rsidP="00B37F05">
      <w:pPr>
        <w:pStyle w:val="FootnoteText"/>
        <w:ind w:firstLine="0"/>
        <w:rPr>
          <w:lang w:val="sr-Cyrl-RS"/>
        </w:rPr>
      </w:pPr>
      <w:r w:rsidRPr="004C58F7">
        <w:rPr>
          <w:rStyle w:val="FootnoteReference"/>
        </w:rPr>
        <w:footnoteRef/>
      </w:r>
      <w:r w:rsidRPr="004C58F7">
        <w:t xml:space="preserve"> </w:t>
      </w:r>
      <w:r>
        <w:rPr>
          <w:lang w:val="en-US"/>
        </w:rPr>
        <w:t>No. of case</w:t>
      </w:r>
      <w:r w:rsidRPr="00B14DA5">
        <w:rPr>
          <w:lang w:val="sr-Cyrl-RS"/>
        </w:rPr>
        <w:t xml:space="preserve"> 112-8455/23. </w:t>
      </w:r>
    </w:p>
  </w:footnote>
  <w:footnote w:id="147">
    <w:p w14:paraId="1780A399" w14:textId="069DDD96" w:rsidR="00B37F05" w:rsidRPr="00DA3425" w:rsidRDefault="00B37F05" w:rsidP="00B37F05">
      <w:pPr>
        <w:pStyle w:val="FootnoteText"/>
        <w:ind w:firstLine="0"/>
        <w:rPr>
          <w:lang w:val="sr-Cyrl-RS"/>
        </w:rPr>
      </w:pPr>
      <w:r w:rsidRPr="004C58F7">
        <w:rPr>
          <w:rStyle w:val="FootnoteReference"/>
        </w:rPr>
        <w:footnoteRef/>
      </w:r>
      <w:r w:rsidRPr="004C58F7">
        <w:t xml:space="preserve"> </w:t>
      </w:r>
      <w:r w:rsidR="00BA297C">
        <w:rPr>
          <w:lang w:val="en-US"/>
        </w:rPr>
        <w:t>“Official Gazette of RS”</w:t>
      </w:r>
      <w:r w:rsidRPr="004C58F7">
        <w:rPr>
          <w:lang w:val="sr-Cyrl-RS"/>
        </w:rPr>
        <w:t xml:space="preserve">, </w:t>
      </w:r>
      <w:r>
        <w:rPr>
          <w:lang w:val="en-US"/>
        </w:rPr>
        <w:t>No</w:t>
      </w:r>
      <w:r w:rsidRPr="00A51A71">
        <w:rPr>
          <w:lang w:val="sr-Cyrl-RS"/>
        </w:rPr>
        <w:t xml:space="preserve">. </w:t>
      </w:r>
      <w:hyperlink r:id="rId54" w:tooltip="Закон о правима пацијената (22/05/2013)" w:history="1">
        <w:r w:rsidRPr="00A51A71">
          <w:rPr>
            <w:rStyle w:val="Hyperlink"/>
            <w:bCs/>
            <w:color w:val="auto"/>
            <w:u w:val="none"/>
            <w:shd w:val="clear" w:color="auto" w:fill="FFFFFF"/>
          </w:rPr>
          <w:t>45/13</w:t>
        </w:r>
      </w:hyperlink>
      <w:r w:rsidRPr="00A51A71">
        <w:rPr>
          <w:bCs/>
          <w:shd w:val="clear" w:color="auto" w:fill="FFFFFF"/>
        </w:rPr>
        <w:t>, </w:t>
      </w:r>
      <w:hyperlink r:id="rId55" w:tooltip="Закон о здравственом осигурању (03/04/2019)" w:history="1">
        <w:r w:rsidRPr="00A51A71">
          <w:rPr>
            <w:rStyle w:val="Hyperlink"/>
            <w:bCs/>
            <w:color w:val="auto"/>
            <w:u w:val="none"/>
            <w:shd w:val="clear" w:color="auto" w:fill="FFFFFF"/>
          </w:rPr>
          <w:t>25/19</w:t>
        </w:r>
      </w:hyperlink>
      <w:r w:rsidRPr="00A51A71">
        <w:rPr>
          <w:bCs/>
          <w:shd w:val="clear" w:color="auto" w:fill="FFFFFF"/>
        </w:rPr>
        <w:t> </w:t>
      </w:r>
      <w:r>
        <w:rPr>
          <w:rStyle w:val="trs"/>
          <w:shd w:val="clear" w:color="auto" w:fill="FFFFFF"/>
        </w:rPr>
        <w:t>–</w:t>
      </w:r>
      <w:r w:rsidRPr="00A51A71">
        <w:rPr>
          <w:rStyle w:val="trs"/>
          <w:shd w:val="clear" w:color="auto" w:fill="FFFFFF"/>
        </w:rPr>
        <w:t xml:space="preserve"> </w:t>
      </w:r>
      <w:r>
        <w:rPr>
          <w:rStyle w:val="trs"/>
          <w:shd w:val="clear" w:color="auto" w:fill="FFFFFF"/>
          <w:lang w:val="en-US"/>
        </w:rPr>
        <w:t>other law</w:t>
      </w:r>
      <w:r w:rsidRPr="004C58F7">
        <w:rPr>
          <w:rStyle w:val="trs"/>
          <w:shd w:val="clear" w:color="auto" w:fill="FFFFFF"/>
          <w:lang w:val="sr-Cyrl-RS"/>
        </w:rPr>
        <w:t>.</w:t>
      </w:r>
    </w:p>
  </w:footnote>
  <w:footnote w:id="148">
    <w:p w14:paraId="3D10D7FC" w14:textId="77777777" w:rsidR="00B37F05" w:rsidRPr="00AA551F" w:rsidRDefault="00B37F05" w:rsidP="00B37F05">
      <w:pPr>
        <w:pStyle w:val="FootnoteText"/>
        <w:ind w:firstLine="0"/>
        <w:rPr>
          <w:lang w:val="sr-Latn-RS"/>
        </w:rPr>
      </w:pPr>
      <w:r w:rsidRPr="00772DEE">
        <w:rPr>
          <w:rStyle w:val="FootnoteReference"/>
        </w:rPr>
        <w:footnoteRef/>
      </w:r>
      <w:r w:rsidRPr="00772DEE">
        <w:rPr>
          <w:lang w:val="sr-Latn-RS"/>
        </w:rPr>
        <w:t xml:space="preserve"> </w:t>
      </w:r>
      <w:r>
        <w:rPr>
          <w:lang w:val="en-US"/>
        </w:rPr>
        <w:t>No. of case</w:t>
      </w:r>
      <w:r w:rsidRPr="002B07C9">
        <w:rPr>
          <w:lang w:val="sr-Cyrl-RS"/>
        </w:rPr>
        <w:t xml:space="preserve"> 3111-843/23.</w:t>
      </w:r>
    </w:p>
  </w:footnote>
  <w:footnote w:id="149">
    <w:p w14:paraId="4A3AA940" w14:textId="77777777" w:rsidR="00B37F05" w:rsidRPr="00510DE9" w:rsidRDefault="00B37F05" w:rsidP="00B37F05">
      <w:pPr>
        <w:pStyle w:val="FootnoteText"/>
        <w:ind w:firstLine="0"/>
        <w:rPr>
          <w:rFonts w:asciiTheme="minorHAnsi" w:eastAsiaTheme="minorHAnsi" w:hAnsiTheme="minorHAnsi" w:cstheme="minorBidi"/>
          <w:lang w:val="sr-Latn-RS"/>
        </w:rPr>
      </w:pPr>
      <w:r>
        <w:rPr>
          <w:rStyle w:val="FootnoteReference"/>
          <w:rFonts w:eastAsiaTheme="majorEastAsia"/>
        </w:rPr>
        <w:footnoteRef/>
      </w:r>
      <w:r>
        <w:t xml:space="preserve"> </w:t>
      </w:r>
      <w:r>
        <w:rPr>
          <w:lang w:val="sr-Latn-RS"/>
        </w:rPr>
        <w:t>Report with recommendations</w:t>
      </w:r>
      <w:r>
        <w:rPr>
          <w:lang w:val="sr-Cyrl-RS"/>
        </w:rPr>
        <w:t xml:space="preserve">, </w:t>
      </w:r>
      <w:hyperlink r:id="rId56" w:history="1">
        <w:r>
          <w:rPr>
            <w:rStyle w:val="Hyperlink"/>
          </w:rPr>
          <w:t>https://www.ombudsman.rs/index.php/2012-02-07-14-03-33/7804-s-r-ri-z-insp-ci-s-p-sl-v-u-p-nc-vu-b-z-dl-g-nj-d-pr-duz-sv-r-z-spr-v-d-nj-r-sh-nj-u-l-nj-nju-b-spr-vn-izv-d-nih-r-d-v</w:t>
        </w:r>
      </w:hyperlink>
      <w:r>
        <w:rPr>
          <w:rStyle w:val="Hyperlink"/>
          <w:lang w:val="sr-Latn-RS"/>
        </w:rPr>
        <w:t xml:space="preserve">. </w:t>
      </w:r>
    </w:p>
  </w:footnote>
  <w:footnote w:id="150">
    <w:p w14:paraId="477BD9C3" w14:textId="63C6E662" w:rsidR="00B37F05" w:rsidRDefault="00B37F05" w:rsidP="00B37F05">
      <w:pPr>
        <w:pStyle w:val="FootnoteText"/>
        <w:ind w:firstLine="0"/>
        <w:rPr>
          <w:rFonts w:asciiTheme="minorHAnsi" w:eastAsiaTheme="minorHAnsi" w:hAnsiTheme="minorHAnsi" w:cstheme="minorBidi"/>
          <w:lang w:val="sr-Cyrl-RS"/>
        </w:rPr>
      </w:pPr>
      <w:r>
        <w:rPr>
          <w:rStyle w:val="FootnoteReference"/>
        </w:rPr>
        <w:footnoteRef/>
      </w:r>
      <w:r>
        <w:t xml:space="preserve"> </w:t>
      </w:r>
      <w:r w:rsidR="00EB67F5">
        <w:rPr>
          <w:lang w:val="sr-Latn-RS"/>
        </w:rPr>
        <w:t>No. o</w:t>
      </w:r>
      <w:r>
        <w:rPr>
          <w:lang w:val="sr-Latn-RS"/>
        </w:rPr>
        <w:t>f case</w:t>
      </w:r>
      <w:r w:rsidRPr="002B07C9">
        <w:rPr>
          <w:lang w:val="sr-Cyrl-RS"/>
        </w:rPr>
        <w:t xml:space="preserve"> 3111-861/22.</w:t>
      </w:r>
    </w:p>
  </w:footnote>
  <w:footnote w:id="151">
    <w:p w14:paraId="755DDBB0" w14:textId="77777777" w:rsidR="00B37F05" w:rsidRPr="00B14DA5" w:rsidRDefault="00B37F05" w:rsidP="00B37F05">
      <w:pPr>
        <w:pStyle w:val="FootnoteText"/>
        <w:ind w:firstLine="0"/>
        <w:rPr>
          <w:lang w:val="sr-Cyrl-RS"/>
        </w:rPr>
      </w:pPr>
      <w:r w:rsidRPr="00B14DA5">
        <w:rPr>
          <w:rStyle w:val="FootnoteReference"/>
        </w:rPr>
        <w:footnoteRef/>
      </w:r>
      <w:r w:rsidRPr="00B14DA5">
        <w:t xml:space="preserve"> </w:t>
      </w:r>
      <w:r>
        <w:rPr>
          <w:lang w:val="sr-Latn-RS"/>
        </w:rPr>
        <w:t>No. of case</w:t>
      </w:r>
      <w:r w:rsidRPr="00B14DA5">
        <w:rPr>
          <w:lang w:val="sr-Cyrl-RS"/>
        </w:rPr>
        <w:t xml:space="preserve"> 3115-1601/22.</w:t>
      </w:r>
    </w:p>
  </w:footnote>
  <w:footnote w:id="152">
    <w:p w14:paraId="2CC1E494" w14:textId="0CF99756" w:rsidR="00B37F05" w:rsidRPr="00CA1A90" w:rsidRDefault="00B37F05" w:rsidP="00B37F05">
      <w:pPr>
        <w:pStyle w:val="FootnoteText"/>
        <w:ind w:firstLine="0"/>
        <w:rPr>
          <w:lang w:val="sr-Cyrl-RS"/>
        </w:rPr>
      </w:pPr>
      <w:r w:rsidRPr="00B14DA5">
        <w:rPr>
          <w:rStyle w:val="FootnoteReference"/>
        </w:rPr>
        <w:footnoteRef/>
      </w:r>
      <w:r w:rsidRPr="00B14DA5">
        <w:t xml:space="preserve"> </w:t>
      </w:r>
      <w:r w:rsidR="00EB67F5">
        <w:rPr>
          <w:lang w:val="sr-Latn-RS"/>
        </w:rPr>
        <w:t>No. o</w:t>
      </w:r>
      <w:r>
        <w:rPr>
          <w:lang w:val="sr-Latn-RS"/>
        </w:rPr>
        <w:t>f case</w:t>
      </w:r>
      <w:r w:rsidRPr="00B14DA5">
        <w:rPr>
          <w:lang w:val="sr-Cyrl-RS"/>
        </w:rPr>
        <w:t xml:space="preserve"> 3115-1492/22.</w:t>
      </w:r>
    </w:p>
  </w:footnote>
  <w:footnote w:id="153">
    <w:p w14:paraId="256ABC23" w14:textId="77777777" w:rsidR="00B37F05" w:rsidRPr="00B14DA5" w:rsidRDefault="00B37F05" w:rsidP="00B37F05">
      <w:pPr>
        <w:pStyle w:val="FootnoteText"/>
        <w:ind w:firstLine="0"/>
        <w:rPr>
          <w:lang w:val="sr-Cyrl-RS"/>
        </w:rPr>
      </w:pPr>
      <w:r w:rsidRPr="00B14DA5">
        <w:rPr>
          <w:rStyle w:val="FootnoteReference"/>
        </w:rPr>
        <w:footnoteRef/>
      </w:r>
      <w:r w:rsidRPr="00B14DA5">
        <w:rPr>
          <w:lang w:val="sr-Cyrl-RS"/>
        </w:rPr>
        <w:t xml:space="preserve"> </w:t>
      </w:r>
      <w:r>
        <w:rPr>
          <w:lang w:val="sr-Latn-RS"/>
        </w:rPr>
        <w:t>Report on case with recommendations</w:t>
      </w:r>
      <w:r w:rsidRPr="00B14DA5">
        <w:rPr>
          <w:lang w:val="sr-Cyrl-RS"/>
        </w:rPr>
        <w:t xml:space="preserve">, </w:t>
      </w:r>
      <w:hyperlink r:id="rId57" w:history="1">
        <w:r w:rsidRPr="00B14DA5">
          <w:rPr>
            <w:rStyle w:val="Hyperlink"/>
            <w:lang w:val="sr-Cyrl-RS"/>
          </w:rPr>
          <w:t>https://ombudsman.rs/index.php/2012-02-07-14-03-33/7861-z-sh-i-ni-gr-d-n-upu-i-pr-p-ru-gr-ds-i-sluzb</w:t>
        </w:r>
      </w:hyperlink>
      <w:r w:rsidRPr="00B14DA5">
        <w:rPr>
          <w:rStyle w:val="Hyperlink"/>
          <w:lang w:val="sr-Cyrl-RS"/>
        </w:rPr>
        <w:t>.</w:t>
      </w:r>
    </w:p>
  </w:footnote>
  <w:footnote w:id="154">
    <w:p w14:paraId="0AC0514D" w14:textId="77777777" w:rsidR="00B37F05" w:rsidRPr="00B14DA5" w:rsidRDefault="00B37F05" w:rsidP="00B37F05">
      <w:pPr>
        <w:pStyle w:val="FootnoteText"/>
        <w:ind w:firstLine="0"/>
        <w:rPr>
          <w:lang w:val="sr-Cyrl-RS"/>
        </w:rPr>
      </w:pPr>
      <w:r w:rsidRPr="00B14DA5">
        <w:rPr>
          <w:rStyle w:val="FootnoteReference"/>
        </w:rPr>
        <w:footnoteRef/>
      </w:r>
      <w:r w:rsidRPr="00B14DA5">
        <w:t xml:space="preserve"> </w:t>
      </w:r>
      <w:r>
        <w:rPr>
          <w:lang w:val="sr-Latn-RS"/>
        </w:rPr>
        <w:t>No. of case</w:t>
      </w:r>
      <w:r w:rsidRPr="00B14DA5">
        <w:rPr>
          <w:lang w:val="sr-Cyrl-RS"/>
        </w:rPr>
        <w:t xml:space="preserve"> 3115-171/23.</w:t>
      </w:r>
    </w:p>
  </w:footnote>
  <w:footnote w:id="155">
    <w:p w14:paraId="0EFBAE7F" w14:textId="547A1BB2" w:rsidR="00B37F05" w:rsidRPr="00B14DA5" w:rsidRDefault="00B37F05" w:rsidP="00B37F05">
      <w:pPr>
        <w:pStyle w:val="FootnoteText"/>
        <w:ind w:firstLine="0"/>
        <w:rPr>
          <w:lang w:val="sr-Cyrl-RS"/>
        </w:rPr>
      </w:pPr>
      <w:r w:rsidRPr="00B14DA5">
        <w:rPr>
          <w:rStyle w:val="FootnoteReference"/>
        </w:rPr>
        <w:footnoteRef/>
      </w:r>
      <w:r w:rsidRPr="00B14DA5">
        <w:t xml:space="preserve"> </w:t>
      </w:r>
      <w:r w:rsidR="00EB67F5">
        <w:rPr>
          <w:lang w:val="sr-Latn-RS"/>
        </w:rPr>
        <w:t>No. o</w:t>
      </w:r>
      <w:r>
        <w:rPr>
          <w:lang w:val="sr-Latn-RS"/>
        </w:rPr>
        <w:t>f case</w:t>
      </w:r>
      <w:r w:rsidRPr="00B14DA5">
        <w:rPr>
          <w:lang w:val="sr-Cyrl-RS"/>
        </w:rPr>
        <w:t xml:space="preserve"> 3115-285/23.</w:t>
      </w:r>
    </w:p>
  </w:footnote>
  <w:footnote w:id="156">
    <w:p w14:paraId="68620877" w14:textId="7E856B7B" w:rsidR="00B37F05" w:rsidRPr="00B14DA5" w:rsidRDefault="00B37F05" w:rsidP="00B37F05">
      <w:pPr>
        <w:pStyle w:val="FootnoteText"/>
        <w:ind w:firstLine="0"/>
        <w:rPr>
          <w:lang w:val="sr-Cyrl-RS"/>
        </w:rPr>
      </w:pPr>
      <w:r w:rsidRPr="00B14DA5">
        <w:rPr>
          <w:rStyle w:val="FootnoteReference"/>
        </w:rPr>
        <w:footnoteRef/>
      </w:r>
      <w:r>
        <w:rPr>
          <w:lang w:val="sr-Cyrl-RS"/>
        </w:rPr>
        <w:t xml:space="preserve"> </w:t>
      </w:r>
      <w:r w:rsidR="00EB67F5">
        <w:rPr>
          <w:lang w:val="sr-Latn-RS"/>
        </w:rPr>
        <w:t>Opinion of the Protector of C</w:t>
      </w:r>
      <w:r>
        <w:rPr>
          <w:lang w:val="sr-Latn-RS"/>
        </w:rPr>
        <w:t>itizens</w:t>
      </w:r>
      <w:r w:rsidRPr="00B14DA5">
        <w:rPr>
          <w:lang w:val="sr-Cyrl-RS"/>
        </w:rPr>
        <w:t xml:space="preserve">, </w:t>
      </w:r>
      <w:hyperlink r:id="rId58" w:history="1">
        <w:r w:rsidRPr="00B14DA5">
          <w:rPr>
            <w:rStyle w:val="Hyperlink"/>
          </w:rPr>
          <w:t>https://ombudsman.rs/index.php/2011-12-11-11-34-45/6793-pr-cizni-ur-di-i-usl-v-z-pr-nj-ug-s-i-ljs-ih-b</w:t>
        </w:r>
      </w:hyperlink>
      <w:r w:rsidRPr="00B14DA5">
        <w:rPr>
          <w:rStyle w:val="Hyperlink"/>
          <w:lang w:val="sr-Cyrl-RS"/>
        </w:rPr>
        <w:t xml:space="preserve">. </w:t>
      </w:r>
    </w:p>
  </w:footnote>
  <w:footnote w:id="157">
    <w:p w14:paraId="13EB9E44" w14:textId="68E06F73" w:rsidR="00B37F05" w:rsidRPr="00B14DA5" w:rsidRDefault="00B37F05" w:rsidP="00B37F05">
      <w:pPr>
        <w:pStyle w:val="FootnoteText"/>
        <w:ind w:firstLine="0"/>
        <w:rPr>
          <w:lang w:val="sr-Cyrl-RS"/>
        </w:rPr>
      </w:pPr>
      <w:r w:rsidRPr="00B14DA5">
        <w:rPr>
          <w:rStyle w:val="FootnoteReference"/>
        </w:rPr>
        <w:footnoteRef/>
      </w:r>
      <w:r w:rsidRPr="00B14DA5">
        <w:rPr>
          <w:lang w:val="sr-Cyrl-RS"/>
        </w:rPr>
        <w:t xml:space="preserve"> </w:t>
      </w:r>
      <w:r w:rsidR="00EB67F5">
        <w:rPr>
          <w:lang w:val="sr-Latn-RS"/>
        </w:rPr>
        <w:t>No. o</w:t>
      </w:r>
      <w:r>
        <w:rPr>
          <w:lang w:val="sr-Latn-RS"/>
        </w:rPr>
        <w:t>f case</w:t>
      </w:r>
      <w:r w:rsidRPr="00B14DA5">
        <w:rPr>
          <w:lang w:val="sr-Latn-RS"/>
        </w:rPr>
        <w:t xml:space="preserve"> 3115-285/23</w:t>
      </w:r>
      <w:r w:rsidRPr="00B14DA5">
        <w:rPr>
          <w:lang w:val="sr-Cyrl-RS"/>
        </w:rPr>
        <w:t>.</w:t>
      </w:r>
    </w:p>
  </w:footnote>
  <w:footnote w:id="158">
    <w:p w14:paraId="512352CB" w14:textId="504A1F32" w:rsidR="00B37F05" w:rsidRPr="00827B13" w:rsidRDefault="00B37F05" w:rsidP="00B37F05">
      <w:pPr>
        <w:pStyle w:val="FootnoteText"/>
        <w:ind w:firstLine="0"/>
        <w:rPr>
          <w:lang w:val="sr-Cyrl-RS"/>
        </w:rPr>
      </w:pPr>
      <w:r w:rsidRPr="00B14DA5">
        <w:rPr>
          <w:rStyle w:val="FootnoteReference"/>
        </w:rPr>
        <w:footnoteRef/>
      </w:r>
      <w:r w:rsidRPr="00B14DA5">
        <w:t xml:space="preserve"> </w:t>
      </w:r>
      <w:r w:rsidR="00BA297C">
        <w:rPr>
          <w:lang w:val="en-US"/>
        </w:rPr>
        <w:t>“Official Gazette of RS”</w:t>
      </w:r>
      <w:r>
        <w:rPr>
          <w:lang w:val="en-US"/>
        </w:rPr>
        <w:t>,</w:t>
      </w:r>
      <w:r w:rsidRPr="00B14DA5">
        <w:rPr>
          <w:lang w:val="sr-Cyrl-RS"/>
        </w:rPr>
        <w:t xml:space="preserve"> </w:t>
      </w:r>
      <w:r>
        <w:rPr>
          <w:lang w:val="en-US"/>
        </w:rPr>
        <w:t>No.</w:t>
      </w:r>
      <w:r w:rsidRPr="00B14DA5">
        <w:rPr>
          <w:lang w:val="sr-Cyrl-RS"/>
        </w:rPr>
        <w:t xml:space="preserve"> 17/19.</w:t>
      </w:r>
    </w:p>
  </w:footnote>
  <w:footnote w:id="159">
    <w:p w14:paraId="532C2982" w14:textId="77777777" w:rsidR="00B37F05" w:rsidRPr="006B1778" w:rsidRDefault="00B37F05" w:rsidP="00B37F05">
      <w:pPr>
        <w:pStyle w:val="FootnoteText"/>
        <w:ind w:firstLine="0"/>
        <w:rPr>
          <w:lang w:val="sr-Cyrl-RS"/>
        </w:rPr>
      </w:pPr>
      <w:r w:rsidRPr="00021C6A">
        <w:rPr>
          <w:rStyle w:val="FootnoteReference"/>
        </w:rPr>
        <w:footnoteRef/>
      </w:r>
      <w:r w:rsidRPr="00021C6A">
        <w:t xml:space="preserve"> </w:t>
      </w:r>
      <w:r>
        <w:rPr>
          <w:lang w:val="en-US"/>
        </w:rPr>
        <w:t>No. of case</w:t>
      </w:r>
      <w:r w:rsidRPr="00021C6A">
        <w:rPr>
          <w:lang w:val="sr-Cyrl-RS"/>
        </w:rPr>
        <w:t xml:space="preserve"> 3115-1682/22.</w:t>
      </w:r>
    </w:p>
  </w:footnote>
  <w:footnote w:id="160">
    <w:p w14:paraId="6041526A" w14:textId="5D7625ED" w:rsidR="00B37F05" w:rsidRPr="00FB3A3C"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sr-Cyrl-RS"/>
        </w:rPr>
        <w:t xml:space="preserve">, </w:t>
      </w:r>
      <w:r>
        <w:rPr>
          <w:lang w:val="en-US"/>
        </w:rPr>
        <w:t>No.</w:t>
      </w:r>
      <w:r w:rsidRPr="00040C73">
        <w:rPr>
          <w:lang w:val="sr-Cyrl-RS"/>
        </w:rPr>
        <w:t xml:space="preserve"> 105/21</w:t>
      </w:r>
      <w:r>
        <w:rPr>
          <w:lang w:val="sr-Cyrl-RS"/>
        </w:rPr>
        <w:t>.</w:t>
      </w:r>
    </w:p>
  </w:footnote>
  <w:footnote w:id="161">
    <w:p w14:paraId="4503A5D1" w14:textId="40AEE871" w:rsidR="00B37F05" w:rsidRPr="00FB3A3C"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en-US"/>
        </w:rPr>
        <w:t>, No.</w:t>
      </w:r>
      <w:r w:rsidRPr="00040C73">
        <w:rPr>
          <w:lang w:val="sr-Cyrl-RS"/>
        </w:rPr>
        <w:t xml:space="preserve"> 36/09, 10/13 </w:t>
      </w:r>
      <w:r w:rsidR="00EB67F5">
        <w:rPr>
          <w:lang w:val="en-US"/>
        </w:rPr>
        <w:t>and</w:t>
      </w:r>
      <w:r w:rsidRPr="00040C73">
        <w:rPr>
          <w:lang w:val="sr-Cyrl-RS"/>
        </w:rPr>
        <w:t xml:space="preserve"> 26/21 </w:t>
      </w:r>
      <w:r w:rsidR="00EB67F5">
        <w:rPr>
          <w:lang w:val="sr-Cyrl-RS"/>
        </w:rPr>
        <w:t>–</w:t>
      </w:r>
      <w:r w:rsidRPr="00040C73">
        <w:rPr>
          <w:lang w:val="sr-Cyrl-RS"/>
        </w:rPr>
        <w:t xml:space="preserve"> </w:t>
      </w:r>
      <w:r w:rsidR="00EB67F5">
        <w:rPr>
          <w:lang w:val="en-US"/>
        </w:rPr>
        <w:t>other law</w:t>
      </w:r>
      <w:r>
        <w:rPr>
          <w:lang w:val="sr-Cyrl-RS"/>
        </w:rPr>
        <w:t xml:space="preserve">. </w:t>
      </w:r>
    </w:p>
  </w:footnote>
  <w:footnote w:id="162">
    <w:p w14:paraId="37FD1FB0" w14:textId="77777777" w:rsidR="00B37F05" w:rsidRPr="000C25B9" w:rsidRDefault="00B37F05" w:rsidP="00B37F05">
      <w:pPr>
        <w:pStyle w:val="FootnoteText"/>
        <w:ind w:firstLine="0"/>
        <w:rPr>
          <w:lang w:val="sr-Cyrl-RS"/>
        </w:rPr>
      </w:pPr>
      <w:r>
        <w:rPr>
          <w:rStyle w:val="FootnoteReference"/>
        </w:rPr>
        <w:footnoteRef/>
      </w:r>
      <w:r>
        <w:rPr>
          <w:lang w:val="sr-Latn-RS"/>
        </w:rPr>
        <w:t xml:space="preserve"> </w:t>
      </w:r>
      <w:r>
        <w:rPr>
          <w:lang w:val="en-US"/>
        </w:rPr>
        <w:t>Available at</w:t>
      </w:r>
      <w:r>
        <w:rPr>
          <w:lang w:val="sr-Cyrl-RS"/>
        </w:rPr>
        <w:t xml:space="preserve">: </w:t>
      </w:r>
      <w:hyperlink r:id="rId59" w:history="1">
        <w:r>
          <w:rPr>
            <w:rStyle w:val="Hyperlink"/>
          </w:rPr>
          <w:t>https</w:t>
        </w:r>
        <w:r w:rsidRPr="007155EF">
          <w:rPr>
            <w:rStyle w:val="Hyperlink"/>
          </w:rPr>
          <w:t>://www.</w:t>
        </w:r>
        <w:r>
          <w:rPr>
            <w:rStyle w:val="Hyperlink"/>
          </w:rPr>
          <w:t>valjevskaposla</w:t>
        </w:r>
        <w:r w:rsidRPr="007155EF">
          <w:rPr>
            <w:rStyle w:val="Hyperlink"/>
          </w:rPr>
          <w:t>.</w:t>
        </w:r>
        <w:r>
          <w:rPr>
            <w:rStyle w:val="Hyperlink"/>
          </w:rPr>
          <w:t>info</w:t>
        </w:r>
        <w:r w:rsidRPr="007155EF">
          <w:rPr>
            <w:rStyle w:val="Hyperlink"/>
          </w:rPr>
          <w:t>/</w:t>
        </w:r>
        <w:r>
          <w:rPr>
            <w:rStyle w:val="Hyperlink"/>
          </w:rPr>
          <w:t>plan</w:t>
        </w:r>
        <w:r w:rsidRPr="007155EF">
          <w:rPr>
            <w:rStyle w:val="Hyperlink"/>
          </w:rPr>
          <w:t>-</w:t>
        </w:r>
        <w:r>
          <w:rPr>
            <w:rStyle w:val="Hyperlink"/>
          </w:rPr>
          <w:t>kvaliteta</w:t>
        </w:r>
        <w:r w:rsidRPr="007155EF">
          <w:rPr>
            <w:rStyle w:val="Hyperlink"/>
          </w:rPr>
          <w:t>-</w:t>
        </w:r>
        <w:r>
          <w:rPr>
            <w:rStyle w:val="Hyperlink"/>
          </w:rPr>
          <w:t>vazduha</w:t>
        </w:r>
        <w:r w:rsidRPr="007155EF">
          <w:rPr>
            <w:rStyle w:val="Hyperlink"/>
          </w:rPr>
          <w:t>-</w:t>
        </w:r>
        <w:r>
          <w:rPr>
            <w:rStyle w:val="Hyperlink"/>
          </w:rPr>
          <w:t>predat</w:t>
        </w:r>
        <w:r w:rsidRPr="007155EF">
          <w:rPr>
            <w:rStyle w:val="Hyperlink"/>
          </w:rPr>
          <w:t>-</w:t>
        </w:r>
        <w:r>
          <w:rPr>
            <w:rStyle w:val="Hyperlink"/>
          </w:rPr>
          <w:t>nadleznom</w:t>
        </w:r>
        <w:r w:rsidRPr="007155EF">
          <w:rPr>
            <w:rStyle w:val="Hyperlink"/>
          </w:rPr>
          <w:t>-</w:t>
        </w:r>
        <w:r>
          <w:rPr>
            <w:rStyle w:val="Hyperlink"/>
          </w:rPr>
          <w:t>ministarstvu</w:t>
        </w:r>
        <w:r w:rsidRPr="007155EF">
          <w:rPr>
            <w:rStyle w:val="Hyperlink"/>
          </w:rPr>
          <w:t>-</w:t>
        </w:r>
        <w:r>
          <w:rPr>
            <w:rStyle w:val="Hyperlink"/>
          </w:rPr>
          <w:t>na</w:t>
        </w:r>
        <w:r w:rsidRPr="007155EF">
          <w:rPr>
            <w:rStyle w:val="Hyperlink"/>
          </w:rPr>
          <w:t>-</w:t>
        </w:r>
        <w:r>
          <w:rPr>
            <w:rStyle w:val="Hyperlink"/>
          </w:rPr>
          <w:t>usvajanje</w:t>
        </w:r>
        <w:r w:rsidRPr="007155EF">
          <w:rPr>
            <w:rStyle w:val="Hyperlink"/>
          </w:rPr>
          <w:t>-</w:t>
        </w:r>
        <w:r>
          <w:rPr>
            <w:rStyle w:val="Hyperlink"/>
          </w:rPr>
          <w:t>gasovod</w:t>
        </w:r>
        <w:r w:rsidRPr="007155EF">
          <w:rPr>
            <w:rStyle w:val="Hyperlink"/>
          </w:rPr>
          <w:t>-</w:t>
        </w:r>
        <w:r>
          <w:rPr>
            <w:rStyle w:val="Hyperlink"/>
          </w:rPr>
          <w:t>stigao</w:t>
        </w:r>
        <w:r w:rsidRPr="007155EF">
          <w:rPr>
            <w:rStyle w:val="Hyperlink"/>
          </w:rPr>
          <w:t>-</w:t>
        </w:r>
        <w:r>
          <w:rPr>
            <w:rStyle w:val="Hyperlink"/>
          </w:rPr>
          <w:t>do</w:t>
        </w:r>
        <w:r w:rsidRPr="007155EF">
          <w:rPr>
            <w:rStyle w:val="Hyperlink"/>
          </w:rPr>
          <w:t>-</w:t>
        </w:r>
        <w:r>
          <w:rPr>
            <w:rStyle w:val="Hyperlink"/>
          </w:rPr>
          <w:t>lukavca</w:t>
        </w:r>
        <w:r w:rsidRPr="007155EF">
          <w:rPr>
            <w:rStyle w:val="Hyperlink"/>
          </w:rPr>
          <w:t>/</w:t>
        </w:r>
      </w:hyperlink>
      <w:r>
        <w:rPr>
          <w:rStyle w:val="Hyperlink"/>
          <w:lang w:val="sr-Cyrl-RS"/>
        </w:rPr>
        <w:t xml:space="preserve">. </w:t>
      </w:r>
    </w:p>
  </w:footnote>
  <w:footnote w:id="163">
    <w:p w14:paraId="04B577D6" w14:textId="77777777" w:rsidR="00B37F05" w:rsidRPr="007E2E30" w:rsidRDefault="00B37F05" w:rsidP="00B37F05">
      <w:pPr>
        <w:pStyle w:val="FootnoteText"/>
        <w:ind w:firstLine="0"/>
        <w:rPr>
          <w:lang w:val="sr-Cyrl-RS"/>
        </w:rPr>
      </w:pPr>
      <w:r w:rsidRPr="007E2E30">
        <w:rPr>
          <w:rStyle w:val="FootnoteReference"/>
          <w:lang w:val="sr-Cyrl-RS"/>
        </w:rPr>
        <w:footnoteRef/>
      </w:r>
      <w:r w:rsidRPr="007E2E30">
        <w:rPr>
          <w:lang w:val="sr-Cyrl-RS"/>
        </w:rPr>
        <w:t xml:space="preserve"> </w:t>
      </w:r>
      <w:r w:rsidRPr="00291D52">
        <w:rPr>
          <w:lang w:val="sr-Cyrl-RS"/>
        </w:rPr>
        <w:t>By the decision of the Government of the Republic of Serbia dated Ap</w:t>
      </w:r>
      <w:r>
        <w:rPr>
          <w:lang w:val="sr-Cyrl-RS"/>
        </w:rPr>
        <w:t xml:space="preserve">ril 6, 2023, the legal form of </w:t>
      </w:r>
      <w:r>
        <w:rPr>
          <w:lang w:val="en-US"/>
        </w:rPr>
        <w:t>“</w:t>
      </w:r>
      <w:r>
        <w:rPr>
          <w:lang w:val="sr-Cyrl-RS"/>
        </w:rPr>
        <w:t>Elektroprivreda Srbije</w:t>
      </w:r>
      <w:r>
        <w:rPr>
          <w:lang w:val="en-US"/>
        </w:rPr>
        <w:t>”</w:t>
      </w:r>
      <w:r w:rsidRPr="00291D52">
        <w:rPr>
          <w:lang w:val="sr-Cyrl-RS"/>
        </w:rPr>
        <w:t xml:space="preserve"> was changed from a public company to a joint-stock company.</w:t>
      </w:r>
    </w:p>
  </w:footnote>
  <w:footnote w:id="164">
    <w:p w14:paraId="40C2F880" w14:textId="77777777" w:rsidR="00B37F05" w:rsidRPr="00805346" w:rsidRDefault="00B37F05" w:rsidP="00B37F05">
      <w:pPr>
        <w:pStyle w:val="FootnoteText"/>
        <w:ind w:firstLine="0"/>
        <w:rPr>
          <w:lang w:val="sr-Cyrl-RS"/>
        </w:rPr>
      </w:pPr>
      <w:r w:rsidRPr="00021C6A">
        <w:rPr>
          <w:rStyle w:val="FootnoteReference"/>
        </w:rPr>
        <w:footnoteRef/>
      </w:r>
      <w:r w:rsidRPr="00021C6A">
        <w:t xml:space="preserve"> </w:t>
      </w:r>
      <w:r>
        <w:rPr>
          <w:lang w:val="en-US"/>
        </w:rPr>
        <w:t>No. of case</w:t>
      </w:r>
      <w:r w:rsidRPr="00021C6A">
        <w:rPr>
          <w:lang w:val="sr-Cyrl-RS"/>
        </w:rPr>
        <w:t xml:space="preserve"> 318-1373/22. </w:t>
      </w:r>
    </w:p>
  </w:footnote>
  <w:footnote w:id="165">
    <w:p w14:paraId="12C42357" w14:textId="033018FC" w:rsidR="00B37F05" w:rsidRPr="00B867F1" w:rsidRDefault="00B37F05" w:rsidP="00B37F05">
      <w:pPr>
        <w:spacing w:after="0"/>
        <w:rPr>
          <w:rFonts w:ascii="Times New Roman" w:eastAsia="Times New Roman" w:hAnsi="Times New Roman" w:cs="Times New Roman"/>
          <w:sz w:val="18"/>
          <w:szCs w:val="18"/>
          <w:lang w:val="sr-Cyrl-RS"/>
        </w:rPr>
      </w:pPr>
      <w:r w:rsidRPr="008D09AA">
        <w:rPr>
          <w:rStyle w:val="FootnoteReference"/>
          <w:sz w:val="18"/>
          <w:szCs w:val="18"/>
        </w:rPr>
        <w:footnoteRef/>
      </w:r>
      <w:r w:rsidRPr="008D09AA">
        <w:rPr>
          <w:sz w:val="18"/>
          <w:szCs w:val="18"/>
        </w:rPr>
        <w:t xml:space="preserve"> </w:t>
      </w:r>
      <w:r w:rsidR="00BA297C">
        <w:rPr>
          <w:sz w:val="18"/>
          <w:szCs w:val="18"/>
        </w:rPr>
        <w:t>“Official Gazette of RS”</w:t>
      </w:r>
      <w:r>
        <w:rPr>
          <w:sz w:val="18"/>
          <w:szCs w:val="18"/>
        </w:rPr>
        <w:t>, No.</w:t>
      </w:r>
      <w:r w:rsidRPr="008D09AA">
        <w:rPr>
          <w:rFonts w:eastAsia="Times New Roman" w:cs="Times New Roman"/>
          <w:sz w:val="18"/>
          <w:szCs w:val="18"/>
        </w:rPr>
        <w:t xml:space="preserve"> </w:t>
      </w:r>
      <w:r w:rsidRPr="008D09AA">
        <w:rPr>
          <w:rFonts w:eastAsia="Times New Roman" w:cs="Times New Roman"/>
          <w:sz w:val="18"/>
          <w:szCs w:val="18"/>
          <w:lang w:val="sr-Cyrl-RS"/>
        </w:rPr>
        <w:t>бр</w:t>
      </w:r>
      <w:r w:rsidRPr="008D09AA">
        <w:rPr>
          <w:rFonts w:eastAsia="Times New Roman" w:cs="Times New Roman"/>
          <w:sz w:val="18"/>
          <w:szCs w:val="18"/>
        </w:rPr>
        <w:t xml:space="preserve">. 145/14, 95/18 - </w:t>
      </w:r>
      <w:r>
        <w:rPr>
          <w:rFonts w:eastAsia="Times New Roman" w:cs="Times New Roman"/>
          <w:sz w:val="18"/>
          <w:szCs w:val="18"/>
        </w:rPr>
        <w:t>other Law</w:t>
      </w:r>
      <w:r w:rsidRPr="008D09AA">
        <w:rPr>
          <w:rFonts w:eastAsia="Times New Roman" w:cs="Times New Roman"/>
          <w:sz w:val="18"/>
          <w:szCs w:val="18"/>
          <w:lang w:val="sr-Cyrl-RS"/>
        </w:rPr>
        <w:t>,</w:t>
      </w:r>
      <w:r w:rsidRPr="008D09AA">
        <w:rPr>
          <w:rFonts w:eastAsia="Times New Roman" w:cs="Times New Roman"/>
          <w:sz w:val="18"/>
          <w:szCs w:val="18"/>
        </w:rPr>
        <w:t xml:space="preserve"> 40/21</w:t>
      </w:r>
      <w:r w:rsidRPr="008D09AA">
        <w:rPr>
          <w:rFonts w:eastAsia="Times New Roman" w:cs="Times New Roman"/>
          <w:sz w:val="18"/>
          <w:szCs w:val="18"/>
          <w:lang w:val="sr-Cyrl-RS"/>
        </w:rPr>
        <w:t xml:space="preserve">, </w:t>
      </w:r>
      <w:r w:rsidRPr="008D09AA">
        <w:rPr>
          <w:rFonts w:eastAsia="Times New Roman" w:cs="Times New Roman"/>
          <w:sz w:val="18"/>
          <w:szCs w:val="18"/>
        </w:rPr>
        <w:t xml:space="preserve">35/23 </w:t>
      </w:r>
      <w:r>
        <w:rPr>
          <w:rFonts w:eastAsia="Times New Roman" w:cs="Times New Roman"/>
          <w:sz w:val="18"/>
          <w:szCs w:val="18"/>
        </w:rPr>
        <w:t>–</w:t>
      </w:r>
      <w:r w:rsidRPr="008D09AA">
        <w:rPr>
          <w:rFonts w:eastAsia="Times New Roman" w:cs="Times New Roman"/>
          <w:sz w:val="18"/>
          <w:szCs w:val="18"/>
        </w:rPr>
        <w:t xml:space="preserve"> </w:t>
      </w:r>
      <w:r>
        <w:rPr>
          <w:rFonts w:eastAsia="Times New Roman" w:cs="Times New Roman"/>
          <w:sz w:val="18"/>
          <w:szCs w:val="18"/>
        </w:rPr>
        <w:t>other Law and</w:t>
      </w:r>
      <w:r w:rsidRPr="008D09AA">
        <w:rPr>
          <w:rFonts w:eastAsia="Times New Roman" w:cs="Times New Roman"/>
          <w:sz w:val="18"/>
          <w:szCs w:val="18"/>
        </w:rPr>
        <w:t xml:space="preserve"> 62/23</w:t>
      </w:r>
      <w:r w:rsidRPr="008D09AA">
        <w:rPr>
          <w:rFonts w:eastAsia="Times New Roman" w:cs="Times New Roman"/>
          <w:sz w:val="18"/>
          <w:szCs w:val="18"/>
          <w:lang w:val="sr-Cyrl-RS"/>
        </w:rPr>
        <w:t>.</w:t>
      </w:r>
    </w:p>
  </w:footnote>
  <w:footnote w:id="166">
    <w:p w14:paraId="098C761C" w14:textId="77777777" w:rsidR="00B37F05" w:rsidRPr="00FC52D7" w:rsidRDefault="00B37F05" w:rsidP="00B37F05">
      <w:pPr>
        <w:pStyle w:val="FootnoteText"/>
        <w:ind w:firstLine="0"/>
      </w:pPr>
      <w:r w:rsidRPr="00FC52D7">
        <w:rPr>
          <w:rStyle w:val="FootnoteReference"/>
          <w:lang w:val="sr-Cyrl-RS"/>
        </w:rPr>
        <w:footnoteRef/>
      </w:r>
      <w:r w:rsidRPr="00FC52D7">
        <w:rPr>
          <w:lang w:val="sr-Cyrl-RS"/>
        </w:rPr>
        <w:t xml:space="preserve"> </w:t>
      </w:r>
      <w:r>
        <w:rPr>
          <w:lang w:val="en-US"/>
        </w:rPr>
        <w:t>Available at</w:t>
      </w:r>
      <w:r w:rsidRPr="00FC52D7">
        <w:rPr>
          <w:lang w:val="sr-Cyrl-RS"/>
        </w:rPr>
        <w:t xml:space="preserve">: </w:t>
      </w:r>
      <w:hyperlink r:id="rId60" w:history="1">
        <w:r w:rsidRPr="00FC52D7">
          <w:rPr>
            <w:rStyle w:val="Hyperlink"/>
            <w:lang w:val="sr-Cyrl-RS"/>
          </w:rPr>
          <w:t>https://www.ombudsman.rs/index.php/2012-02-07-14-03-33/7648-z-sh-i-ni-gr-d-n-upu-i-sis-s-u-pr-p-ru-u-r-public-g-g-s-z-v-du-i-inis-rs-vu-gr-d-vin-rs-v-s-br-c-i-infru-s-ru-ur</w:t>
        </w:r>
      </w:hyperlink>
      <w:r w:rsidRPr="00FC52D7">
        <w:rPr>
          <w:rStyle w:val="Hyperlink"/>
          <w:lang w:val="sr-Cyrl-RS"/>
        </w:rPr>
        <w:t xml:space="preserve">. </w:t>
      </w:r>
      <w:r w:rsidRPr="00FC52D7">
        <w:t xml:space="preserve"> </w:t>
      </w:r>
    </w:p>
  </w:footnote>
  <w:footnote w:id="167">
    <w:p w14:paraId="6C9BB7CE" w14:textId="77777777" w:rsidR="00B37F05" w:rsidRPr="00D46D93" w:rsidRDefault="00B37F05" w:rsidP="00B37F05">
      <w:pPr>
        <w:pStyle w:val="FootnoteText"/>
        <w:ind w:firstLine="0"/>
        <w:rPr>
          <w:lang w:val="sr-Cyrl-RS"/>
        </w:rPr>
      </w:pPr>
      <w:r w:rsidRPr="00D46D93">
        <w:rPr>
          <w:rStyle w:val="FootnoteReference"/>
        </w:rPr>
        <w:footnoteRef/>
      </w:r>
      <w:r w:rsidRPr="00D46D93">
        <w:t xml:space="preserve"> </w:t>
      </w:r>
      <w:r>
        <w:rPr>
          <w:lang w:val="en-US"/>
        </w:rPr>
        <w:t>Report on case with opinion</w:t>
      </w:r>
      <w:r w:rsidRPr="00D46D93">
        <w:rPr>
          <w:lang w:val="sr-Cyrl-RS"/>
        </w:rPr>
        <w:t xml:space="preserve">, </w:t>
      </w:r>
      <w:hyperlink r:id="rId61" w:history="1">
        <w:r w:rsidRPr="00D46D93">
          <w:rPr>
            <w:rStyle w:val="Hyperlink"/>
          </w:rPr>
          <w:t>https://www.ombudsman.rs/index.php/2012-02-07-14-03-33/7883-rgz-d-guci-uvid-u-p-d-n-p-r-n-s-i-gr-d-ni-i-ziv-u-in-s-r-ns-vu</w:t>
        </w:r>
      </w:hyperlink>
      <w:r>
        <w:rPr>
          <w:rStyle w:val="Hyperlink"/>
          <w:lang w:val="sr-Cyrl-RS"/>
        </w:rPr>
        <w:t xml:space="preserve">. </w:t>
      </w:r>
    </w:p>
  </w:footnote>
  <w:footnote w:id="168">
    <w:p w14:paraId="54D788DE" w14:textId="77777777" w:rsidR="00AC0E41" w:rsidRPr="006328B4" w:rsidRDefault="00AC0E41" w:rsidP="00AC0E41">
      <w:pPr>
        <w:pStyle w:val="FootnoteText"/>
        <w:ind w:firstLine="0"/>
        <w:rPr>
          <w:lang w:val="sr-Cyrl-RS"/>
        </w:rPr>
      </w:pPr>
      <w:r>
        <w:rPr>
          <w:rStyle w:val="FootnoteReference"/>
        </w:rPr>
        <w:footnoteRef/>
      </w:r>
      <w:r>
        <w:t xml:space="preserve"> </w:t>
      </w:r>
      <w:r>
        <w:rPr>
          <w:lang w:val="en-US"/>
        </w:rPr>
        <w:t>Report on case with recommendations</w:t>
      </w:r>
      <w:r>
        <w:rPr>
          <w:lang w:val="sr-Cyrl-RS"/>
        </w:rPr>
        <w:t xml:space="preserve">, </w:t>
      </w:r>
      <w:hyperlink r:id="rId62" w:history="1">
        <w:r w:rsidRPr="00802CC7">
          <w:rPr>
            <w:rStyle w:val="Hyperlink"/>
          </w:rPr>
          <w:t>https://www.ombudsman.rs/index.php/2012-02-07-14-03-33/7791-upr-v-z-gr-rn-pl-c-nj-d-p-s-upi-p-usv-n-z-h-vu-pri-uzilj</w:t>
        </w:r>
      </w:hyperlink>
      <w:r>
        <w:rPr>
          <w:rStyle w:val="Hyperlink"/>
          <w:lang w:val="sr-Cyrl-RS"/>
        </w:rPr>
        <w:t xml:space="preserve">. </w:t>
      </w:r>
    </w:p>
  </w:footnote>
  <w:footnote w:id="169">
    <w:p w14:paraId="2CE75D69" w14:textId="77777777" w:rsidR="00B37F05" w:rsidRPr="00021C6A" w:rsidRDefault="00B37F05" w:rsidP="00B37F05">
      <w:pPr>
        <w:pStyle w:val="FootnoteText"/>
        <w:ind w:firstLine="0"/>
        <w:rPr>
          <w:lang w:val="sr-Cyrl-RS"/>
        </w:rPr>
      </w:pPr>
      <w:r w:rsidRPr="00021C6A">
        <w:rPr>
          <w:rStyle w:val="FootnoteReference"/>
        </w:rPr>
        <w:footnoteRef/>
      </w:r>
      <w:r w:rsidRPr="00021C6A">
        <w:t xml:space="preserve"> </w:t>
      </w:r>
      <w:r>
        <w:rPr>
          <w:lang w:val="sr-Latn-RS"/>
        </w:rPr>
        <w:t>No. of case</w:t>
      </w:r>
      <w:r w:rsidRPr="00021C6A">
        <w:rPr>
          <w:lang w:val="sr-Cyrl-RS"/>
        </w:rPr>
        <w:t xml:space="preserve"> 3118-996/22.</w:t>
      </w:r>
    </w:p>
  </w:footnote>
  <w:footnote w:id="170">
    <w:p w14:paraId="42F75D7C" w14:textId="77777777" w:rsidR="00B37F05" w:rsidRPr="00021C6A" w:rsidRDefault="00B37F05" w:rsidP="00B37F05">
      <w:pPr>
        <w:pStyle w:val="FootnoteText"/>
        <w:ind w:firstLine="0"/>
        <w:rPr>
          <w:lang w:val="sr-Cyrl-RS"/>
        </w:rPr>
      </w:pPr>
      <w:r w:rsidRPr="00021C6A">
        <w:rPr>
          <w:rStyle w:val="FootnoteReference"/>
        </w:rPr>
        <w:footnoteRef/>
      </w:r>
      <w:r w:rsidRPr="00021C6A">
        <w:t xml:space="preserve"> </w:t>
      </w:r>
      <w:r>
        <w:rPr>
          <w:lang w:val="sr-Latn-RS"/>
        </w:rPr>
        <w:t>No. of case</w:t>
      </w:r>
      <w:r w:rsidRPr="00021C6A">
        <w:rPr>
          <w:lang w:val="sr-Cyrl-RS"/>
        </w:rPr>
        <w:t xml:space="preserve"> 3118-1026/22.</w:t>
      </w:r>
    </w:p>
  </w:footnote>
  <w:footnote w:id="171">
    <w:p w14:paraId="26CA3DCF" w14:textId="77777777" w:rsidR="00B37F05" w:rsidRPr="00506C2E" w:rsidRDefault="00B37F05" w:rsidP="00B37F05">
      <w:pPr>
        <w:pStyle w:val="FootnoteText"/>
        <w:ind w:firstLine="0"/>
        <w:rPr>
          <w:lang w:val="sr-Cyrl-RS"/>
        </w:rPr>
      </w:pPr>
      <w:r w:rsidRPr="00021C6A">
        <w:rPr>
          <w:rStyle w:val="FootnoteReference"/>
        </w:rPr>
        <w:footnoteRef/>
      </w:r>
      <w:r w:rsidRPr="00021C6A">
        <w:t xml:space="preserve"> </w:t>
      </w:r>
      <w:r>
        <w:rPr>
          <w:lang w:val="sr-Latn-RS"/>
        </w:rPr>
        <w:t>No. of case</w:t>
      </w:r>
      <w:r w:rsidRPr="00021C6A">
        <w:rPr>
          <w:lang w:val="sr-Cyrl-RS"/>
        </w:rPr>
        <w:t xml:space="preserve"> 3118-1161/22.</w:t>
      </w:r>
    </w:p>
  </w:footnote>
  <w:footnote w:id="172">
    <w:p w14:paraId="37B1E6EC" w14:textId="62BBDF8B" w:rsidR="00B37F05" w:rsidRPr="000C004E" w:rsidRDefault="00B37F05" w:rsidP="00B37F05">
      <w:pPr>
        <w:pStyle w:val="FootnoteText"/>
        <w:ind w:firstLine="0"/>
        <w:rPr>
          <w:lang w:val="sr-Cyrl-RS"/>
        </w:rPr>
      </w:pPr>
      <w:r w:rsidRPr="000C004E">
        <w:rPr>
          <w:rStyle w:val="FootnoteReference"/>
        </w:rPr>
        <w:footnoteRef/>
      </w:r>
      <w:r>
        <w:rPr>
          <w:lang w:val="sr-Cyrl-RS"/>
        </w:rPr>
        <w:t xml:space="preserve"> </w:t>
      </w:r>
      <w:r w:rsidR="00BA297C">
        <w:rPr>
          <w:lang w:val="en-US"/>
        </w:rPr>
        <w:t>“Official Gazette of RS”</w:t>
      </w:r>
      <w:r>
        <w:rPr>
          <w:lang w:val="en-US"/>
        </w:rPr>
        <w:t>, No.</w:t>
      </w:r>
      <w:r w:rsidRPr="000C004E">
        <w:t xml:space="preserve"> 36/09, 88/10, 38/15, 113/17, 113/17 </w:t>
      </w:r>
      <w:r>
        <w:t>–</w:t>
      </w:r>
      <w:r w:rsidRPr="000C004E">
        <w:t xml:space="preserve"> </w:t>
      </w:r>
      <w:r>
        <w:rPr>
          <w:lang w:val="en-US"/>
        </w:rPr>
        <w:t>other law and</w:t>
      </w:r>
      <w:r w:rsidRPr="000C004E">
        <w:t xml:space="preserve"> 49/21</w:t>
      </w:r>
      <w:r w:rsidRPr="000C004E">
        <w:rPr>
          <w:lang w:val="sr-Cyrl-RS"/>
        </w:rPr>
        <w:t>.</w:t>
      </w:r>
      <w:r w:rsidRPr="000C004E">
        <w:t xml:space="preserve"> </w:t>
      </w:r>
    </w:p>
  </w:footnote>
  <w:footnote w:id="173">
    <w:p w14:paraId="3EF4B278" w14:textId="77777777" w:rsidR="00B37F05" w:rsidRPr="00E00E30" w:rsidRDefault="00B37F05" w:rsidP="00B37F05">
      <w:pPr>
        <w:pStyle w:val="FootnoteText"/>
        <w:ind w:firstLine="0"/>
        <w:rPr>
          <w:lang w:val="sr-Cyrl-RS"/>
        </w:rPr>
      </w:pPr>
      <w:r w:rsidRPr="00E00E30">
        <w:rPr>
          <w:rStyle w:val="FootnoteReference"/>
        </w:rPr>
        <w:footnoteRef/>
      </w:r>
      <w:r w:rsidRPr="00E00E30">
        <w:t xml:space="preserve"> </w:t>
      </w:r>
      <w:r>
        <w:rPr>
          <w:lang w:val="en-US"/>
        </w:rPr>
        <w:t>Recommendation available at</w:t>
      </w:r>
      <w:r w:rsidRPr="00E00E30">
        <w:rPr>
          <w:lang w:val="sr-Cyrl-RS"/>
        </w:rPr>
        <w:t xml:space="preserve">: </w:t>
      </w:r>
      <w:hyperlink r:id="rId63" w:history="1">
        <w:r w:rsidRPr="00E00E30">
          <w:rPr>
            <w:rStyle w:val="Hyperlink"/>
          </w:rPr>
          <w:t>https://www.ombudsman.rs/index.php/2012-02-07-14-03-33/7709-nsz-inf-r-ci-u-p-r-bi-z-z-p-shlj-v-nj-d-ucini-d-s-upn-lici-r-z-z-p-sl-nj</w:t>
        </w:r>
      </w:hyperlink>
      <w:r w:rsidRPr="00E00E30">
        <w:rPr>
          <w:lang w:val="sr-Cyrl-RS"/>
        </w:rPr>
        <w:t>.</w:t>
      </w:r>
    </w:p>
  </w:footnote>
  <w:footnote w:id="174">
    <w:p w14:paraId="4C6F6B0D" w14:textId="77777777" w:rsidR="00B37F05" w:rsidRPr="00BF78AB" w:rsidRDefault="00B37F05" w:rsidP="00B37F05">
      <w:pPr>
        <w:pStyle w:val="FootnoteText"/>
        <w:ind w:firstLine="0"/>
        <w:rPr>
          <w:lang w:val="sr-Cyrl-RS"/>
        </w:rPr>
      </w:pPr>
      <w:r>
        <w:rPr>
          <w:rStyle w:val="FootnoteReference"/>
        </w:rPr>
        <w:footnoteRef/>
      </w:r>
      <w:r>
        <w:t xml:space="preserve"> </w:t>
      </w:r>
      <w:r>
        <w:rPr>
          <w:rFonts w:cstheme="minorHAnsi"/>
          <w:lang w:val="en-US"/>
        </w:rPr>
        <w:t>Recommendation available at</w:t>
      </w:r>
      <w:r w:rsidRPr="00E00E30">
        <w:rPr>
          <w:rFonts w:cstheme="minorHAnsi"/>
          <w:lang w:val="sr-Cyrl-RS"/>
        </w:rPr>
        <w:t xml:space="preserve">: </w:t>
      </w:r>
      <w:hyperlink r:id="rId64" w:history="1">
        <w:r w:rsidRPr="00E00E30">
          <w:rPr>
            <w:rStyle w:val="Hyperlink"/>
            <w:rFonts w:cstheme="minorHAnsi"/>
          </w:rPr>
          <w:t>https://www.ombudsman.rs/index.php/2012-02-07-14-03-33/7760-r-public-i-g-d-s-i-z-v-d-b-z-dl-g-nj-d-dluci-z-lbi-pri-uzi-c</w:t>
        </w:r>
      </w:hyperlink>
      <w:r w:rsidRPr="00E00E30">
        <w:rPr>
          <w:rStyle w:val="Hyperlink"/>
          <w:rFonts w:cstheme="minorHAnsi"/>
          <w:lang w:val="sr-Cyrl-RS"/>
        </w:rPr>
        <w:t>.</w:t>
      </w:r>
    </w:p>
  </w:footnote>
  <w:footnote w:id="175">
    <w:p w14:paraId="696ABA2C" w14:textId="77777777" w:rsidR="00B37F05" w:rsidRPr="000C004E" w:rsidRDefault="00B37F05" w:rsidP="00B37F05">
      <w:pPr>
        <w:spacing w:after="0"/>
        <w:rPr>
          <w:sz w:val="20"/>
          <w:szCs w:val="20"/>
          <w:lang w:val="sr-Cyrl-RS"/>
        </w:rPr>
      </w:pPr>
      <w:r w:rsidRPr="00E00E30">
        <w:rPr>
          <w:rStyle w:val="FootnoteReference"/>
          <w:sz w:val="18"/>
          <w:szCs w:val="18"/>
        </w:rPr>
        <w:footnoteRef/>
      </w:r>
      <w:r w:rsidRPr="00E00E30">
        <w:rPr>
          <w:sz w:val="18"/>
          <w:szCs w:val="18"/>
          <w:lang w:val="sr-Cyrl-RS"/>
        </w:rPr>
        <w:t xml:space="preserve"> </w:t>
      </w:r>
      <w:r>
        <w:rPr>
          <w:sz w:val="18"/>
          <w:szCs w:val="18"/>
        </w:rPr>
        <w:t>Recommendation available at</w:t>
      </w:r>
      <w:r w:rsidRPr="00E00E30">
        <w:rPr>
          <w:sz w:val="18"/>
          <w:szCs w:val="18"/>
          <w:lang w:val="sr-Cyrl-RS"/>
        </w:rPr>
        <w:t xml:space="preserve">: </w:t>
      </w:r>
      <w:hyperlink r:id="rId65" w:history="1">
        <w:r w:rsidRPr="00E00E30">
          <w:rPr>
            <w:rStyle w:val="Hyperlink"/>
            <w:sz w:val="18"/>
            <w:szCs w:val="18"/>
          </w:rPr>
          <w:t>https://www.ombudsman.rs/index.php/2012-02-07-14-03-33/7759-z-lb-n-isi-psh-in-r-c-prili-d-n-sh-nj-r-sh-nj-ni-p-s-upil-p-pr-sud-upr-vn-g-sud</w:t>
        </w:r>
      </w:hyperlink>
      <w:r>
        <w:rPr>
          <w:rStyle w:val="Hyperlink"/>
          <w:sz w:val="18"/>
          <w:szCs w:val="18"/>
          <w:lang w:val="sr-Cyrl-RS"/>
        </w:rPr>
        <w:t>.</w:t>
      </w:r>
    </w:p>
    <w:p w14:paraId="3E750BC4" w14:textId="77777777" w:rsidR="00B37F05" w:rsidRPr="00622382" w:rsidRDefault="00B37F05" w:rsidP="00B37F05">
      <w:pPr>
        <w:spacing w:after="0"/>
        <w:rPr>
          <w:sz w:val="20"/>
          <w:szCs w:val="20"/>
        </w:rPr>
      </w:pPr>
    </w:p>
    <w:p w14:paraId="2B51399E" w14:textId="77777777" w:rsidR="00B37F05" w:rsidRPr="00622382" w:rsidRDefault="00B37F05" w:rsidP="00B37F05">
      <w:pPr>
        <w:pStyle w:val="FootnoteText"/>
        <w:rPr>
          <w:lang w:val="sr-Cyrl-RS"/>
        </w:rPr>
      </w:pPr>
    </w:p>
  </w:footnote>
  <w:footnote w:id="176">
    <w:p w14:paraId="661C2CF3" w14:textId="77777777" w:rsidR="00B37F05" w:rsidRPr="004F60BB" w:rsidRDefault="00B37F05" w:rsidP="00B37F05">
      <w:pPr>
        <w:pStyle w:val="FootnoteText"/>
        <w:ind w:firstLine="0"/>
        <w:rPr>
          <w:lang w:val="sr-Cyrl-RS"/>
        </w:rPr>
      </w:pPr>
      <w:r w:rsidRPr="004F60BB">
        <w:rPr>
          <w:rStyle w:val="FootnoteReference"/>
        </w:rPr>
        <w:footnoteRef/>
      </w:r>
      <w:r w:rsidRPr="004F60BB">
        <w:t xml:space="preserve"> </w:t>
      </w:r>
      <w:r>
        <w:rPr>
          <w:lang w:val="en-US"/>
        </w:rPr>
        <w:t>Report on the case with recommendations available at</w:t>
      </w:r>
      <w:r w:rsidRPr="004F60BB">
        <w:rPr>
          <w:lang w:val="sr-Cyrl-RS"/>
        </w:rPr>
        <w:t>:</w:t>
      </w:r>
    </w:p>
    <w:p w14:paraId="61F55C36" w14:textId="77777777" w:rsidR="00B37F05" w:rsidRPr="005312F7" w:rsidRDefault="00B37F05" w:rsidP="00B37F05">
      <w:pPr>
        <w:pStyle w:val="FootnoteText"/>
        <w:ind w:firstLine="0"/>
        <w:rPr>
          <w:lang w:val="sr-Latn-RS"/>
        </w:rPr>
      </w:pPr>
      <w:hyperlink r:id="rId66" w:history="1">
        <w:r w:rsidRPr="004F60BB">
          <w:rPr>
            <w:rStyle w:val="Hyperlink"/>
            <w:lang w:val="sr-Cyrl-RS"/>
          </w:rPr>
          <w:t>https://www.ombudsman.rs/index.php/2012-02-07-14-03-33/7862-r-public-f-ndu-z-p-nzi-s-i-inv-lids-sigur-nj-upuc-n-pr-p-ru</w:t>
        </w:r>
      </w:hyperlink>
      <w:r>
        <w:rPr>
          <w:rStyle w:val="Hyperlink"/>
          <w:lang w:val="sr-Cyrl-RS"/>
        </w:rPr>
        <w:t xml:space="preserve">. </w:t>
      </w:r>
    </w:p>
  </w:footnote>
  <w:footnote w:id="177">
    <w:p w14:paraId="6050A37E" w14:textId="72B75158" w:rsidR="008D0EA7" w:rsidRPr="00DA48A1" w:rsidRDefault="008D0EA7" w:rsidP="008D0EA7">
      <w:pPr>
        <w:pStyle w:val="FootnoteText"/>
        <w:ind w:firstLine="0"/>
        <w:rPr>
          <w:lang w:val="sr-Cyrl-RS"/>
        </w:rPr>
      </w:pPr>
      <w:r w:rsidRPr="00DA48A1">
        <w:rPr>
          <w:rStyle w:val="FootnoteReference"/>
        </w:rPr>
        <w:footnoteRef/>
      </w:r>
      <w:r w:rsidRPr="00DA48A1">
        <w:t xml:space="preserve"> </w:t>
      </w:r>
      <w:r>
        <w:rPr>
          <w:lang w:val="en-US"/>
        </w:rPr>
        <w:t>No. of case</w:t>
      </w:r>
      <w:r w:rsidRPr="00DA48A1">
        <w:rPr>
          <w:lang w:val="sr-Cyrl-RS"/>
        </w:rPr>
        <w:t xml:space="preserve"> 313-650/23. </w:t>
      </w:r>
    </w:p>
  </w:footnote>
  <w:footnote w:id="178">
    <w:p w14:paraId="69087597" w14:textId="27A1C7E4" w:rsidR="008D0EA7" w:rsidRPr="00DA48A1" w:rsidRDefault="008D0EA7" w:rsidP="008D0EA7">
      <w:pPr>
        <w:pStyle w:val="FootnoteText"/>
        <w:ind w:firstLine="0"/>
        <w:rPr>
          <w:lang w:val="sr-Cyrl-RS"/>
        </w:rPr>
      </w:pPr>
      <w:r w:rsidRPr="00DA48A1">
        <w:rPr>
          <w:rStyle w:val="FootnoteReference"/>
        </w:rPr>
        <w:footnoteRef/>
      </w:r>
      <w:r w:rsidRPr="00DA48A1">
        <w:t xml:space="preserve"> </w:t>
      </w:r>
      <w:r>
        <w:rPr>
          <w:lang w:val="en-US"/>
        </w:rPr>
        <w:t>“Official Gazette of RS”, No.</w:t>
      </w:r>
      <w:r w:rsidRPr="00DA48A1">
        <w:rPr>
          <w:lang w:val="sr-Cyrl-RS"/>
        </w:rPr>
        <w:t xml:space="preserve"> 88/17, 27/18- </w:t>
      </w:r>
      <w:r>
        <w:rPr>
          <w:lang w:val="en-US"/>
        </w:rPr>
        <w:t>other law</w:t>
      </w:r>
      <w:r w:rsidRPr="00DA48A1">
        <w:rPr>
          <w:lang w:val="sr-Cyrl-RS"/>
        </w:rPr>
        <w:t>, 10/19, 27/18-</w:t>
      </w:r>
      <w:r>
        <w:rPr>
          <w:lang w:val="en-US"/>
        </w:rPr>
        <w:t>other law</w:t>
      </w:r>
      <w:r w:rsidRPr="00DA48A1">
        <w:rPr>
          <w:lang w:val="sr-Cyrl-RS"/>
        </w:rPr>
        <w:t xml:space="preserve">, 6/20 </w:t>
      </w:r>
      <w:r>
        <w:rPr>
          <w:lang w:val="en-US"/>
        </w:rPr>
        <w:t>and</w:t>
      </w:r>
      <w:r w:rsidRPr="00DA48A1">
        <w:rPr>
          <w:lang w:val="sr-Cyrl-RS"/>
        </w:rPr>
        <w:t xml:space="preserve"> 129/21.</w:t>
      </w:r>
    </w:p>
  </w:footnote>
  <w:footnote w:id="179">
    <w:p w14:paraId="54ADDBA3" w14:textId="2E46DD7B" w:rsidR="008D0EA7" w:rsidRPr="00DA48A1" w:rsidRDefault="008D0EA7" w:rsidP="008D0EA7">
      <w:pPr>
        <w:pStyle w:val="FootnoteText"/>
        <w:ind w:firstLine="0"/>
        <w:rPr>
          <w:lang w:val="sr-Cyrl-RS"/>
        </w:rPr>
      </w:pPr>
      <w:r w:rsidRPr="00DA48A1">
        <w:rPr>
          <w:vertAlign w:val="superscript"/>
          <w:lang w:val="sr-Cyrl-RS"/>
        </w:rPr>
        <w:footnoteRef/>
      </w:r>
      <w:r w:rsidRPr="00DA48A1">
        <w:rPr>
          <w:lang w:val="sr-Cyrl-RS"/>
        </w:rPr>
        <w:t xml:space="preserve"> </w:t>
      </w:r>
      <w:r>
        <w:rPr>
          <w:lang w:val="en-US"/>
        </w:rPr>
        <w:t>No. of case</w:t>
      </w:r>
      <w:r w:rsidRPr="00DA48A1">
        <w:rPr>
          <w:lang w:val="sr-Cyrl-RS"/>
        </w:rPr>
        <w:t xml:space="preserve"> 313-530/22. </w:t>
      </w:r>
    </w:p>
  </w:footnote>
  <w:footnote w:id="180">
    <w:p w14:paraId="1CDF8013" w14:textId="77777777" w:rsidR="00B37F05" w:rsidRPr="00FD4E69" w:rsidRDefault="00B37F05" w:rsidP="00B37F05">
      <w:pPr>
        <w:pStyle w:val="FootnoteText"/>
        <w:ind w:firstLine="0"/>
        <w:rPr>
          <w:lang w:val="sr-Cyrl-RS"/>
        </w:rPr>
      </w:pPr>
      <w:r w:rsidRPr="00DA48A1">
        <w:rPr>
          <w:rStyle w:val="FootnoteReference"/>
        </w:rPr>
        <w:footnoteRef/>
      </w:r>
      <w:r w:rsidRPr="00DA48A1">
        <w:t xml:space="preserve"> </w:t>
      </w:r>
      <w:r>
        <w:rPr>
          <w:lang w:val="en-US"/>
        </w:rPr>
        <w:t>No. of case</w:t>
      </w:r>
      <w:r w:rsidRPr="00DA48A1">
        <w:rPr>
          <w:lang w:val="sr-Cyrl-RS"/>
        </w:rPr>
        <w:t xml:space="preserve"> 313-1837/22. </w:t>
      </w:r>
    </w:p>
  </w:footnote>
  <w:footnote w:id="181">
    <w:p w14:paraId="4541276D" w14:textId="77777777" w:rsidR="00B37F05" w:rsidRPr="00FD4E69" w:rsidRDefault="00B37F05" w:rsidP="00B37F05">
      <w:pPr>
        <w:pStyle w:val="FootnoteText"/>
        <w:ind w:firstLine="0"/>
        <w:rPr>
          <w:lang w:val="sr-Cyrl-RS"/>
        </w:rPr>
      </w:pPr>
      <w:r w:rsidRPr="00FD4E69">
        <w:rPr>
          <w:rStyle w:val="FootnoteReference"/>
        </w:rPr>
        <w:footnoteRef/>
      </w:r>
      <w:r w:rsidRPr="00FD4E69">
        <w:t xml:space="preserve"> </w:t>
      </w:r>
      <w:r>
        <w:rPr>
          <w:lang w:val="en-US"/>
        </w:rPr>
        <w:t>Available at</w:t>
      </w:r>
      <w:r w:rsidRPr="00FD4E69">
        <w:rPr>
          <w:lang w:val="sr-Cyrl-RS"/>
        </w:rPr>
        <w:t>:</w:t>
      </w:r>
      <w:r w:rsidRPr="00FD4E69">
        <w:t xml:space="preserve"> </w:t>
      </w:r>
      <w:hyperlink r:id="rId67" w:history="1">
        <w:r w:rsidRPr="00FD4E69">
          <w:rPr>
            <w:rStyle w:val="Hyperlink"/>
          </w:rPr>
          <w:t>https://www.ombudsman.rs/index.php/2012-02-07-14-03-33/7792-uzic-sh-l-sub-ic-d-p-s-upi-p-pr-sudi-upr-vn-g-sud</w:t>
        </w:r>
      </w:hyperlink>
      <w:r>
        <w:rPr>
          <w:rStyle w:val="Hyperlink"/>
          <w:lang w:val="sr-Cyrl-RS"/>
        </w:rPr>
        <w:t xml:space="preserve">. </w:t>
      </w:r>
      <w:r w:rsidRPr="00FD4E69">
        <w:rPr>
          <w:rStyle w:val="Hyperlink"/>
          <w:lang w:val="sr-Cyrl-RS"/>
        </w:rPr>
        <w:t xml:space="preserve"> </w:t>
      </w:r>
    </w:p>
  </w:footnote>
  <w:footnote w:id="182">
    <w:p w14:paraId="6F926839" w14:textId="6B5BB6E5" w:rsidR="00B37F05" w:rsidRPr="00FD4E69" w:rsidRDefault="00B37F05" w:rsidP="00B37F05">
      <w:pPr>
        <w:pStyle w:val="FootnoteText"/>
        <w:ind w:firstLine="0"/>
        <w:rPr>
          <w:lang w:val="sr-Cyrl-RS"/>
        </w:rPr>
      </w:pPr>
      <w:r w:rsidRPr="00FD4E69">
        <w:rPr>
          <w:rStyle w:val="FootnoteReference"/>
        </w:rPr>
        <w:footnoteRef/>
      </w:r>
      <w:r w:rsidRPr="00FD4E69">
        <w:t xml:space="preserve"> </w:t>
      </w:r>
      <w:r w:rsidR="00BA297C">
        <w:rPr>
          <w:lang w:val="en-US"/>
        </w:rPr>
        <w:t>“Official Gazette of RS”</w:t>
      </w:r>
      <w:r w:rsidR="006E7376">
        <w:rPr>
          <w:lang w:val="en-US"/>
        </w:rPr>
        <w:t>, No</w:t>
      </w:r>
      <w:r>
        <w:rPr>
          <w:lang w:val="en-US"/>
        </w:rPr>
        <w:t>.</w:t>
      </w:r>
      <w:r w:rsidRPr="00FD4E69">
        <w:rPr>
          <w:lang w:val="sr-Cyrl-RS"/>
        </w:rPr>
        <w:t xml:space="preserve"> 21/15, 92/20</w:t>
      </w:r>
      <w:r w:rsidRPr="00FD4E69">
        <w:t xml:space="preserve"> </w:t>
      </w:r>
      <w:r>
        <w:rPr>
          <w:lang w:val="en-US"/>
        </w:rPr>
        <w:t>and</w:t>
      </w:r>
      <w:r w:rsidRPr="00FD4E69">
        <w:rPr>
          <w:lang w:val="sr-Cyrl-RS"/>
        </w:rPr>
        <w:t xml:space="preserve"> 123/22. </w:t>
      </w:r>
    </w:p>
  </w:footnote>
  <w:footnote w:id="183">
    <w:p w14:paraId="5EB53490" w14:textId="0EF6F54B" w:rsidR="00B37F05" w:rsidRPr="0090345E" w:rsidRDefault="00B37F05" w:rsidP="00B37F05">
      <w:pPr>
        <w:pStyle w:val="FootnoteText"/>
        <w:ind w:firstLine="0"/>
        <w:rPr>
          <w:lang w:val="sr-Cyrl-RS"/>
        </w:rPr>
      </w:pPr>
      <w:r w:rsidRPr="0023391D">
        <w:rPr>
          <w:rStyle w:val="FootnoteReference"/>
        </w:rPr>
        <w:footnoteRef/>
      </w:r>
      <w:r w:rsidRPr="0023391D">
        <w:t xml:space="preserve"> </w:t>
      </w:r>
      <w:r>
        <w:rPr>
          <w:lang w:val="en-US"/>
        </w:rPr>
        <w:t>No</w:t>
      </w:r>
      <w:r w:rsidR="006E7376">
        <w:rPr>
          <w:lang w:val="en-US"/>
        </w:rPr>
        <w:t>.</w:t>
      </w:r>
      <w:r>
        <w:rPr>
          <w:lang w:val="en-US"/>
        </w:rPr>
        <w:t xml:space="preserve"> of case</w:t>
      </w:r>
      <w:r w:rsidRPr="0023391D">
        <w:rPr>
          <w:lang w:val="sr-Cyrl-RS"/>
        </w:rPr>
        <w:t xml:space="preserve"> </w:t>
      </w:r>
      <w:r w:rsidRPr="0023391D">
        <w:t>316-1615/23</w:t>
      </w:r>
      <w:r w:rsidRPr="0023391D">
        <w:rPr>
          <w:lang w:val="sr-Cyrl-RS"/>
        </w:rPr>
        <w:t>.</w:t>
      </w:r>
    </w:p>
  </w:footnote>
  <w:footnote w:id="184">
    <w:p w14:paraId="68AE5AD7" w14:textId="5F222B17" w:rsidR="00B37F05" w:rsidRPr="00FE4934" w:rsidRDefault="00B37F05" w:rsidP="00B37F05">
      <w:pPr>
        <w:pStyle w:val="FootnoteText"/>
        <w:ind w:firstLine="0"/>
        <w:rPr>
          <w:lang w:val="sr-Cyrl-RS"/>
        </w:rPr>
      </w:pPr>
      <w:r w:rsidRPr="00FE4934">
        <w:rPr>
          <w:rStyle w:val="FootnoteReference"/>
          <w:lang w:val="sr-Cyrl-RS"/>
        </w:rPr>
        <w:footnoteRef/>
      </w:r>
      <w:r w:rsidRPr="00FE4934">
        <w:rPr>
          <w:lang w:val="sr-Cyrl-RS"/>
        </w:rPr>
        <w:t xml:space="preserve"> </w:t>
      </w:r>
      <w:r w:rsidR="00BA297C">
        <w:rPr>
          <w:lang w:val="en-US"/>
        </w:rPr>
        <w:t>“Official Gazette of RS”</w:t>
      </w:r>
      <w:r w:rsidR="006E7376">
        <w:rPr>
          <w:lang w:val="en-US"/>
        </w:rPr>
        <w:t>, No</w:t>
      </w:r>
      <w:r>
        <w:rPr>
          <w:lang w:val="en-US"/>
        </w:rPr>
        <w:t>.</w:t>
      </w:r>
      <w:r>
        <w:rPr>
          <w:lang w:val="sr-Cyrl-RS"/>
        </w:rPr>
        <w:t xml:space="preserve"> 96/15, 83/</w:t>
      </w:r>
      <w:r w:rsidRPr="00FE4934">
        <w:rPr>
          <w:lang w:val="sr-Cyrl-RS"/>
        </w:rPr>
        <w:t xml:space="preserve">18, 81/20 </w:t>
      </w:r>
      <w:r>
        <w:rPr>
          <w:lang w:val="sr-Cyrl-RS"/>
        </w:rPr>
        <w:t>–</w:t>
      </w:r>
      <w:r w:rsidRPr="00FE4934">
        <w:rPr>
          <w:lang w:val="sr-Cyrl-RS"/>
        </w:rPr>
        <w:t xml:space="preserve"> </w:t>
      </w:r>
      <w:r>
        <w:rPr>
          <w:lang w:val="en-US"/>
        </w:rPr>
        <w:t>decision of CC</w:t>
      </w:r>
      <w:r w:rsidRPr="00FE4934">
        <w:rPr>
          <w:lang w:val="sr-Cyrl-RS"/>
        </w:rPr>
        <w:t xml:space="preserve">, 1/23 </w:t>
      </w:r>
      <w:r>
        <w:rPr>
          <w:lang w:val="sr-Cyrl-RS"/>
        </w:rPr>
        <w:t>–</w:t>
      </w:r>
      <w:r w:rsidRPr="00FE4934">
        <w:rPr>
          <w:lang w:val="sr-Cyrl-RS"/>
        </w:rPr>
        <w:t xml:space="preserve"> </w:t>
      </w:r>
      <w:r>
        <w:rPr>
          <w:lang w:val="en-US"/>
        </w:rPr>
        <w:t>decision of CC,</w:t>
      </w:r>
      <w:r w:rsidRPr="00FE4934">
        <w:rPr>
          <w:lang w:val="sr-Cyrl-RS"/>
        </w:rPr>
        <w:t xml:space="preserve"> 62/23.</w:t>
      </w:r>
    </w:p>
  </w:footnote>
  <w:footnote w:id="185">
    <w:p w14:paraId="03DFE4D8" w14:textId="77777777" w:rsidR="00B37F05" w:rsidRPr="008E3EE7" w:rsidRDefault="00B37F05" w:rsidP="00B37F05">
      <w:pPr>
        <w:pStyle w:val="FootnoteText"/>
        <w:ind w:firstLine="0"/>
        <w:rPr>
          <w:lang w:val="sr-Cyrl-RS"/>
        </w:rPr>
      </w:pPr>
      <w:r w:rsidRPr="008E3EE7">
        <w:rPr>
          <w:rStyle w:val="FootnoteReference"/>
        </w:rPr>
        <w:footnoteRef/>
      </w:r>
      <w:r w:rsidRPr="008E3EE7">
        <w:t xml:space="preserve"> </w:t>
      </w:r>
      <w:r>
        <w:rPr>
          <w:lang w:val="en-US"/>
        </w:rPr>
        <w:t>No. of case</w:t>
      </w:r>
      <w:r w:rsidRPr="003C3A64">
        <w:rPr>
          <w:lang w:val="sr-Cyrl-RS"/>
        </w:rPr>
        <w:t xml:space="preserve"> 4212-398/20. </w:t>
      </w:r>
      <w:r w:rsidRPr="008E3EE7">
        <w:rPr>
          <w:lang w:val="sr-Cyrl-RS"/>
        </w:rPr>
        <w:t xml:space="preserve"> </w:t>
      </w:r>
    </w:p>
  </w:footnote>
  <w:footnote w:id="186">
    <w:p w14:paraId="04EC8950" w14:textId="0DF9005C" w:rsidR="008D0EA7" w:rsidRPr="00FE4934" w:rsidRDefault="008D0EA7" w:rsidP="008D0EA7">
      <w:pPr>
        <w:pStyle w:val="FootnoteText"/>
        <w:ind w:firstLine="0"/>
        <w:rPr>
          <w:lang w:val="sr-Cyrl-RS"/>
        </w:rPr>
      </w:pPr>
      <w:r w:rsidRPr="00FE4934">
        <w:rPr>
          <w:rStyle w:val="FootnoteReference"/>
          <w:lang w:val="sr-Cyrl-RS"/>
        </w:rPr>
        <w:footnoteRef/>
      </w:r>
      <w:r w:rsidRPr="00FE4934">
        <w:rPr>
          <w:lang w:val="sr-Cyrl-RS"/>
        </w:rPr>
        <w:t xml:space="preserve"> </w:t>
      </w:r>
      <w:r>
        <w:rPr>
          <w:lang w:val="en-US"/>
        </w:rPr>
        <w:t>Available at</w:t>
      </w:r>
      <w:r w:rsidRPr="00FE4934">
        <w:rPr>
          <w:lang w:val="sr-Cyrl-RS"/>
        </w:rPr>
        <w:t xml:space="preserve">: </w:t>
      </w:r>
      <w:hyperlink r:id="rId68" w:history="1">
        <w:r w:rsidRPr="00FE4934">
          <w:rPr>
            <w:rStyle w:val="Hyperlink"/>
            <w:lang w:val="sr-Cyrl-RS"/>
          </w:rPr>
          <w:t>https://www.ombudsman.rs/index.php/2011-12-25-10-17-15/2011-12-26-10-05-05/7745-n-r-l-z-sh-i-ni-gr-d-n-p-v-d-n-p-d-l-l-ni-n-p-r-dicu-d-n-v-crnj</w:t>
        </w:r>
      </w:hyperlink>
      <w:r w:rsidRPr="00FE4934">
        <w:rPr>
          <w:rStyle w:val="Hyperlink"/>
          <w:lang w:val="sr-Cyrl-RS"/>
        </w:rPr>
        <w:t>.</w:t>
      </w:r>
      <w:r w:rsidRPr="00FE4934">
        <w:rPr>
          <w:lang w:val="sr-Cyrl-RS"/>
        </w:rPr>
        <w:t xml:space="preserve"> </w:t>
      </w:r>
    </w:p>
  </w:footnote>
  <w:footnote w:id="187">
    <w:p w14:paraId="3F5AD3D0" w14:textId="77777777" w:rsidR="00B37F05" w:rsidRPr="00FE4934" w:rsidRDefault="00B37F05" w:rsidP="00B37F05">
      <w:pPr>
        <w:pStyle w:val="FootnoteText"/>
        <w:ind w:firstLine="0"/>
        <w:rPr>
          <w:lang w:val="sr-Cyrl-RS"/>
        </w:rPr>
      </w:pPr>
      <w:r w:rsidRPr="00FE4934">
        <w:rPr>
          <w:rStyle w:val="FootnoteReference"/>
          <w:lang w:val="sr-Cyrl-RS"/>
        </w:rPr>
        <w:footnoteRef/>
      </w:r>
      <w:r w:rsidRPr="00FE4934">
        <w:rPr>
          <w:lang w:val="sr-Cyrl-RS"/>
        </w:rPr>
        <w:t xml:space="preserve"> </w:t>
      </w:r>
      <w:r>
        <w:rPr>
          <w:lang w:val="en-US"/>
        </w:rPr>
        <w:t>Available at</w:t>
      </w:r>
      <w:r w:rsidRPr="00FE4934">
        <w:rPr>
          <w:lang w:val="sr-Cyrl-RS"/>
        </w:rPr>
        <w:t xml:space="preserve">: </w:t>
      </w:r>
      <w:hyperlink r:id="rId69" w:history="1">
        <w:r w:rsidRPr="00FE4934">
          <w:rPr>
            <w:rStyle w:val="Hyperlink"/>
            <w:lang w:val="sr-Cyrl-RS"/>
          </w:rPr>
          <w:t>https://www.ombudsman.rs/index.php/2012-02-07-14-03-33/7795-n-s-ruc-n-i-n-s-v-s-n-r-d-z-p-sl-nih-u-csr-n-v-crnj-pr-h-di-n-sr-ci-s-d-g-dil-u-r-d-vu</w:t>
        </w:r>
      </w:hyperlink>
      <w:r w:rsidRPr="00FE4934">
        <w:rPr>
          <w:rStyle w:val="Hyperlink"/>
          <w:lang w:val="sr-Cyrl-RS"/>
        </w:rPr>
        <w:t xml:space="preserve">. </w:t>
      </w:r>
      <w:r w:rsidRPr="00FE4934">
        <w:rPr>
          <w:lang w:val="sr-Cyrl-RS"/>
        </w:rPr>
        <w:t xml:space="preserve"> </w:t>
      </w:r>
    </w:p>
  </w:footnote>
  <w:footnote w:id="188">
    <w:p w14:paraId="654FA381" w14:textId="4D028648" w:rsidR="008D0EA7" w:rsidRPr="00CD3F30" w:rsidRDefault="008D0EA7" w:rsidP="008D0EA7">
      <w:pPr>
        <w:pStyle w:val="FootnoteText"/>
        <w:ind w:firstLine="0"/>
        <w:rPr>
          <w:lang w:val="sr-Cyrl-RS"/>
        </w:rPr>
      </w:pPr>
      <w:r w:rsidRPr="00CD3F30">
        <w:rPr>
          <w:rStyle w:val="FootnoteReference"/>
          <w:lang w:val="sr-Cyrl-RS"/>
        </w:rPr>
        <w:footnoteRef/>
      </w:r>
      <w:r w:rsidRPr="00CD3F30">
        <w:rPr>
          <w:lang w:val="sr-Cyrl-RS"/>
        </w:rPr>
        <w:t xml:space="preserve"> </w:t>
      </w:r>
      <w:r>
        <w:rPr>
          <w:lang w:val="en-US"/>
        </w:rPr>
        <w:t>Available at</w:t>
      </w:r>
      <w:r w:rsidRPr="00CD3F30">
        <w:rPr>
          <w:lang w:val="sr-Cyrl-RS"/>
        </w:rPr>
        <w:t>:</w:t>
      </w:r>
      <w:hyperlink r:id="rId70" w:history="1">
        <w:r w:rsidRPr="00CD3F30">
          <w:rPr>
            <w:rStyle w:val="Hyperlink"/>
            <w:lang w:val="sr-Cyrl-RS"/>
          </w:rPr>
          <w:t>https://www.ombudsman.rs/index.php/2011-12-25-10-17-15/2011-12-26-10-05-05/7818-z-sh-i-ni-gr-d-n-n-r-lish-r-d-csr-n-vi-b-c-n-n-r-g-di</w:t>
        </w:r>
      </w:hyperlink>
      <w:r w:rsidRPr="00CD3F30">
        <w:rPr>
          <w:rStyle w:val="Hyperlink"/>
          <w:lang w:val="sr-Cyrl-RS"/>
        </w:rPr>
        <w:t>.</w:t>
      </w:r>
      <w:r w:rsidRPr="00CD3F30">
        <w:rPr>
          <w:lang w:val="sr-Cyrl-RS"/>
        </w:rPr>
        <w:t xml:space="preserve">  </w:t>
      </w:r>
    </w:p>
  </w:footnote>
  <w:footnote w:id="189">
    <w:p w14:paraId="0475F2FB" w14:textId="5E688A4B" w:rsidR="008D0EA7" w:rsidRPr="00CD3F30" w:rsidRDefault="008D0EA7" w:rsidP="008D0EA7">
      <w:pPr>
        <w:pStyle w:val="FootnoteText"/>
        <w:ind w:firstLine="0"/>
        <w:rPr>
          <w:lang w:val="sr-Cyrl-RS"/>
        </w:rPr>
      </w:pPr>
      <w:r w:rsidRPr="00CD3F30">
        <w:rPr>
          <w:rStyle w:val="FootnoteReference"/>
          <w:lang w:val="sr-Cyrl-RS"/>
        </w:rPr>
        <w:footnoteRef/>
      </w:r>
      <w:r w:rsidRPr="00CD3F30">
        <w:rPr>
          <w:lang w:val="sr-Cyrl-RS"/>
        </w:rPr>
        <w:t xml:space="preserve"> </w:t>
      </w:r>
      <w:r w:rsidR="00A02F87">
        <w:rPr>
          <w:lang w:val="en-US"/>
        </w:rPr>
        <w:t>Available at</w:t>
      </w:r>
      <w:r w:rsidRPr="00CD3F30">
        <w:rPr>
          <w:lang w:val="sr-Cyrl-RS"/>
        </w:rPr>
        <w:t xml:space="preserve">: </w:t>
      </w:r>
      <w:hyperlink r:id="rId71" w:history="1">
        <w:r w:rsidRPr="00CD3F30">
          <w:rPr>
            <w:rStyle w:val="Hyperlink1"/>
            <w:lang w:val="sr-Cyrl-RS"/>
          </w:rPr>
          <w:t>https://www.ombudsman.rs/index.php/2011-12-25-10-17-15/2011-12-26-10-05-05/7845-z-sh-i-ni-gr-d-n-riv-z-s-r-d-c-u-n-v-b-c-u</w:t>
        </w:r>
      </w:hyperlink>
      <w:r w:rsidRPr="00CD3F30">
        <w:rPr>
          <w:rStyle w:val="Hyperlink1"/>
          <w:lang w:val="sr-Cyrl-RS"/>
        </w:rPr>
        <w:t>.</w:t>
      </w:r>
      <w:r w:rsidRPr="00CD3F30">
        <w:rPr>
          <w:lang w:val="sr-Cyrl-RS"/>
        </w:rPr>
        <w:t xml:space="preserve"> </w:t>
      </w:r>
    </w:p>
  </w:footnote>
  <w:footnote w:id="190">
    <w:p w14:paraId="2353B06F" w14:textId="67A4F436" w:rsidR="008D0EA7" w:rsidRPr="00CD3F30" w:rsidRDefault="008D0EA7" w:rsidP="008D0EA7">
      <w:pPr>
        <w:pStyle w:val="FootnoteText"/>
        <w:ind w:firstLine="0"/>
        <w:rPr>
          <w:lang w:val="sr-Cyrl-RS"/>
        </w:rPr>
      </w:pPr>
      <w:r w:rsidRPr="00CD3F30">
        <w:rPr>
          <w:rStyle w:val="FootnoteReference"/>
          <w:lang w:val="sr-Cyrl-RS"/>
        </w:rPr>
        <w:footnoteRef/>
      </w:r>
      <w:r w:rsidRPr="00CD3F30">
        <w:rPr>
          <w:lang w:val="sr-Cyrl-RS"/>
        </w:rPr>
        <w:t xml:space="preserve"> </w:t>
      </w:r>
      <w:r w:rsidR="00A02F87">
        <w:rPr>
          <w:lang w:val="en-US"/>
        </w:rPr>
        <w:t>“Official Gazette of RS”, No.</w:t>
      </w:r>
      <w:r w:rsidRPr="00CD3F30">
        <w:rPr>
          <w:lang w:val="sr-Cyrl-RS"/>
        </w:rPr>
        <w:t xml:space="preserve"> 24/11 </w:t>
      </w:r>
      <w:r w:rsidR="00A02F87">
        <w:rPr>
          <w:lang w:val="en-US"/>
        </w:rPr>
        <w:t>and</w:t>
      </w:r>
      <w:r w:rsidRPr="00CD3F30">
        <w:rPr>
          <w:lang w:val="sr-Cyrl-RS"/>
        </w:rPr>
        <w:t xml:space="preserve"> 117/22 </w:t>
      </w:r>
      <w:r w:rsidR="00A02F87">
        <w:rPr>
          <w:lang w:val="sr-Cyrl-RS"/>
        </w:rPr>
        <w:t>–</w:t>
      </w:r>
      <w:r w:rsidRPr="00CD3F30">
        <w:rPr>
          <w:lang w:val="sr-Cyrl-RS"/>
        </w:rPr>
        <w:t xml:space="preserve"> </w:t>
      </w:r>
      <w:r w:rsidR="00A02F87">
        <w:rPr>
          <w:lang w:val="en-US"/>
        </w:rPr>
        <w:t>CC Decision</w:t>
      </w:r>
      <w:r w:rsidRPr="00CD3F30">
        <w:rPr>
          <w:lang w:val="sr-Cyrl-RS"/>
        </w:rPr>
        <w:t>.</w:t>
      </w:r>
    </w:p>
  </w:footnote>
  <w:footnote w:id="191">
    <w:p w14:paraId="3AF4A857" w14:textId="77777777" w:rsidR="00B37F05" w:rsidRPr="00CD3F30" w:rsidRDefault="00B37F05" w:rsidP="00B37F05">
      <w:pPr>
        <w:pStyle w:val="FootnoteText"/>
        <w:ind w:firstLine="0"/>
        <w:rPr>
          <w:lang w:val="sr-Cyrl-RS"/>
        </w:rPr>
      </w:pPr>
      <w:r w:rsidRPr="00CD3F30">
        <w:rPr>
          <w:rStyle w:val="FootnoteReference"/>
          <w:lang w:val="sr-Cyrl-RS"/>
        </w:rPr>
        <w:footnoteRef/>
      </w:r>
      <w:r w:rsidRPr="00CD3F30">
        <w:rPr>
          <w:lang w:val="sr-Cyrl-RS"/>
        </w:rPr>
        <w:t xml:space="preserve"> </w:t>
      </w:r>
      <w:r>
        <w:rPr>
          <w:lang w:val="sr-Latn-RS"/>
        </w:rPr>
        <w:t>Available at</w:t>
      </w:r>
      <w:r w:rsidRPr="00CD3F30">
        <w:rPr>
          <w:lang w:val="sr-Cyrl-RS"/>
        </w:rPr>
        <w:t xml:space="preserve">: </w:t>
      </w:r>
      <w:hyperlink r:id="rId72" w:history="1">
        <w:r w:rsidRPr="00CD3F30">
          <w:rPr>
            <w:rStyle w:val="Hyperlink"/>
            <w:lang w:val="sr-Cyrl-RS"/>
          </w:rPr>
          <w:t>https://www.ombudsman.rs/index.php/2011-12-25-10-17-15/2011-12-26-10-05-05/7839-p-sh-lic-d-n-n-n-p-r-nu-g-ispi-n-g-p-s-up-u-vrdili-s-d-d-v-cic-h-spi-liz-v-n-u-irsh-v-ni-nj-ni-siblinzi-n-u-licn-i-ni-i-bg</w:t>
        </w:r>
      </w:hyperlink>
      <w:r w:rsidRPr="00CD3F30">
        <w:rPr>
          <w:rStyle w:val="Hyperlink"/>
          <w:lang w:val="sr-Cyrl-RS"/>
        </w:rPr>
        <w:t xml:space="preserve">. </w:t>
      </w:r>
      <w:r w:rsidRPr="00CD3F30">
        <w:rPr>
          <w:lang w:val="sr-Cyrl-RS"/>
        </w:rPr>
        <w:t xml:space="preserve"> </w:t>
      </w:r>
    </w:p>
  </w:footnote>
  <w:footnote w:id="192">
    <w:p w14:paraId="56EAF842" w14:textId="05FAD590" w:rsidR="00B37F05" w:rsidRPr="00CD3F30" w:rsidRDefault="00B37F05" w:rsidP="00B37F05">
      <w:pPr>
        <w:pStyle w:val="FootnoteText"/>
        <w:ind w:firstLine="0"/>
        <w:rPr>
          <w:lang w:val="sr-Cyrl-RS"/>
        </w:rPr>
      </w:pPr>
      <w:r w:rsidRPr="00CD3F30">
        <w:rPr>
          <w:rStyle w:val="FootnoteReference"/>
          <w:lang w:val="sr-Cyrl-RS"/>
        </w:rPr>
        <w:footnoteRef/>
      </w:r>
      <w:r w:rsidRPr="00CD3F30">
        <w:rPr>
          <w:lang w:val="sr-Cyrl-RS"/>
        </w:rPr>
        <w:t xml:space="preserve"> </w:t>
      </w:r>
      <w:r w:rsidR="00BA297C">
        <w:rPr>
          <w:lang w:val="en-US"/>
        </w:rPr>
        <w:t>“Official Gazette of RS”</w:t>
      </w:r>
      <w:r w:rsidR="006E7376">
        <w:rPr>
          <w:lang w:val="en-US"/>
        </w:rPr>
        <w:t>, No</w:t>
      </w:r>
      <w:r>
        <w:rPr>
          <w:lang w:val="en-US"/>
        </w:rPr>
        <w:t>.</w:t>
      </w:r>
      <w:r w:rsidRPr="00CD3F30">
        <w:rPr>
          <w:lang w:val="sr-Cyrl-RS"/>
        </w:rPr>
        <w:t xml:space="preserve"> 18/05, 72/11 </w:t>
      </w:r>
      <w:r>
        <w:rPr>
          <w:lang w:val="sr-Cyrl-RS"/>
        </w:rPr>
        <w:t>–</w:t>
      </w:r>
      <w:r w:rsidRPr="00CD3F30">
        <w:rPr>
          <w:lang w:val="sr-Cyrl-RS"/>
        </w:rPr>
        <w:t xml:space="preserve"> </w:t>
      </w:r>
      <w:r>
        <w:rPr>
          <w:lang w:val="en-US"/>
        </w:rPr>
        <w:t>other law and</w:t>
      </w:r>
      <w:r w:rsidRPr="00CD3F30">
        <w:rPr>
          <w:lang w:val="sr-Cyrl-RS"/>
        </w:rPr>
        <w:t xml:space="preserve"> 6/15. </w:t>
      </w:r>
    </w:p>
  </w:footnote>
  <w:footnote w:id="193">
    <w:p w14:paraId="0F42CFF9" w14:textId="7D65AC04" w:rsidR="00B37F05" w:rsidRPr="00CD3F30" w:rsidRDefault="00B37F05" w:rsidP="00B37F05">
      <w:pPr>
        <w:pStyle w:val="FootnoteText"/>
        <w:ind w:firstLine="0"/>
        <w:rPr>
          <w:lang w:val="sr-Cyrl-RS"/>
        </w:rPr>
      </w:pPr>
      <w:r w:rsidRPr="00CD3F30">
        <w:rPr>
          <w:rStyle w:val="FootnoteReference"/>
          <w:lang w:val="sr-Cyrl-RS"/>
        </w:rPr>
        <w:footnoteRef/>
      </w:r>
      <w:r w:rsidRPr="00CD3F30">
        <w:rPr>
          <w:lang w:val="sr-Cyrl-RS"/>
        </w:rPr>
        <w:t xml:space="preserve"> </w:t>
      </w:r>
      <w:r w:rsidR="00BA297C">
        <w:rPr>
          <w:lang w:val="en-US"/>
        </w:rPr>
        <w:t>“Official Gazette of RS”</w:t>
      </w:r>
      <w:r w:rsidR="006E7376">
        <w:rPr>
          <w:lang w:val="en-US"/>
        </w:rPr>
        <w:t>, No</w:t>
      </w:r>
      <w:r>
        <w:rPr>
          <w:lang w:val="en-US"/>
        </w:rPr>
        <w:t>.</w:t>
      </w:r>
      <w:r w:rsidRPr="00CD3F30">
        <w:rPr>
          <w:lang w:val="sr-Cyrl-RS"/>
        </w:rPr>
        <w:t xml:space="preserve"> 20/09, 145/14 </w:t>
      </w:r>
      <w:r>
        <w:rPr>
          <w:lang w:val="en-US"/>
        </w:rPr>
        <w:t>and</w:t>
      </w:r>
      <w:r w:rsidRPr="00CD3F30">
        <w:rPr>
          <w:lang w:val="sr-Cyrl-RS"/>
        </w:rPr>
        <w:t xml:space="preserve"> 47/18.  </w:t>
      </w:r>
    </w:p>
  </w:footnote>
  <w:footnote w:id="194">
    <w:p w14:paraId="11314EB0" w14:textId="77777777" w:rsidR="00B37F05" w:rsidRPr="00CD3F30" w:rsidRDefault="00B37F05" w:rsidP="00B37F05">
      <w:pPr>
        <w:pStyle w:val="FootnoteText"/>
        <w:ind w:firstLine="0"/>
        <w:rPr>
          <w:lang w:val="sr-Cyrl-RS"/>
        </w:rPr>
      </w:pPr>
      <w:r w:rsidRPr="00CD3F30">
        <w:rPr>
          <w:rStyle w:val="FootnoteReference"/>
          <w:lang w:val="sr-Cyrl-RS"/>
        </w:rPr>
        <w:footnoteRef/>
      </w:r>
      <w:r w:rsidRPr="00CD3F30">
        <w:rPr>
          <w:lang w:val="sr-Cyrl-RS"/>
        </w:rPr>
        <w:t xml:space="preserve"> </w:t>
      </w:r>
      <w:r>
        <w:rPr>
          <w:lang w:val="en-US"/>
        </w:rPr>
        <w:t>No. of case</w:t>
      </w:r>
      <w:r>
        <w:rPr>
          <w:lang w:val="sr-Cyrl-RS"/>
        </w:rPr>
        <w:t xml:space="preserve"> </w:t>
      </w:r>
      <w:r>
        <w:rPr>
          <w:lang w:val="en-US"/>
        </w:rPr>
        <w:t xml:space="preserve">422-216/23. </w:t>
      </w:r>
    </w:p>
  </w:footnote>
  <w:footnote w:id="195">
    <w:p w14:paraId="2BA47780" w14:textId="0569E857" w:rsidR="00B37F05" w:rsidRPr="00CD3F30" w:rsidRDefault="00B37F05" w:rsidP="00B37F05">
      <w:pPr>
        <w:pStyle w:val="FootnoteText"/>
        <w:ind w:firstLine="0"/>
        <w:rPr>
          <w:lang w:val="sr-Cyrl-RS"/>
        </w:rPr>
      </w:pPr>
      <w:r w:rsidRPr="00CD3F30">
        <w:rPr>
          <w:rStyle w:val="FootnoteReference"/>
          <w:lang w:val="sr-Cyrl-RS"/>
        </w:rPr>
        <w:footnoteRef/>
      </w:r>
      <w:r>
        <w:rPr>
          <w:lang w:val="en-US"/>
        </w:rPr>
        <w:t xml:space="preserve"> </w:t>
      </w:r>
      <w:r w:rsidR="00BA297C">
        <w:rPr>
          <w:lang w:val="en-US"/>
        </w:rPr>
        <w:t>“Official Gazette of RS”</w:t>
      </w:r>
      <w:r>
        <w:rPr>
          <w:lang w:val="en-US"/>
        </w:rPr>
        <w:t>, No.</w:t>
      </w:r>
      <w:r w:rsidRPr="00CD3F30">
        <w:rPr>
          <w:lang w:val="sr-Cyrl-RS"/>
        </w:rPr>
        <w:t xml:space="preserve">87/19. </w:t>
      </w:r>
    </w:p>
  </w:footnote>
  <w:footnote w:id="196">
    <w:p w14:paraId="5F8940DD" w14:textId="288EE37B" w:rsidR="00B37F05" w:rsidRPr="0092579C" w:rsidRDefault="00B37F05" w:rsidP="00B37F05">
      <w:pPr>
        <w:pStyle w:val="FootnoteText"/>
        <w:ind w:firstLine="0"/>
        <w:rPr>
          <w:lang w:val="sr-Cyrl-RS"/>
        </w:rPr>
      </w:pPr>
      <w:r w:rsidRPr="00CD3F30">
        <w:rPr>
          <w:rStyle w:val="FootnoteReference"/>
          <w:lang w:val="sr-Cyrl-RS"/>
        </w:rPr>
        <w:footnoteRef/>
      </w:r>
      <w:r w:rsidRPr="00CD3F30">
        <w:rPr>
          <w:lang w:val="sr-Cyrl-RS"/>
        </w:rPr>
        <w:t xml:space="preserve"> </w:t>
      </w:r>
      <w:r w:rsidR="00BA297C">
        <w:rPr>
          <w:lang w:val="en-US"/>
        </w:rPr>
        <w:t>“Official Gazette of RS”</w:t>
      </w:r>
      <w:r w:rsidR="006E7376">
        <w:rPr>
          <w:lang w:val="en-US"/>
        </w:rPr>
        <w:t>, No</w:t>
      </w:r>
      <w:r>
        <w:rPr>
          <w:lang w:val="en-US"/>
        </w:rPr>
        <w:t>.</w:t>
      </w:r>
      <w:r w:rsidRPr="00CD3F30">
        <w:rPr>
          <w:lang w:val="sr-Cyrl-RS"/>
        </w:rPr>
        <w:t xml:space="preserve"> 88/17, 27/18 </w:t>
      </w:r>
      <w:r>
        <w:rPr>
          <w:lang w:val="sr-Cyrl-RS"/>
        </w:rPr>
        <w:t>–</w:t>
      </w:r>
      <w:r w:rsidRPr="00CD3F30">
        <w:rPr>
          <w:lang w:val="sr-Cyrl-RS"/>
        </w:rPr>
        <w:t xml:space="preserve"> </w:t>
      </w:r>
      <w:r>
        <w:rPr>
          <w:lang w:val="en-US"/>
        </w:rPr>
        <w:t>other law</w:t>
      </w:r>
      <w:r w:rsidRPr="00CD3F30">
        <w:rPr>
          <w:lang w:val="sr-Cyrl-RS"/>
        </w:rPr>
        <w:t xml:space="preserve">, 10/19, 27/18 </w:t>
      </w:r>
      <w:r>
        <w:rPr>
          <w:lang w:val="sr-Cyrl-RS"/>
        </w:rPr>
        <w:t>–</w:t>
      </w:r>
      <w:r w:rsidRPr="00CD3F30">
        <w:rPr>
          <w:lang w:val="sr-Cyrl-RS"/>
        </w:rPr>
        <w:t xml:space="preserve"> </w:t>
      </w:r>
      <w:r>
        <w:rPr>
          <w:lang w:val="en-US"/>
        </w:rPr>
        <w:t>other law</w:t>
      </w:r>
      <w:r w:rsidRPr="00CD3F30">
        <w:rPr>
          <w:lang w:val="sr-Cyrl-RS"/>
        </w:rPr>
        <w:t xml:space="preserve">, 6/20, 129/21 </w:t>
      </w:r>
      <w:r>
        <w:rPr>
          <w:lang w:val="en-US"/>
        </w:rPr>
        <w:t>and</w:t>
      </w:r>
      <w:r w:rsidRPr="00CD3F30">
        <w:rPr>
          <w:lang w:val="sr-Cyrl-RS"/>
        </w:rPr>
        <w:t xml:space="preserve"> 92/23.</w:t>
      </w:r>
      <w:r>
        <w:rPr>
          <w:lang w:val="sr-Cyrl-RS"/>
        </w:rPr>
        <w:t xml:space="preserve"> </w:t>
      </w:r>
    </w:p>
  </w:footnote>
  <w:footnote w:id="197">
    <w:p w14:paraId="2F8A568C" w14:textId="77777777" w:rsidR="00B37F05" w:rsidRPr="000B6A0F" w:rsidRDefault="00B37F05" w:rsidP="00B37F05">
      <w:pPr>
        <w:pStyle w:val="FootnoteText"/>
        <w:ind w:firstLine="0"/>
        <w:rPr>
          <w:highlight w:val="yellow"/>
          <w:lang w:val="sr-Cyrl-RS"/>
        </w:rPr>
      </w:pPr>
      <w:r w:rsidRPr="000B6A0F">
        <w:rPr>
          <w:rStyle w:val="FootnoteReference"/>
        </w:rPr>
        <w:footnoteRef/>
      </w:r>
      <w:r w:rsidRPr="000B6A0F">
        <w:t xml:space="preserve"> </w:t>
      </w:r>
      <w:r>
        <w:rPr>
          <w:lang w:val="en-US"/>
        </w:rPr>
        <w:t>No. of case</w:t>
      </w:r>
      <w:r w:rsidRPr="000B6A0F">
        <w:rPr>
          <w:lang w:val="sr-Cyrl-RS"/>
        </w:rPr>
        <w:t xml:space="preserve"> 422-102/23. </w:t>
      </w:r>
    </w:p>
  </w:footnote>
  <w:footnote w:id="198">
    <w:p w14:paraId="692700CA" w14:textId="77777777" w:rsidR="00B37F05" w:rsidRPr="00462357" w:rsidRDefault="00B37F05" w:rsidP="00B37F05">
      <w:pPr>
        <w:pStyle w:val="FootnoteText"/>
        <w:ind w:firstLine="0"/>
        <w:rPr>
          <w:lang w:val="sr-Cyrl-RS"/>
        </w:rPr>
      </w:pPr>
      <w:r w:rsidRPr="000B6A0F">
        <w:rPr>
          <w:rStyle w:val="FootnoteReference"/>
        </w:rPr>
        <w:footnoteRef/>
      </w:r>
      <w:r w:rsidRPr="000B6A0F">
        <w:t xml:space="preserve"> </w:t>
      </w:r>
      <w:r>
        <w:rPr>
          <w:lang w:val="en-US"/>
        </w:rPr>
        <w:t>No. of case</w:t>
      </w:r>
      <w:r w:rsidRPr="000B6A0F">
        <w:rPr>
          <w:lang w:val="sr-Cyrl-RS"/>
        </w:rPr>
        <w:t xml:space="preserve"> 4234-201/22.</w:t>
      </w:r>
      <w:r>
        <w:rPr>
          <w:lang w:val="sr-Cyrl-RS"/>
        </w:rPr>
        <w:t xml:space="preserve"> </w:t>
      </w:r>
    </w:p>
  </w:footnote>
  <w:footnote w:id="199">
    <w:p w14:paraId="18562D9C" w14:textId="77777777" w:rsidR="00B37F05" w:rsidRPr="00AD3EE5" w:rsidRDefault="00B37F05" w:rsidP="00B37F05">
      <w:pPr>
        <w:pStyle w:val="FootnoteText"/>
        <w:ind w:firstLine="0"/>
        <w:rPr>
          <w:lang w:val="sr-Cyrl-RS"/>
        </w:rPr>
      </w:pPr>
      <w:r w:rsidRPr="00462357">
        <w:rPr>
          <w:rStyle w:val="FootnoteReference"/>
        </w:rPr>
        <w:footnoteRef/>
      </w:r>
      <w:r w:rsidRPr="00462357">
        <w:t xml:space="preserve"> </w:t>
      </w:r>
      <w:r>
        <w:rPr>
          <w:lang w:val="en-US"/>
        </w:rPr>
        <w:t>Available at</w:t>
      </w:r>
      <w:r w:rsidRPr="00462357">
        <w:rPr>
          <w:lang w:val="sr-Cyrl-RS"/>
        </w:rPr>
        <w:t xml:space="preserve">: </w:t>
      </w:r>
      <w:hyperlink r:id="rId73" w:history="1">
        <w:r w:rsidRPr="00462357">
          <w:rPr>
            <w:rStyle w:val="Hyperlink"/>
            <w:lang w:val="sr-Cyrl-RS"/>
          </w:rPr>
          <w:t>https://www.ombudsman.rs/index.php/2012-02-07-14-03-33/7863-z-sh-i-ni-gr-d-n-u-vrdi-pr-pus-rg-n-upr-v</w:t>
        </w:r>
      </w:hyperlink>
      <w:r>
        <w:rPr>
          <w:rStyle w:val="Hyperlink"/>
          <w:lang w:val="sr-Cyrl-RS"/>
        </w:rPr>
        <w:t xml:space="preserve">. </w:t>
      </w:r>
      <w:r w:rsidRPr="00AD3EE5">
        <w:rPr>
          <w:lang w:val="sr-Cyrl-RS"/>
        </w:rPr>
        <w:t xml:space="preserve"> </w:t>
      </w:r>
      <w:r>
        <w:rPr>
          <w:lang w:val="sr-Cyrl-RS"/>
        </w:rPr>
        <w:t xml:space="preserve">      </w:t>
      </w:r>
    </w:p>
  </w:footnote>
  <w:footnote w:id="200">
    <w:p w14:paraId="3D20868C" w14:textId="4C172E44" w:rsidR="00B37F05" w:rsidRPr="001B0657" w:rsidRDefault="00B37F05" w:rsidP="00B37F05">
      <w:pPr>
        <w:pStyle w:val="FootnoteText"/>
        <w:ind w:firstLine="0"/>
        <w:rPr>
          <w:lang w:val="sr-Cyrl-RS"/>
        </w:rPr>
      </w:pPr>
      <w:r w:rsidRPr="001B0657">
        <w:rPr>
          <w:rStyle w:val="FootnoteReference"/>
        </w:rPr>
        <w:footnoteRef/>
      </w:r>
      <w:r w:rsidRPr="001B0657">
        <w:t xml:space="preserve"> </w:t>
      </w:r>
      <w:r w:rsidR="00BA297C">
        <w:rPr>
          <w:lang w:val="en-US"/>
        </w:rPr>
        <w:t>“Official Gazette of RS”</w:t>
      </w:r>
      <w:r w:rsidR="006E7376">
        <w:rPr>
          <w:lang w:val="en-US"/>
        </w:rPr>
        <w:t>, No</w:t>
      </w:r>
      <w:r>
        <w:rPr>
          <w:lang w:val="en-US"/>
        </w:rPr>
        <w:t>.</w:t>
      </w:r>
      <w:r w:rsidRPr="001B0657">
        <w:rPr>
          <w:lang w:val="sr-Cyrl-RS"/>
        </w:rPr>
        <w:t xml:space="preserve"> </w:t>
      </w:r>
      <w:r>
        <w:t xml:space="preserve">18/16, 95/18 – </w:t>
      </w:r>
      <w:r>
        <w:rPr>
          <w:lang w:val="en-US"/>
        </w:rPr>
        <w:t>authentic interpretation</w:t>
      </w:r>
      <w:r>
        <w:t xml:space="preserve"> </w:t>
      </w:r>
      <w:r>
        <w:rPr>
          <w:lang w:val="en-US"/>
        </w:rPr>
        <w:t>and</w:t>
      </w:r>
      <w:r>
        <w:t xml:space="preserve"> 2/</w:t>
      </w:r>
      <w:r w:rsidRPr="001B0657">
        <w:t xml:space="preserve">23 </w:t>
      </w:r>
      <w:r>
        <w:t>–</w:t>
      </w:r>
      <w:r w:rsidRPr="001B0657">
        <w:t xml:space="preserve"> </w:t>
      </w:r>
      <w:r>
        <w:rPr>
          <w:lang w:val="en-US"/>
        </w:rPr>
        <w:t>decision of CC</w:t>
      </w:r>
      <w:r w:rsidRPr="001B0657">
        <w:rPr>
          <w:lang w:val="sr-Cyrl-RS"/>
        </w:rPr>
        <w:t xml:space="preserve">. </w:t>
      </w:r>
    </w:p>
  </w:footnote>
  <w:footnote w:id="201">
    <w:p w14:paraId="23D690A3" w14:textId="77777777" w:rsidR="00B37F05" w:rsidRPr="000B6A0F" w:rsidRDefault="00B37F05" w:rsidP="00B37F05">
      <w:pPr>
        <w:pStyle w:val="FootnoteText"/>
        <w:ind w:firstLine="0"/>
        <w:rPr>
          <w:lang w:val="sr-Cyrl-RS"/>
        </w:rPr>
      </w:pPr>
      <w:r w:rsidRPr="000B6A0F">
        <w:rPr>
          <w:rStyle w:val="FootnoteReference"/>
        </w:rPr>
        <w:footnoteRef/>
      </w:r>
      <w:r w:rsidRPr="000B6A0F">
        <w:rPr>
          <w:lang w:val="sr-Cyrl-RS"/>
        </w:rPr>
        <w:t xml:space="preserve"> </w:t>
      </w:r>
      <w:r>
        <w:rPr>
          <w:lang w:val="en-US"/>
        </w:rPr>
        <w:t>No. of case</w:t>
      </w:r>
      <w:r w:rsidRPr="000B6A0F">
        <w:rPr>
          <w:lang w:val="sr-Cyrl-RS"/>
        </w:rPr>
        <w:t xml:space="preserve"> 4234-64/23.</w:t>
      </w:r>
      <w:r w:rsidRPr="000B6A0F">
        <w:t xml:space="preserve"> </w:t>
      </w:r>
    </w:p>
  </w:footnote>
  <w:footnote w:id="202">
    <w:p w14:paraId="797786A4" w14:textId="77777777" w:rsidR="00B37F05" w:rsidRPr="000B6A0F" w:rsidRDefault="00B37F05" w:rsidP="00B37F05">
      <w:pPr>
        <w:pStyle w:val="FootnoteText"/>
        <w:ind w:firstLine="0"/>
        <w:rPr>
          <w:lang w:val="sr-Cyrl-RS"/>
        </w:rPr>
      </w:pPr>
      <w:r w:rsidRPr="000B6A0F">
        <w:rPr>
          <w:rStyle w:val="FootnoteReference"/>
        </w:rPr>
        <w:footnoteRef/>
      </w:r>
      <w:r w:rsidRPr="000B6A0F">
        <w:rPr>
          <w:lang w:val="sr-Cyrl-RS"/>
        </w:rPr>
        <w:t xml:space="preserve"> </w:t>
      </w:r>
      <w:r>
        <w:rPr>
          <w:lang w:val="en-US"/>
        </w:rPr>
        <w:t>No. of case</w:t>
      </w:r>
      <w:r w:rsidRPr="000B6A0F">
        <w:rPr>
          <w:lang w:val="sr-Cyrl-RS"/>
        </w:rPr>
        <w:t xml:space="preserve"> 4234-34/23. </w:t>
      </w:r>
    </w:p>
  </w:footnote>
  <w:footnote w:id="203">
    <w:p w14:paraId="79754214" w14:textId="77777777" w:rsidR="00B37F05" w:rsidRPr="00DE1B0D" w:rsidRDefault="00B37F05" w:rsidP="00B37F05">
      <w:pPr>
        <w:pStyle w:val="FootnoteText"/>
        <w:ind w:firstLine="0"/>
        <w:rPr>
          <w:highlight w:val="yellow"/>
          <w:lang w:val="sr-Cyrl-RS"/>
        </w:rPr>
      </w:pPr>
      <w:r w:rsidRPr="000B6A0F">
        <w:rPr>
          <w:rStyle w:val="FootnoteReference"/>
        </w:rPr>
        <w:footnoteRef/>
      </w:r>
      <w:r w:rsidRPr="000B6A0F">
        <w:t xml:space="preserve"> </w:t>
      </w:r>
      <w:r>
        <w:rPr>
          <w:lang w:val="en-US"/>
        </w:rPr>
        <w:t>Available at</w:t>
      </w:r>
      <w:r w:rsidRPr="000B6A0F">
        <w:rPr>
          <w:lang w:val="sr-Cyrl-RS"/>
        </w:rPr>
        <w:t xml:space="preserve">: </w:t>
      </w:r>
      <w:hyperlink r:id="rId74" w:history="1">
        <w:r w:rsidRPr="000B6A0F">
          <w:rPr>
            <w:rStyle w:val="Hyperlink"/>
            <w:lang w:val="sr-Cyrl-RS"/>
          </w:rPr>
          <w:t>https://www.ombudsman.rs/index.php/2012-02-07-14-03-33/7831-l-ln-s-upr-v-b-v-zn-d-drz-v-zgr-d-d-n-z-l-vl-snici-gu-n-s-i-sh-n-p-sl-dic-p-ziv-ili-zdr-vlj</w:t>
        </w:r>
      </w:hyperlink>
      <w:r w:rsidRPr="000B6A0F">
        <w:rPr>
          <w:rStyle w:val="Hyperlink"/>
          <w:lang w:val="sr-Cyrl-RS"/>
        </w:rPr>
        <w:t xml:space="preserve">. </w:t>
      </w:r>
      <w:r w:rsidRPr="000B6A0F">
        <w:rPr>
          <w:lang w:val="sr-Cyrl-RS"/>
        </w:rPr>
        <w:t xml:space="preserve">  </w:t>
      </w:r>
    </w:p>
  </w:footnote>
  <w:footnote w:id="204">
    <w:p w14:paraId="2274E6E3" w14:textId="77777777" w:rsidR="00B37F05" w:rsidRPr="00EB505C" w:rsidRDefault="00B37F05" w:rsidP="00B37F05">
      <w:pPr>
        <w:pStyle w:val="FootnoteText"/>
        <w:ind w:firstLine="0"/>
        <w:rPr>
          <w:lang w:val="sr-Cyrl-RS"/>
        </w:rPr>
      </w:pPr>
      <w:r w:rsidRPr="00AD0BD4">
        <w:rPr>
          <w:rStyle w:val="FootnoteReference"/>
        </w:rPr>
        <w:footnoteRef/>
      </w:r>
      <w:r w:rsidRPr="00AD0BD4">
        <w:t xml:space="preserve"> </w:t>
      </w:r>
      <w:r>
        <w:rPr>
          <w:lang w:val="en-US"/>
        </w:rPr>
        <w:t>No. of case</w:t>
      </w:r>
      <w:r>
        <w:rPr>
          <w:lang w:val="sr-Cyrl-RS"/>
        </w:rPr>
        <w:t xml:space="preserve"> 424-290/22.</w:t>
      </w:r>
      <w:r w:rsidRPr="00EB505C">
        <w:rPr>
          <w:lang w:val="sr-Cyrl-RS"/>
        </w:rPr>
        <w:t xml:space="preserve"> </w:t>
      </w:r>
    </w:p>
  </w:footnote>
  <w:footnote w:id="205">
    <w:p w14:paraId="79CA6269" w14:textId="77777777" w:rsidR="00B37F05" w:rsidRPr="00EB505C" w:rsidRDefault="00B37F05" w:rsidP="00B37F05">
      <w:pPr>
        <w:pStyle w:val="FootnoteText"/>
        <w:ind w:firstLine="0"/>
        <w:rPr>
          <w:lang w:val="sr-Cyrl-RS"/>
        </w:rPr>
      </w:pPr>
      <w:r w:rsidRPr="00955332">
        <w:rPr>
          <w:rStyle w:val="FootnoteReference"/>
        </w:rPr>
        <w:footnoteRef/>
      </w:r>
      <w:r w:rsidRPr="00955332">
        <w:t xml:space="preserve"> </w:t>
      </w:r>
      <w:r>
        <w:rPr>
          <w:lang w:val="en-US"/>
        </w:rPr>
        <w:t>No. of case</w:t>
      </w:r>
      <w:r>
        <w:rPr>
          <w:lang w:val="sr-Cyrl-RS"/>
        </w:rPr>
        <w:t xml:space="preserve"> 429-202/22.</w:t>
      </w:r>
    </w:p>
  </w:footnote>
  <w:footnote w:id="206">
    <w:p w14:paraId="642E4F14" w14:textId="77777777" w:rsidR="00B37F05" w:rsidRPr="00EB505C" w:rsidRDefault="00B37F05" w:rsidP="00B37F05">
      <w:pPr>
        <w:pStyle w:val="FootnoteText"/>
        <w:ind w:firstLine="0"/>
        <w:rPr>
          <w:lang w:val="sr-Cyrl-RS"/>
        </w:rPr>
      </w:pPr>
      <w:r w:rsidRPr="00EB505C">
        <w:rPr>
          <w:rStyle w:val="FootnoteReference"/>
        </w:rPr>
        <w:footnoteRef/>
      </w:r>
      <w:r w:rsidRPr="00EB505C">
        <w:t xml:space="preserve"> </w:t>
      </w:r>
      <w:r>
        <w:rPr>
          <w:lang w:val="en-US"/>
        </w:rPr>
        <w:t>Available at</w:t>
      </w:r>
      <w:r w:rsidRPr="00EB505C">
        <w:rPr>
          <w:lang w:val="sr-Cyrl-RS"/>
        </w:rPr>
        <w:t xml:space="preserve">: </w:t>
      </w:r>
      <w:hyperlink r:id="rId75" w:history="1">
        <w:r w:rsidRPr="00EB505C">
          <w:rPr>
            <w:rStyle w:val="Hyperlink"/>
            <w:lang w:val="sr-Cyrl-RS"/>
          </w:rPr>
          <w:t>https://www.ombudsman.rs/index.php/2012-02-07-14-03-33/7853-izv-sh-sluc-u-vi-n-s-ih-r-dni-ng-z-v-nih-n-izgr-dnji-f-bri-gu-u-zr-nj-ninu-s-pr-p-ru</w:t>
        </w:r>
      </w:hyperlink>
      <w:r>
        <w:rPr>
          <w:rStyle w:val="Hyperlink"/>
          <w:lang w:val="sr-Cyrl-RS"/>
        </w:rPr>
        <w:t xml:space="preserve">. </w:t>
      </w:r>
      <w:r w:rsidRPr="00EB505C">
        <w:rPr>
          <w:lang w:val="sr-Cyrl-RS"/>
        </w:rPr>
        <w:t xml:space="preserve"> </w:t>
      </w:r>
    </w:p>
  </w:footnote>
  <w:footnote w:id="207">
    <w:p w14:paraId="5F9C92B2" w14:textId="77777777" w:rsidR="00B37F05" w:rsidRPr="00CD3F30" w:rsidRDefault="00B37F05" w:rsidP="00B37F05">
      <w:pPr>
        <w:pStyle w:val="FootnoteText"/>
        <w:ind w:firstLine="0"/>
        <w:rPr>
          <w:lang w:val="sr-Latn-RS"/>
        </w:rPr>
      </w:pPr>
      <w:r w:rsidRPr="00CD3F30">
        <w:rPr>
          <w:rStyle w:val="FootnoteReference"/>
        </w:rPr>
        <w:footnoteRef/>
      </w:r>
      <w:r w:rsidRPr="00CD3F30">
        <w:t xml:space="preserve"> </w:t>
      </w:r>
      <w:r>
        <w:rPr>
          <w:lang w:val="en-US"/>
        </w:rPr>
        <w:t>No. of case</w:t>
      </w:r>
      <w:r>
        <w:rPr>
          <w:lang w:val="sr-Cyrl-RS"/>
        </w:rPr>
        <w:t xml:space="preserve"> 4228-261/22.</w:t>
      </w:r>
      <w:r w:rsidRPr="00CD3F30">
        <w:rPr>
          <w:lang w:val="sr-Cyrl-RS"/>
        </w:rPr>
        <w:t xml:space="preserve">  </w:t>
      </w:r>
    </w:p>
  </w:footnote>
  <w:footnote w:id="208">
    <w:p w14:paraId="14B4AE1A" w14:textId="77777777" w:rsidR="00B37F05" w:rsidRPr="00CD3F30" w:rsidRDefault="00B37F05" w:rsidP="00B37F05">
      <w:pPr>
        <w:pStyle w:val="FootnoteText"/>
        <w:ind w:firstLine="0"/>
        <w:rPr>
          <w:lang w:val="sr-Cyrl-RS"/>
        </w:rPr>
      </w:pPr>
      <w:r w:rsidRPr="00CD3F30">
        <w:rPr>
          <w:rStyle w:val="FootnoteReference"/>
        </w:rPr>
        <w:footnoteRef/>
      </w:r>
      <w:r w:rsidRPr="00CD3F30">
        <w:t xml:space="preserve"> </w:t>
      </w:r>
      <w:r>
        <w:rPr>
          <w:lang w:val="en-US"/>
        </w:rPr>
        <w:t>Article</w:t>
      </w:r>
      <w:r>
        <w:rPr>
          <w:lang w:val="sr-Cyrl-RS"/>
        </w:rPr>
        <w:t xml:space="preserve"> 156</w:t>
      </w:r>
      <w:r w:rsidRPr="00CD3F30">
        <w:rPr>
          <w:lang w:val="sr-Cyrl-RS"/>
        </w:rPr>
        <w:t xml:space="preserve"> </w:t>
      </w:r>
      <w:r>
        <w:rPr>
          <w:lang w:val="en-US"/>
        </w:rPr>
        <w:t>paragraph</w:t>
      </w:r>
      <w:r w:rsidRPr="00CD3F30">
        <w:rPr>
          <w:lang w:val="sr-Cyrl-RS"/>
        </w:rPr>
        <w:t xml:space="preserve"> 7 </w:t>
      </w:r>
      <w:r>
        <w:rPr>
          <w:lang w:val="en-US"/>
        </w:rPr>
        <w:t>of the Criminal Procedure Code</w:t>
      </w:r>
      <w:r w:rsidRPr="00CD3F30">
        <w:rPr>
          <w:lang w:val="sr-Cyrl-RS"/>
        </w:rPr>
        <w:t xml:space="preserve">. </w:t>
      </w:r>
    </w:p>
  </w:footnote>
  <w:footnote w:id="209">
    <w:p w14:paraId="7287E373" w14:textId="57A76FB1" w:rsidR="00B37F05" w:rsidRPr="00C96B47" w:rsidRDefault="00B37F05" w:rsidP="00B37F05">
      <w:pPr>
        <w:pStyle w:val="FootnoteText"/>
        <w:ind w:firstLine="0"/>
        <w:rPr>
          <w:lang w:val="sr-Cyrl-RS"/>
        </w:rPr>
      </w:pPr>
      <w:r w:rsidRPr="00CD3F30">
        <w:rPr>
          <w:rStyle w:val="FootnoteReference"/>
        </w:rPr>
        <w:footnoteRef/>
      </w:r>
      <w:r w:rsidRPr="00CD3F30">
        <w:t xml:space="preserve"> </w:t>
      </w:r>
      <w:r>
        <w:rPr>
          <w:lang w:val="sr-Latn-RS"/>
        </w:rPr>
        <w:t>A</w:t>
      </w:r>
      <w:r w:rsidR="006E7376">
        <w:rPr>
          <w:lang w:val="sr-Latn-RS"/>
        </w:rPr>
        <w:t>vailable at</w:t>
      </w:r>
      <w:r w:rsidRPr="00CD3F30">
        <w:rPr>
          <w:lang w:val="sr-Latn-RS"/>
        </w:rPr>
        <w:t xml:space="preserve">: </w:t>
      </w:r>
      <w:hyperlink r:id="rId76" w:history="1">
        <w:r w:rsidRPr="00CD3F30">
          <w:rPr>
            <w:rStyle w:val="Hyperlink"/>
            <w:lang w:val="sr-Latn-RS"/>
          </w:rPr>
          <w:t>https://www.ombudsman.rs/index.php/2012-02-07-14-03-33/7880-z-sh-i-ni-gr-d-n-upu-i-pr-p-ru-inis-rs-vu-pr-sv-zb-g-n-pr-viln-s-i-u-r-du-dicins-g-f-ul</w:t>
        </w:r>
      </w:hyperlink>
      <w:r w:rsidRPr="00CD3F30">
        <w:rPr>
          <w:rStyle w:val="Hyperlink"/>
          <w:lang w:val="sr-Cyrl-RS"/>
        </w:rPr>
        <w:t>.</w:t>
      </w:r>
      <w:r>
        <w:rPr>
          <w:rStyle w:val="Hyperlink"/>
          <w:lang w:val="sr-Cyrl-RS"/>
        </w:rPr>
        <w:t xml:space="preserve"> </w:t>
      </w:r>
      <w:r>
        <w:rPr>
          <w:lang w:val="sr-Latn-RS"/>
        </w:rPr>
        <w:t xml:space="preserve"> </w:t>
      </w:r>
    </w:p>
  </w:footnote>
  <w:footnote w:id="210">
    <w:p w14:paraId="2B847DEB" w14:textId="50F1CF1B" w:rsidR="00A02F87" w:rsidRPr="009735E2" w:rsidRDefault="00A02F87" w:rsidP="00A02F87">
      <w:pPr>
        <w:pStyle w:val="FootnoteText"/>
        <w:ind w:firstLine="0"/>
        <w:rPr>
          <w:lang w:val="sr-Cyrl-RS"/>
        </w:rPr>
      </w:pPr>
      <w:r w:rsidRPr="0065031E">
        <w:rPr>
          <w:rStyle w:val="FootnoteReference"/>
        </w:rPr>
        <w:footnoteRef/>
      </w:r>
      <w:r w:rsidRPr="0065031E">
        <w:t xml:space="preserve"> </w:t>
      </w:r>
      <w:r>
        <w:rPr>
          <w:lang w:val="en-US"/>
        </w:rPr>
        <w:t>No. of case</w:t>
      </w:r>
      <w:r w:rsidRPr="0065031E">
        <w:rPr>
          <w:lang w:val="sr-Cyrl-RS"/>
        </w:rPr>
        <w:t xml:space="preserve"> 4220-144/23.</w:t>
      </w:r>
      <w:r w:rsidRPr="009735E2">
        <w:rPr>
          <w:lang w:val="sr-Cyrl-RS"/>
        </w:rPr>
        <w:t xml:space="preserve"> </w:t>
      </w:r>
    </w:p>
  </w:footnote>
  <w:footnote w:id="211">
    <w:p w14:paraId="622DA1F8" w14:textId="77777777" w:rsidR="00B37F05" w:rsidRPr="005506EF" w:rsidRDefault="00B37F05" w:rsidP="00B37F05">
      <w:pPr>
        <w:pStyle w:val="FootnoteText"/>
        <w:ind w:firstLine="0"/>
        <w:jc w:val="left"/>
        <w:rPr>
          <w:lang w:val="sr-Cyrl-RS"/>
        </w:rPr>
      </w:pPr>
      <w:r>
        <w:rPr>
          <w:rStyle w:val="FootnoteReference"/>
        </w:rPr>
        <w:footnoteRef/>
      </w:r>
      <w:r>
        <w:t xml:space="preserve"> </w:t>
      </w:r>
      <w:r>
        <w:rPr>
          <w:lang w:val="en-US"/>
        </w:rPr>
        <w:t>Available at</w:t>
      </w:r>
      <w:r>
        <w:rPr>
          <w:lang w:val="sr-Cyrl-RS"/>
        </w:rPr>
        <w:t xml:space="preserve">: </w:t>
      </w:r>
      <w:hyperlink r:id="rId77" w:history="1">
        <w:r w:rsidRPr="0005182C">
          <w:rPr>
            <w:rStyle w:val="Hyperlink"/>
            <w:lang w:val="sr-Cyrl-RS"/>
          </w:rPr>
          <w:t>https://www.ombudsman.rs/attachments/article/7910/Poseban%20izvestaj%20Zastitnika%20gradjana%20o%20nasilju%20u%20skolama.pdf</w:t>
        </w:r>
      </w:hyperlink>
      <w:r>
        <w:rPr>
          <w:rStyle w:val="Hyperlink"/>
          <w:lang w:val="sr-Cyrl-RS"/>
        </w:rPr>
        <w:t xml:space="preserve">. </w:t>
      </w:r>
      <w:r>
        <w:rPr>
          <w:lang w:val="sr-Cyrl-RS"/>
        </w:rPr>
        <w:t xml:space="preserve"> </w:t>
      </w:r>
    </w:p>
  </w:footnote>
  <w:footnote w:id="212">
    <w:p w14:paraId="0BAB9637" w14:textId="77777777" w:rsidR="00B37F05" w:rsidRPr="00520B94" w:rsidRDefault="00B37F05" w:rsidP="00B37F05">
      <w:pPr>
        <w:pStyle w:val="FootnoteText"/>
        <w:ind w:firstLine="0"/>
        <w:rPr>
          <w:lang w:val="sr-Cyrl-RS"/>
        </w:rPr>
      </w:pPr>
      <w:r>
        <w:rPr>
          <w:rStyle w:val="FootnoteReference"/>
        </w:rPr>
        <w:footnoteRef/>
      </w:r>
      <w:r>
        <w:t xml:space="preserve"> </w:t>
      </w:r>
      <w:r>
        <w:rPr>
          <w:lang w:val="en-US"/>
        </w:rPr>
        <w:t>Available at</w:t>
      </w:r>
      <w:r>
        <w:rPr>
          <w:lang w:val="sr-Cyrl-RS"/>
        </w:rPr>
        <w:t xml:space="preserve">:  </w:t>
      </w:r>
      <w:hyperlink r:id="rId78" w:history="1">
        <w:r w:rsidRPr="0005182C">
          <w:rPr>
            <w:rStyle w:val="Hyperlink"/>
            <w:lang w:val="sr-Cyrl-RS"/>
          </w:rPr>
          <w:t>https://www.ombudsman.rs/index.php/izvestaji/posebnii-izvestaji/7858-p-s-b-n-izv-sh-z-sh-i-ni-gr-d-n-z-s-uplj-n-s-i-uslug-s-ci-ln-i-zdr-vs-v-n-z-sh-i-z-s-ri-z-n-ziv-n-s-lu</w:t>
        </w:r>
      </w:hyperlink>
      <w:r>
        <w:rPr>
          <w:rStyle w:val="Hyperlink"/>
          <w:lang w:val="sr-Cyrl-RS"/>
        </w:rPr>
        <w:t>.</w:t>
      </w:r>
      <w:r>
        <w:rPr>
          <w:lang w:val="sr-Cyrl-RS"/>
        </w:rPr>
        <w:t xml:space="preserve"> </w:t>
      </w:r>
    </w:p>
  </w:footnote>
  <w:footnote w:id="213">
    <w:p w14:paraId="50AE7DC4" w14:textId="77777777" w:rsidR="00B37F05" w:rsidRPr="0090345E" w:rsidRDefault="00B37F05" w:rsidP="00B37F05">
      <w:pPr>
        <w:pStyle w:val="FootnoteText"/>
        <w:ind w:firstLine="0"/>
        <w:rPr>
          <w:lang w:val="en-US"/>
        </w:rPr>
      </w:pPr>
      <w:r>
        <w:rPr>
          <w:rStyle w:val="FootnoteReference"/>
        </w:rPr>
        <w:footnoteRef/>
      </w:r>
      <w:r>
        <w:rPr>
          <w:lang w:val="sr-Cyrl-RS"/>
        </w:rPr>
        <w:t xml:space="preserve"> </w:t>
      </w:r>
      <w:r>
        <w:rPr>
          <w:lang w:val="en-US"/>
        </w:rPr>
        <w:t>Available at</w:t>
      </w:r>
      <w:r>
        <w:rPr>
          <w:lang w:val="sr-Cyrl-RS"/>
        </w:rPr>
        <w:t>:</w:t>
      </w:r>
      <w:r>
        <w:t xml:space="preserve"> </w:t>
      </w:r>
      <w:hyperlink r:id="rId79" w:history="1">
        <w:r w:rsidRPr="0067619F">
          <w:rPr>
            <w:rStyle w:val="Hyperlink"/>
          </w:rPr>
          <w:t>https://ombudsman.rs/index.php/2011-12-25-10-17-15/2011-12-26-10-05-05/7733-r-g-di-r-nj-up-z-r-nj-n-sh-drush-vu</w:t>
        </w:r>
      </w:hyperlink>
      <w:r>
        <w:rPr>
          <w:rStyle w:val="Hyperlink"/>
          <w:lang w:val="sr-Cyrl-RS"/>
        </w:rPr>
        <w:t>.</w:t>
      </w:r>
    </w:p>
  </w:footnote>
  <w:footnote w:id="214">
    <w:p w14:paraId="511BB479" w14:textId="77777777" w:rsidR="00B37F05" w:rsidRPr="00D42797" w:rsidRDefault="00B37F05" w:rsidP="00B37F05">
      <w:pPr>
        <w:pStyle w:val="FootnoteText"/>
        <w:ind w:firstLine="0"/>
        <w:rPr>
          <w:lang w:val="sr-Cyrl-RS"/>
        </w:rPr>
      </w:pPr>
      <w:r>
        <w:rPr>
          <w:rStyle w:val="FootnoteReference"/>
        </w:rPr>
        <w:footnoteRef/>
      </w:r>
      <w:r>
        <w:rPr>
          <w:lang w:val="sr-Cyrl-RS"/>
        </w:rPr>
        <w:t xml:space="preserve"> </w:t>
      </w:r>
      <w:r>
        <w:rPr>
          <w:lang w:val="en-US"/>
        </w:rPr>
        <w:t>Available at</w:t>
      </w:r>
      <w:r>
        <w:rPr>
          <w:lang w:val="sr-Cyrl-RS"/>
        </w:rPr>
        <w:t>:</w:t>
      </w:r>
      <w:r>
        <w:t xml:space="preserve"> </w:t>
      </w:r>
      <w:hyperlink r:id="rId80" w:history="1">
        <w:r w:rsidRPr="003A29AC">
          <w:rPr>
            <w:rStyle w:val="Hyperlink"/>
          </w:rPr>
          <w:t>https://ombudsman.rs/index.php/2011-12-25-10-17-15/2011-12-26-10-05-05/7730-z-sh-i-ni-gr-d-n-u-vrdi-pr-pus-n-dl-znih-rg-n-u-sluc-u-z-n-riv-nj-d-iz-iri-v</w:t>
        </w:r>
      </w:hyperlink>
      <w:r>
        <w:rPr>
          <w:rStyle w:val="Hyperlink"/>
          <w:lang w:val="sr-Cyrl-RS"/>
        </w:rPr>
        <w:t>.</w:t>
      </w:r>
    </w:p>
  </w:footnote>
  <w:footnote w:id="215">
    <w:p w14:paraId="2EE771DB" w14:textId="77777777" w:rsidR="00B37F05" w:rsidRPr="00D42797" w:rsidRDefault="00B37F05" w:rsidP="00B37F05">
      <w:pPr>
        <w:pStyle w:val="FootnoteText"/>
        <w:ind w:firstLine="0"/>
        <w:rPr>
          <w:lang w:val="sr-Cyrl-RS"/>
        </w:rPr>
      </w:pPr>
      <w:r>
        <w:rPr>
          <w:rStyle w:val="FootnoteReference"/>
        </w:rPr>
        <w:footnoteRef/>
      </w:r>
      <w:r>
        <w:t xml:space="preserve"> </w:t>
      </w:r>
      <w:r>
        <w:rPr>
          <w:lang w:val="en-US"/>
        </w:rPr>
        <w:t>Available at</w:t>
      </w:r>
      <w:r>
        <w:rPr>
          <w:lang w:val="sr-Cyrl-RS"/>
        </w:rPr>
        <w:t xml:space="preserve">: </w:t>
      </w:r>
      <w:hyperlink r:id="rId81" w:history="1">
        <w:r w:rsidRPr="0067619F">
          <w:rPr>
            <w:rStyle w:val="Hyperlink"/>
          </w:rPr>
          <w:t>https://ombudsman.rs/index.php/izvestaji/posebnii-izvestaji/7858-p-s-b-n-izv-sh-z-sh-i-ni-gr-d-n-z-s-uplj-n-s-i-uslug-s-ci-ln-i-zdr-vs-v-n-z-sh-i-z-s-ri-z-n-ziv-n-s-lu</w:t>
        </w:r>
      </w:hyperlink>
      <w:r>
        <w:rPr>
          <w:rStyle w:val="Hyperlink"/>
          <w:lang w:val="sr-Cyrl-RS"/>
        </w:rPr>
        <w:t>.</w:t>
      </w:r>
    </w:p>
  </w:footnote>
  <w:footnote w:id="216">
    <w:p w14:paraId="0007A79E" w14:textId="77777777" w:rsidR="00B37F05" w:rsidRPr="00D42797" w:rsidRDefault="00B37F05" w:rsidP="00B37F05">
      <w:pPr>
        <w:pStyle w:val="FootnoteText"/>
        <w:ind w:firstLine="0"/>
        <w:rPr>
          <w:lang w:val="sr-Cyrl-RS"/>
        </w:rPr>
      </w:pPr>
      <w:r>
        <w:rPr>
          <w:rStyle w:val="FootnoteReference"/>
        </w:rPr>
        <w:footnoteRef/>
      </w:r>
      <w:r>
        <w:rPr>
          <w:lang w:val="sr-Cyrl-RS"/>
        </w:rPr>
        <w:t xml:space="preserve"> </w:t>
      </w:r>
      <w:r>
        <w:rPr>
          <w:lang w:val="en-US"/>
        </w:rPr>
        <w:t>Available at</w:t>
      </w:r>
      <w:r>
        <w:rPr>
          <w:lang w:val="sr-Cyrl-RS"/>
        </w:rPr>
        <w:t xml:space="preserve">: </w:t>
      </w:r>
      <w:hyperlink r:id="rId82" w:history="1">
        <w:r w:rsidRPr="0067619F">
          <w:rPr>
            <w:rStyle w:val="Hyperlink"/>
          </w:rPr>
          <w:t>https://ombudsman.rs/index.php/izvestaji/posebnii-izvestaji/7910-p-s-b-n-izv-sh-z-sh-i-ni-gr-d-n-n-silju-u-sh-l</w:t>
        </w:r>
      </w:hyperlink>
      <w:r>
        <w:rPr>
          <w:rStyle w:val="Hyperlink"/>
          <w:lang w:val="sr-Cyrl-RS"/>
        </w:rPr>
        <w:t>.</w:t>
      </w:r>
    </w:p>
  </w:footnote>
  <w:footnote w:id="217">
    <w:p w14:paraId="40B60FB2" w14:textId="0936566B" w:rsidR="00B37F05"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sidR="006E7376">
        <w:rPr>
          <w:lang w:val="en-US"/>
        </w:rPr>
        <w:t>, No</w:t>
      </w:r>
      <w:r>
        <w:rPr>
          <w:lang w:val="en-US"/>
        </w:rPr>
        <w:t>.</w:t>
      </w:r>
      <w:r>
        <w:t xml:space="preserve"> 79/05 </w:t>
      </w:r>
      <w:r>
        <w:rPr>
          <w:lang w:val="en-US"/>
        </w:rPr>
        <w:t>and</w:t>
      </w:r>
      <w:r>
        <w:t xml:space="preserve"> 54/07.</w:t>
      </w:r>
    </w:p>
  </w:footnote>
  <w:footnote w:id="218">
    <w:p w14:paraId="2384FB74" w14:textId="4D0B1669" w:rsidR="00B37F05" w:rsidRDefault="00B37F05" w:rsidP="00B37F05">
      <w:pPr>
        <w:pStyle w:val="FootnoteText"/>
        <w:ind w:firstLine="0"/>
        <w:rPr>
          <w:lang w:val="sr-Latn-RS"/>
        </w:rPr>
      </w:pPr>
      <w:r>
        <w:rPr>
          <w:rStyle w:val="FootnoteReference"/>
        </w:rPr>
        <w:footnoteRef/>
      </w:r>
      <w:r>
        <w:t xml:space="preserve"> </w:t>
      </w:r>
      <w:r w:rsidR="00BA297C">
        <w:rPr>
          <w:lang w:val="en-US"/>
        </w:rPr>
        <w:t>“Official Gazette of RS”</w:t>
      </w:r>
      <w:r>
        <w:rPr>
          <w:lang w:val="en-US"/>
        </w:rPr>
        <w:t>, No.</w:t>
      </w:r>
      <w:r>
        <w:rPr>
          <w:lang w:val="sr-Cyrl-RS"/>
        </w:rPr>
        <w:t xml:space="preserve"> </w:t>
      </w:r>
      <w:r>
        <w:rPr>
          <w:lang w:val="sr-Latn-RS"/>
        </w:rPr>
        <w:t>1</w:t>
      </w:r>
      <w:r>
        <w:rPr>
          <w:lang w:val="sr-Cyrl-RS"/>
        </w:rPr>
        <w:t>05</w:t>
      </w:r>
      <w:r>
        <w:rPr>
          <w:lang w:val="sr-Latn-RS"/>
        </w:rPr>
        <w:t>/21.</w:t>
      </w:r>
    </w:p>
  </w:footnote>
  <w:footnote w:id="219">
    <w:p w14:paraId="3FAF65CF" w14:textId="4CBE5886" w:rsidR="00B37F05" w:rsidRDefault="00B37F05" w:rsidP="00B37F05">
      <w:pPr>
        <w:pStyle w:val="FootnoteText"/>
        <w:ind w:firstLine="0"/>
        <w:rPr>
          <w:lang w:val="sr-Cyrl-RS"/>
        </w:rPr>
      </w:pPr>
      <w:r>
        <w:rPr>
          <w:rStyle w:val="FootnoteReference"/>
        </w:rPr>
        <w:footnoteRef/>
      </w:r>
      <w:r>
        <w:rPr>
          <w:lang w:val="ru-RU"/>
        </w:rPr>
        <w:t xml:space="preserve"> </w:t>
      </w:r>
      <w:r w:rsidR="00BA297C">
        <w:rPr>
          <w:lang w:val="en-US"/>
        </w:rPr>
        <w:t>“Official Gazette of RS”</w:t>
      </w:r>
      <w:r>
        <w:rPr>
          <w:lang w:val="ru-RU"/>
        </w:rPr>
        <w:t xml:space="preserve">, </w:t>
      </w:r>
      <w:r>
        <w:rPr>
          <w:lang w:val="en-US"/>
        </w:rPr>
        <w:t>No.</w:t>
      </w:r>
      <w:r>
        <w:rPr>
          <w:lang w:val="ru-RU"/>
        </w:rPr>
        <w:t xml:space="preserve"> 98/06 (</w:t>
      </w:r>
      <w:r w:rsidRPr="00C25120">
        <w:rPr>
          <w:lang w:val="ru-RU"/>
        </w:rPr>
        <w:t xml:space="preserve">Part Five </w:t>
      </w:r>
      <w:r>
        <w:rPr>
          <w:lang w:val="ru-RU"/>
        </w:rPr>
        <w:t>–</w:t>
      </w:r>
      <w:r w:rsidRPr="00C25120">
        <w:rPr>
          <w:lang w:val="ru-RU"/>
        </w:rPr>
        <w:t xml:space="preserve"> Reg</w:t>
      </w:r>
      <w:r>
        <w:rPr>
          <w:lang w:val="en-US"/>
        </w:rPr>
        <w:t>.</w:t>
      </w:r>
      <w:r w:rsidRPr="00C25120">
        <w:rPr>
          <w:lang w:val="ru-RU"/>
        </w:rPr>
        <w:t xml:space="preserve"> of Government, Section 5. Protector of Citizens, Article 138</w:t>
      </w:r>
      <w:r>
        <w:rPr>
          <w:lang w:val="ru-RU"/>
        </w:rPr>
        <w:t>)</w:t>
      </w:r>
      <w:r>
        <w:t>.</w:t>
      </w:r>
    </w:p>
  </w:footnote>
  <w:footnote w:id="220">
    <w:p w14:paraId="46E199C7" w14:textId="77777777" w:rsidR="00B37F05" w:rsidRDefault="00B37F05" w:rsidP="00B37F05">
      <w:pPr>
        <w:pStyle w:val="FootnoteText"/>
        <w:ind w:firstLine="0"/>
        <w:rPr>
          <w:lang w:val="sr-Cyrl-RS"/>
        </w:rPr>
      </w:pPr>
      <w:r>
        <w:rPr>
          <w:rStyle w:val="FootnoteReference"/>
        </w:rPr>
        <w:footnoteRef/>
      </w:r>
      <w:r>
        <w:t xml:space="preserve"> </w:t>
      </w:r>
      <w:r>
        <w:rPr>
          <w:lang w:val="en-US"/>
        </w:rPr>
        <w:t>Article</w:t>
      </w:r>
      <w:r>
        <w:t xml:space="preserve"> </w:t>
      </w:r>
      <w:r>
        <w:rPr>
          <w:lang w:val="sr-Cyrl-RS"/>
        </w:rPr>
        <w:t>3</w:t>
      </w:r>
      <w:r>
        <w:t xml:space="preserve"> </w:t>
      </w:r>
      <w:r>
        <w:rPr>
          <w:lang w:val="en-US"/>
        </w:rPr>
        <w:t>Par.</w:t>
      </w:r>
      <w:r>
        <w:t xml:space="preserve"> </w:t>
      </w:r>
      <w:r>
        <w:rPr>
          <w:lang w:val="sr-Latn-RS"/>
        </w:rPr>
        <w:t>1</w:t>
      </w:r>
      <w:r>
        <w:t xml:space="preserve"> </w:t>
      </w:r>
      <w:r>
        <w:rPr>
          <w:lang w:val="en-US"/>
        </w:rPr>
        <w:t>of the Law on the Protector of Citizens</w:t>
      </w:r>
      <w:r>
        <w:rPr>
          <w:lang w:val="sr-Cyrl-RS"/>
        </w:rPr>
        <w:t>.</w:t>
      </w:r>
    </w:p>
  </w:footnote>
  <w:footnote w:id="221">
    <w:p w14:paraId="57D5507E" w14:textId="4BCA777C" w:rsidR="00B37F05" w:rsidRDefault="00B37F05" w:rsidP="00B37F05">
      <w:pPr>
        <w:pStyle w:val="FootnoteText"/>
        <w:ind w:firstLine="0"/>
      </w:pPr>
      <w:r w:rsidRPr="00C25120">
        <w:rPr>
          <w:rStyle w:val="FootnoteReference"/>
        </w:rPr>
        <w:footnoteRef/>
      </w:r>
      <w:r w:rsidRPr="00C25120">
        <w:t xml:space="preserve"> </w:t>
      </w:r>
      <w:r w:rsidRPr="00C25120">
        <w:rPr>
          <w:lang w:val="en-US"/>
        </w:rPr>
        <w:t xml:space="preserve">Article </w:t>
      </w:r>
      <w:r w:rsidRPr="00C25120">
        <w:t xml:space="preserve">5 </w:t>
      </w:r>
      <w:r w:rsidRPr="00C25120">
        <w:rPr>
          <w:lang w:val="en-US"/>
        </w:rPr>
        <w:t>Par.</w:t>
      </w:r>
      <w:r w:rsidRPr="00C25120">
        <w:t xml:space="preserve"> 1 </w:t>
      </w:r>
      <w:r w:rsidRPr="00C25120">
        <w:rPr>
          <w:lang w:val="en-US"/>
        </w:rPr>
        <w:t xml:space="preserve">of the </w:t>
      </w:r>
      <w:r w:rsidRPr="00C25120">
        <w:rPr>
          <w:noProof/>
        </w:rPr>
        <w:t>The Constitutional Law on the Implementation of the Constitution of the Republic of Serbia</w:t>
      </w:r>
      <w:r>
        <w:rPr>
          <w:lang w:val="sr-Cyrl-RS"/>
        </w:rPr>
        <w:t xml:space="preserve">, </w:t>
      </w:r>
      <w:r w:rsidR="00BA297C">
        <w:rPr>
          <w:lang w:val="en-US"/>
        </w:rPr>
        <w:t>“Official Gazette of RS”</w:t>
      </w:r>
      <w:r>
        <w:t xml:space="preserve">, </w:t>
      </w:r>
      <w:r>
        <w:rPr>
          <w:lang w:val="en-US"/>
        </w:rPr>
        <w:t>No.</w:t>
      </w:r>
      <w:r>
        <w:t xml:space="preserve"> 98/06</w:t>
      </w:r>
      <w:r>
        <w:rPr>
          <w:lang w:val="sr-Cyrl-RS"/>
        </w:rPr>
        <w:t>.</w:t>
      </w:r>
    </w:p>
  </w:footnote>
  <w:footnote w:id="222">
    <w:p w14:paraId="2D7DCC83" w14:textId="77777777" w:rsidR="00B37F05" w:rsidRPr="00D3652F" w:rsidRDefault="00B37F05" w:rsidP="00B37F05">
      <w:pPr>
        <w:pStyle w:val="FootnoteText"/>
        <w:ind w:firstLine="0"/>
        <w:rPr>
          <w:lang w:val="sr-Latn-RS"/>
        </w:rPr>
      </w:pPr>
      <w:r>
        <w:rPr>
          <w:rStyle w:val="FootnoteReference"/>
        </w:rPr>
        <w:footnoteRef/>
      </w:r>
      <w:r>
        <w:rPr>
          <w:lang w:val="sr-Latn-RS"/>
        </w:rPr>
        <w:t xml:space="preserve"> </w:t>
      </w:r>
      <w:r w:rsidRPr="00C25120">
        <w:t>The Law on the Amendments to the Law on Ratification of the Optional Protocol to the Convention against Torture and Other Cruel, Inhuman or Degrading Treatment or Punishment,</w:t>
      </w:r>
      <w:r>
        <w:t xml:space="preserve"> </w:t>
      </w:r>
      <w:r>
        <w:rPr>
          <w:lang w:val="sr-Latn-RS"/>
        </w:rPr>
        <w:t>„Official Gazette RS</w:t>
      </w:r>
      <w:r>
        <w:t xml:space="preserve"> – </w:t>
      </w:r>
      <w:r>
        <w:rPr>
          <w:lang w:val="en-US"/>
        </w:rPr>
        <w:t>International Agreements”</w:t>
      </w:r>
      <w:r>
        <w:t xml:space="preserve">, </w:t>
      </w:r>
      <w:r>
        <w:rPr>
          <w:lang w:val="en-US"/>
        </w:rPr>
        <w:t>No</w:t>
      </w:r>
      <w:r>
        <w:t>. 7/11.</w:t>
      </w:r>
    </w:p>
  </w:footnote>
  <w:footnote w:id="223">
    <w:p w14:paraId="4E1B9628" w14:textId="77777777" w:rsidR="00B37F05" w:rsidRPr="00EC2EE7" w:rsidRDefault="00B37F05" w:rsidP="00B37F05">
      <w:pPr>
        <w:pStyle w:val="FootnoteText"/>
        <w:ind w:firstLine="0"/>
        <w:rPr>
          <w:lang w:val="en-US"/>
        </w:rPr>
      </w:pPr>
      <w:r>
        <w:rPr>
          <w:rStyle w:val="FootnoteReference"/>
        </w:rPr>
        <w:footnoteRef/>
      </w:r>
      <w:r>
        <w:t xml:space="preserve"> </w:t>
      </w:r>
      <w:r>
        <w:rPr>
          <w:lang w:val="en-US"/>
        </w:rPr>
        <w:t>Article</w:t>
      </w:r>
      <w:r>
        <w:rPr>
          <w:lang w:val="sr-Cyrl-RS"/>
        </w:rPr>
        <w:t xml:space="preserve"> 82 of the </w:t>
      </w:r>
      <w:r>
        <w:rPr>
          <w:lang w:val="en-US"/>
        </w:rPr>
        <w:t>Law on Aliens, “Official Gazette of RS”, Nos. 24/18, 31/19</w:t>
      </w:r>
      <w:r>
        <w:rPr>
          <w:lang w:val="sr-Cyrl-RS"/>
        </w:rPr>
        <w:t xml:space="preserve"> and 62/23.</w:t>
      </w:r>
    </w:p>
  </w:footnote>
  <w:footnote w:id="224">
    <w:p w14:paraId="135C4AD6" w14:textId="6675277A" w:rsidR="00B37F05" w:rsidRDefault="00B37F05" w:rsidP="00B37F05">
      <w:pPr>
        <w:pStyle w:val="FootnoteText"/>
        <w:ind w:firstLine="0"/>
      </w:pPr>
      <w:r>
        <w:rPr>
          <w:rStyle w:val="FootnoteReference"/>
        </w:rPr>
        <w:footnoteRef/>
      </w:r>
      <w:r>
        <w:t xml:space="preserve"> </w:t>
      </w:r>
      <w:r>
        <w:rPr>
          <w:lang w:val="en-US"/>
        </w:rPr>
        <w:t>Art</w:t>
      </w:r>
      <w:r>
        <w:t xml:space="preserve"> 15</w:t>
      </w:r>
      <w:r>
        <w:rPr>
          <w:lang w:val="sr-Cyrl-RS"/>
        </w:rPr>
        <w:t xml:space="preserve"> </w:t>
      </w:r>
      <w:r>
        <w:rPr>
          <w:lang w:val="en-US"/>
        </w:rPr>
        <w:t>Par</w:t>
      </w:r>
      <w:r>
        <w:rPr>
          <w:lang w:val="sr-Cyrl-RS"/>
        </w:rPr>
        <w:t xml:space="preserve"> 2 </w:t>
      </w:r>
      <w:r>
        <w:rPr>
          <w:lang w:val="en-US"/>
        </w:rPr>
        <w:t>Item</w:t>
      </w:r>
      <w:r>
        <w:rPr>
          <w:lang w:val="sr-Cyrl-RS"/>
        </w:rPr>
        <w:t xml:space="preserve"> 6) </w:t>
      </w:r>
      <w:r>
        <w:rPr>
          <w:lang w:val="en-US"/>
        </w:rPr>
        <w:t>and Par</w:t>
      </w:r>
      <w:r>
        <w:rPr>
          <w:lang w:val="sr-Cyrl-RS"/>
        </w:rPr>
        <w:t xml:space="preserve"> 3. </w:t>
      </w:r>
      <w:r>
        <w:rPr>
          <w:lang w:val="en-US"/>
        </w:rPr>
        <w:t>Item</w:t>
      </w:r>
      <w:r>
        <w:rPr>
          <w:lang w:val="sr-Cyrl-RS"/>
        </w:rPr>
        <w:t xml:space="preserve"> 4) </w:t>
      </w:r>
      <w:r>
        <w:rPr>
          <w:lang w:val="en-US"/>
        </w:rPr>
        <w:t xml:space="preserve">of </w:t>
      </w:r>
      <w:r w:rsidRPr="00FE56D5">
        <w:rPr>
          <w:lang w:val="en-US"/>
        </w:rPr>
        <w:t xml:space="preserve">the </w:t>
      </w:r>
      <w:r w:rsidRPr="00FE56D5">
        <w:t>Law on the National Assembly</w:t>
      </w:r>
      <w:r>
        <w:rPr>
          <w:lang w:val="sr-Cyrl-RS"/>
        </w:rPr>
        <w:t xml:space="preserve">, </w:t>
      </w:r>
      <w:r w:rsidR="00BA297C">
        <w:rPr>
          <w:lang w:val="en-US"/>
        </w:rPr>
        <w:t>“Official Gazette of RS”</w:t>
      </w:r>
      <w:r>
        <w:t xml:space="preserve">, </w:t>
      </w:r>
      <w:r>
        <w:rPr>
          <w:lang w:val="en-US"/>
        </w:rPr>
        <w:t>No</w:t>
      </w:r>
      <w:r>
        <w:t xml:space="preserve"> 9/10.</w:t>
      </w:r>
    </w:p>
  </w:footnote>
  <w:footnote w:id="225">
    <w:p w14:paraId="56AFA019" w14:textId="210083DB" w:rsidR="00B37F05" w:rsidRDefault="00B37F05" w:rsidP="00B37F05">
      <w:pPr>
        <w:pStyle w:val="FootnoteText"/>
        <w:ind w:firstLine="0"/>
        <w:rPr>
          <w:lang w:val="sr-Cyrl-RS"/>
        </w:rPr>
      </w:pPr>
      <w:r>
        <w:rPr>
          <w:rStyle w:val="FootnoteReference"/>
        </w:rPr>
        <w:footnoteRef/>
      </w:r>
      <w:r>
        <w:t xml:space="preserve"> </w:t>
      </w:r>
      <w:r>
        <w:rPr>
          <w:lang w:val="en-US"/>
        </w:rPr>
        <w:t>Article</w:t>
      </w:r>
      <w:r>
        <w:rPr>
          <w:lang w:val="sr-Cyrl-RS"/>
        </w:rPr>
        <w:t xml:space="preserve"> </w:t>
      </w:r>
      <w:r>
        <w:t xml:space="preserve">29 </w:t>
      </w:r>
      <w:r>
        <w:rPr>
          <w:lang w:val="en-US"/>
        </w:rPr>
        <w:t>Par</w:t>
      </w:r>
      <w:r>
        <w:t xml:space="preserve"> 3</w:t>
      </w:r>
      <w:r>
        <w:rPr>
          <w:lang w:val="sr-Cyrl-RS"/>
        </w:rPr>
        <w:t xml:space="preserve"> </w:t>
      </w:r>
      <w:r>
        <w:rPr>
          <w:lang w:val="en-US"/>
        </w:rPr>
        <w:t>and</w:t>
      </w:r>
      <w:r>
        <w:rPr>
          <w:lang w:val="sr-Cyrl-RS"/>
        </w:rPr>
        <w:t xml:space="preserve"> 4 </w:t>
      </w:r>
      <w:r>
        <w:rPr>
          <w:lang w:val="en-US"/>
        </w:rPr>
        <w:t xml:space="preserve">of the </w:t>
      </w:r>
      <w:r w:rsidRPr="00FE56D5">
        <w:t>Law on the Serbian Armed Forces</w:t>
      </w:r>
      <w:r>
        <w:rPr>
          <w:lang w:val="sr-Cyrl-RS"/>
        </w:rPr>
        <w:t xml:space="preserve">, </w:t>
      </w:r>
      <w:r w:rsidR="00BA297C">
        <w:rPr>
          <w:lang w:val="en-US"/>
        </w:rPr>
        <w:t>“Official Gazette of RS”</w:t>
      </w:r>
      <w:r>
        <w:rPr>
          <w:lang w:val="en-US"/>
        </w:rPr>
        <w:t>,</w:t>
      </w:r>
      <w:r>
        <w:t xml:space="preserve"> </w:t>
      </w:r>
      <w:r>
        <w:rPr>
          <w:lang w:val="en-US"/>
        </w:rPr>
        <w:t>Nos</w:t>
      </w:r>
      <w:r>
        <w:t>. 116/07, 88/09</w:t>
      </w:r>
      <w:r>
        <w:rPr>
          <w:lang w:val="sr-Cyrl-RS"/>
        </w:rPr>
        <w:t>,</w:t>
      </w:r>
      <w:r>
        <w:t xml:space="preserve"> 101/10 – </w:t>
      </w:r>
      <w:r>
        <w:rPr>
          <w:lang w:val="en-US"/>
        </w:rPr>
        <w:t>other law</w:t>
      </w:r>
      <w:r>
        <w:rPr>
          <w:lang w:val="sr-Cyrl-RS"/>
        </w:rPr>
        <w:t>,</w:t>
      </w:r>
      <w:r>
        <w:t xml:space="preserve"> </w:t>
      </w:r>
      <w:r>
        <w:rPr>
          <w:lang w:val="sr-Cyrl-RS"/>
        </w:rPr>
        <w:t xml:space="preserve">10/15, 88/15 – </w:t>
      </w:r>
      <w:r>
        <w:rPr>
          <w:lang w:val="en-US"/>
        </w:rPr>
        <w:t>CC Decision</w:t>
      </w:r>
      <w:r>
        <w:rPr>
          <w:lang w:val="sr-Cyrl-RS"/>
        </w:rPr>
        <w:t xml:space="preserve">, 36/18, 94/19 </w:t>
      </w:r>
      <w:r>
        <w:rPr>
          <w:lang w:val="en-US"/>
        </w:rPr>
        <w:t>and</w:t>
      </w:r>
      <w:r>
        <w:rPr>
          <w:lang w:val="sr-Cyrl-RS"/>
        </w:rPr>
        <w:t xml:space="preserve"> 74/21 – </w:t>
      </w:r>
      <w:r>
        <w:rPr>
          <w:lang w:val="en-US"/>
        </w:rPr>
        <w:t>CC Decision</w:t>
      </w:r>
      <w:r>
        <w:t>.</w:t>
      </w:r>
      <w:r>
        <w:rPr>
          <w:lang w:val="sr-Cyrl-RS"/>
        </w:rPr>
        <w:t xml:space="preserve"> </w:t>
      </w:r>
    </w:p>
  </w:footnote>
  <w:footnote w:id="226">
    <w:p w14:paraId="2A9DCD4E" w14:textId="475BA9F0" w:rsidR="00B37F05" w:rsidRDefault="00B37F05" w:rsidP="00B37F05">
      <w:pPr>
        <w:pStyle w:val="FootnoteText"/>
        <w:ind w:firstLine="0"/>
        <w:rPr>
          <w:lang w:val="sr-Cyrl-RS"/>
        </w:rPr>
      </w:pPr>
      <w:r>
        <w:rPr>
          <w:rStyle w:val="FootnoteReference"/>
        </w:rPr>
        <w:footnoteRef/>
      </w:r>
      <w:r>
        <w:t xml:space="preserve"> </w:t>
      </w:r>
      <w:r>
        <w:rPr>
          <w:lang w:val="en-US"/>
        </w:rPr>
        <w:t>Article</w:t>
      </w:r>
      <w:r>
        <w:rPr>
          <w:lang w:val="sr-Cyrl-RS"/>
        </w:rPr>
        <w:t xml:space="preserve"> 227 </w:t>
      </w:r>
      <w:r>
        <w:rPr>
          <w:lang w:val="en-US"/>
        </w:rPr>
        <w:t>of the Law on Police</w:t>
      </w:r>
      <w:r>
        <w:rPr>
          <w:lang w:val="sr-Cyrl-RS"/>
        </w:rPr>
        <w:t xml:space="preserve">, </w:t>
      </w:r>
      <w:r w:rsidR="00BA297C">
        <w:rPr>
          <w:lang w:val="en-US"/>
        </w:rPr>
        <w:t>“Official Gazette of RS”</w:t>
      </w:r>
      <w:r>
        <w:rPr>
          <w:lang w:val="en-US"/>
        </w:rPr>
        <w:t>, Nos</w:t>
      </w:r>
      <w:r>
        <w:t xml:space="preserve">. 6/16, 24/18 </w:t>
      </w:r>
      <w:r>
        <w:rPr>
          <w:lang w:val="en-US"/>
        </w:rPr>
        <w:t>and</w:t>
      </w:r>
      <w:r>
        <w:t xml:space="preserve"> 87/18</w:t>
      </w:r>
      <w:r>
        <w:rPr>
          <w:lang w:val="sr-Cyrl-RS"/>
        </w:rPr>
        <w:t>.</w:t>
      </w:r>
    </w:p>
  </w:footnote>
  <w:footnote w:id="227">
    <w:p w14:paraId="02D9E43C" w14:textId="0247D658" w:rsidR="00B37F05" w:rsidRDefault="00B37F05" w:rsidP="00B37F05">
      <w:pPr>
        <w:spacing w:after="0"/>
        <w:rPr>
          <w:lang w:val="sr-Cyrl-CS"/>
        </w:rPr>
      </w:pPr>
      <w:r>
        <w:rPr>
          <w:rStyle w:val="FootnoteReference"/>
          <w:sz w:val="18"/>
          <w:szCs w:val="18"/>
        </w:rPr>
        <w:footnoteRef/>
      </w:r>
      <w:r>
        <w:rPr>
          <w:sz w:val="18"/>
          <w:szCs w:val="18"/>
          <w:lang w:val="sr-Cyrl-CS"/>
        </w:rPr>
        <w:t xml:space="preserve"> </w:t>
      </w:r>
      <w:r>
        <w:rPr>
          <w:sz w:val="18"/>
          <w:szCs w:val="18"/>
        </w:rPr>
        <w:t>Art</w:t>
      </w:r>
      <w:r>
        <w:rPr>
          <w:sz w:val="18"/>
          <w:szCs w:val="18"/>
          <w:lang w:val="sr-Cyrl-CS"/>
        </w:rPr>
        <w:t xml:space="preserve"> 219. </w:t>
      </w:r>
      <w:r>
        <w:rPr>
          <w:sz w:val="18"/>
          <w:szCs w:val="18"/>
        </w:rPr>
        <w:t>Par</w:t>
      </w:r>
      <w:r>
        <w:rPr>
          <w:sz w:val="18"/>
          <w:szCs w:val="18"/>
          <w:lang w:val="sr-Cyrl-CS"/>
        </w:rPr>
        <w:t xml:space="preserve"> 3, 220 </w:t>
      </w:r>
      <w:r>
        <w:rPr>
          <w:sz w:val="18"/>
          <w:szCs w:val="18"/>
        </w:rPr>
        <w:t>Items</w:t>
      </w:r>
      <w:r>
        <w:rPr>
          <w:sz w:val="18"/>
          <w:szCs w:val="18"/>
          <w:lang w:val="sr-Cyrl-CS"/>
        </w:rPr>
        <w:t xml:space="preserve"> 2 </w:t>
      </w:r>
      <w:r>
        <w:rPr>
          <w:sz w:val="18"/>
          <w:szCs w:val="18"/>
        </w:rPr>
        <w:t>and</w:t>
      </w:r>
      <w:r>
        <w:rPr>
          <w:sz w:val="18"/>
          <w:szCs w:val="18"/>
          <w:lang w:val="sr-Cyrl-CS"/>
        </w:rPr>
        <w:t xml:space="preserve"> 222. </w:t>
      </w:r>
      <w:r>
        <w:rPr>
          <w:sz w:val="18"/>
          <w:szCs w:val="18"/>
        </w:rPr>
        <w:t xml:space="preserve">Item 2 of </w:t>
      </w:r>
      <w:r w:rsidRPr="00CB2C31">
        <w:rPr>
          <w:sz w:val="18"/>
          <w:szCs w:val="18"/>
        </w:rPr>
        <w:t>the Criminal Procedure Code</w:t>
      </w:r>
      <w:r w:rsidR="00BA297C">
        <w:rPr>
          <w:sz w:val="18"/>
          <w:szCs w:val="18"/>
        </w:rPr>
        <w:t>”Official Gazette of RS”</w:t>
      </w:r>
      <w:r>
        <w:rPr>
          <w:sz w:val="18"/>
          <w:szCs w:val="18"/>
        </w:rPr>
        <w:t>,</w:t>
      </w:r>
      <w:r>
        <w:rPr>
          <w:sz w:val="18"/>
          <w:szCs w:val="18"/>
          <w:lang w:val="sr-Cyrl-RS"/>
        </w:rPr>
        <w:t xml:space="preserve"> </w:t>
      </w:r>
      <w:r>
        <w:rPr>
          <w:sz w:val="18"/>
          <w:szCs w:val="18"/>
        </w:rPr>
        <w:t>Nos</w:t>
      </w:r>
      <w:r>
        <w:rPr>
          <w:sz w:val="18"/>
          <w:szCs w:val="18"/>
          <w:lang w:val="sr-Cyrl-RS"/>
        </w:rPr>
        <w:t xml:space="preserve">. 72/11, 101/11, 121/12, 32/13, 45/13, 55/14, 35/19, 27/21 – </w:t>
      </w:r>
      <w:r>
        <w:rPr>
          <w:sz w:val="18"/>
          <w:szCs w:val="18"/>
        </w:rPr>
        <w:t>CC Decision</w:t>
      </w:r>
      <w:r>
        <w:rPr>
          <w:sz w:val="18"/>
          <w:szCs w:val="18"/>
          <w:lang w:val="sr-Cyrl-RS"/>
        </w:rPr>
        <w:t xml:space="preserve"> </w:t>
      </w:r>
      <w:r>
        <w:rPr>
          <w:sz w:val="18"/>
          <w:szCs w:val="18"/>
        </w:rPr>
        <w:t>and</w:t>
      </w:r>
      <w:r>
        <w:rPr>
          <w:sz w:val="18"/>
          <w:szCs w:val="18"/>
          <w:lang w:val="sr-Cyrl-RS"/>
        </w:rPr>
        <w:t xml:space="preserve"> 62/2021 – </w:t>
      </w:r>
      <w:r>
        <w:rPr>
          <w:sz w:val="18"/>
          <w:szCs w:val="18"/>
        </w:rPr>
        <w:t>CC Decision</w:t>
      </w:r>
      <w:r>
        <w:rPr>
          <w:sz w:val="18"/>
          <w:szCs w:val="18"/>
          <w:lang w:val="sr-Cyrl-CS"/>
        </w:rPr>
        <w:t>.</w:t>
      </w:r>
    </w:p>
  </w:footnote>
  <w:footnote w:id="228">
    <w:p w14:paraId="7C157C6E" w14:textId="46D078C8" w:rsidR="00B37F05" w:rsidRDefault="00B37F05" w:rsidP="00B37F05">
      <w:pPr>
        <w:pStyle w:val="FootnoteText"/>
        <w:ind w:firstLine="0"/>
        <w:rPr>
          <w:lang w:val="sr-Cyrl-RS"/>
        </w:rPr>
      </w:pPr>
      <w:r>
        <w:rPr>
          <w:rStyle w:val="FootnoteReference"/>
        </w:rPr>
        <w:footnoteRef/>
      </w:r>
      <w:r>
        <w:t xml:space="preserve"> </w:t>
      </w:r>
      <w:r>
        <w:rPr>
          <w:lang w:val="en-US"/>
        </w:rPr>
        <w:t>Art</w:t>
      </w:r>
      <w:r>
        <w:t xml:space="preserve"> 35.</w:t>
      </w:r>
      <w:r>
        <w:rPr>
          <w:lang w:val="en-US"/>
        </w:rPr>
        <w:t>Par</w:t>
      </w:r>
      <w:r>
        <w:rPr>
          <w:lang w:val="sr-Cyrl-RS"/>
        </w:rPr>
        <w:t xml:space="preserve"> </w:t>
      </w:r>
      <w:r>
        <w:t xml:space="preserve">2, 37 </w:t>
      </w:r>
      <w:r>
        <w:rPr>
          <w:lang w:val="en-US"/>
        </w:rPr>
        <w:t>Item</w:t>
      </w:r>
      <w:r>
        <w:rPr>
          <w:lang w:val="sr-Cyrl-RS"/>
        </w:rPr>
        <w:t xml:space="preserve"> </w:t>
      </w:r>
      <w:r>
        <w:rPr>
          <w:lang w:val="en-US"/>
        </w:rPr>
        <w:t>4</w:t>
      </w:r>
      <w:r>
        <w:t xml:space="preserve"> </w:t>
      </w:r>
      <w:r>
        <w:rPr>
          <w:lang w:val="en-US"/>
        </w:rPr>
        <w:t>and</w:t>
      </w:r>
      <w:r>
        <w:t xml:space="preserve"> 54</w:t>
      </w:r>
      <w:r>
        <w:rPr>
          <w:lang w:val="sr-Cyrl-RS"/>
        </w:rPr>
        <w:t xml:space="preserve"> </w:t>
      </w:r>
      <w:r>
        <w:rPr>
          <w:lang w:val="en-US"/>
        </w:rPr>
        <w:t>Item</w:t>
      </w:r>
      <w:r>
        <w:t xml:space="preserve"> 1 of </w:t>
      </w:r>
      <w:r>
        <w:rPr>
          <w:lang w:val="en-US"/>
        </w:rPr>
        <w:t>the t</w:t>
      </w:r>
      <w:r w:rsidRPr="00006552">
        <w:t>he Law on the Enforcement of the Prison Sentence for Criminal Offences of Organized Crime</w:t>
      </w:r>
      <w:r>
        <w:rPr>
          <w:lang w:val="sr-Cyrl-RS"/>
        </w:rPr>
        <w:t>,</w:t>
      </w:r>
      <w:r>
        <w:t xml:space="preserve"> </w:t>
      </w:r>
      <w:r w:rsidR="00BA297C">
        <w:rPr>
          <w:lang w:val="en-US"/>
        </w:rPr>
        <w:t>“Official Gazette of RS”</w:t>
      </w:r>
      <w:r>
        <w:rPr>
          <w:lang w:val="en-US"/>
        </w:rPr>
        <w:t>, Nos</w:t>
      </w:r>
      <w:r>
        <w:t xml:space="preserve">. 72/09 </w:t>
      </w:r>
      <w:r>
        <w:rPr>
          <w:lang w:val="en-US"/>
        </w:rPr>
        <w:t>and</w:t>
      </w:r>
      <w:r>
        <w:t xml:space="preserve"> 101/10.</w:t>
      </w:r>
    </w:p>
  </w:footnote>
  <w:footnote w:id="229">
    <w:p w14:paraId="5F536F5D" w14:textId="79297CFD" w:rsidR="00B37F05" w:rsidRDefault="00B37F05" w:rsidP="00B37F05">
      <w:pPr>
        <w:pStyle w:val="FootnoteText"/>
        <w:ind w:firstLine="0"/>
        <w:rPr>
          <w:lang w:val="sr-Cyrl-RS"/>
        </w:rPr>
      </w:pPr>
      <w:r>
        <w:rPr>
          <w:rStyle w:val="FootnoteReference"/>
        </w:rPr>
        <w:footnoteRef/>
      </w:r>
      <w:r>
        <w:t xml:space="preserve"> </w:t>
      </w:r>
      <w:r>
        <w:rPr>
          <w:lang w:val="en-US"/>
        </w:rPr>
        <w:t>Article</w:t>
      </w:r>
      <w:r>
        <w:t xml:space="preserve"> 78 </w:t>
      </w:r>
      <w:r>
        <w:rPr>
          <w:lang w:val="en-US"/>
        </w:rPr>
        <w:t>Par</w:t>
      </w:r>
      <w:r>
        <w:t xml:space="preserve"> 2</w:t>
      </w:r>
      <w:r>
        <w:rPr>
          <w:lang w:val="en-US"/>
        </w:rPr>
        <w:t xml:space="preserve"> of </w:t>
      </w:r>
      <w:r>
        <w:rPr>
          <w:bCs/>
          <w:lang w:val="en-US"/>
        </w:rPr>
        <w:t>the Law on Civil Servants</w:t>
      </w:r>
      <w:r>
        <w:rPr>
          <w:lang w:val="sr-Cyrl-RS"/>
        </w:rPr>
        <w:t>,</w:t>
      </w:r>
      <w:r>
        <w:rPr>
          <w:bCs/>
          <w:lang w:val="sr-Cyrl-RS"/>
        </w:rPr>
        <w:t xml:space="preserve"> </w:t>
      </w:r>
      <w:r w:rsidR="00BA297C">
        <w:rPr>
          <w:bCs/>
          <w:lang w:val="en-US"/>
        </w:rPr>
        <w:t>“Official Gazette of RS”</w:t>
      </w:r>
      <w:r>
        <w:rPr>
          <w:bCs/>
        </w:rPr>
        <w:t xml:space="preserve">, </w:t>
      </w:r>
      <w:r>
        <w:rPr>
          <w:bCs/>
          <w:lang w:val="en-US"/>
        </w:rPr>
        <w:t>Nos</w:t>
      </w:r>
      <w:r>
        <w:rPr>
          <w:bCs/>
        </w:rPr>
        <w:t xml:space="preserve">. 79/05, 81/05 - </w:t>
      </w:r>
      <w:r>
        <w:rPr>
          <w:bCs/>
          <w:lang w:val="en-US"/>
        </w:rPr>
        <w:t>corr</w:t>
      </w:r>
      <w:r>
        <w:rPr>
          <w:bCs/>
        </w:rPr>
        <w:t xml:space="preserve">., 83/05 - </w:t>
      </w:r>
      <w:r>
        <w:rPr>
          <w:bCs/>
          <w:lang w:val="en-US"/>
        </w:rPr>
        <w:t>corr</w:t>
      </w:r>
      <w:r>
        <w:rPr>
          <w:bCs/>
        </w:rPr>
        <w:t xml:space="preserve">., 64/07, 67/07 - </w:t>
      </w:r>
      <w:r>
        <w:rPr>
          <w:bCs/>
          <w:lang w:val="en-US"/>
        </w:rPr>
        <w:t>corr</w:t>
      </w:r>
      <w:r>
        <w:rPr>
          <w:bCs/>
        </w:rPr>
        <w:t>., 116/08, 104/09, 99/14, 94/17, 95/18</w:t>
      </w:r>
      <w:r>
        <w:rPr>
          <w:bCs/>
          <w:lang w:val="sr-Cyrl-RS"/>
        </w:rPr>
        <w:t>,</w:t>
      </w:r>
      <w:r>
        <w:rPr>
          <w:bCs/>
        </w:rPr>
        <w:t xml:space="preserve"> 157/20</w:t>
      </w:r>
      <w:r>
        <w:rPr>
          <w:bCs/>
          <w:lang w:val="sr-Cyrl-RS"/>
        </w:rPr>
        <w:t xml:space="preserve"> </w:t>
      </w:r>
      <w:r>
        <w:rPr>
          <w:bCs/>
          <w:lang w:val="en-US"/>
        </w:rPr>
        <w:t>and</w:t>
      </w:r>
      <w:r>
        <w:rPr>
          <w:bCs/>
          <w:lang w:val="sr-Cyrl-RS"/>
        </w:rPr>
        <w:t xml:space="preserve"> 142/22.</w:t>
      </w:r>
    </w:p>
  </w:footnote>
  <w:footnote w:id="230">
    <w:p w14:paraId="1EE426D1" w14:textId="7A5580C2" w:rsidR="00B37F05" w:rsidRDefault="00B37F05" w:rsidP="00B37F05">
      <w:pPr>
        <w:pStyle w:val="FootnoteText"/>
        <w:ind w:firstLine="0"/>
      </w:pPr>
      <w:r>
        <w:rPr>
          <w:rStyle w:val="FootnoteReference"/>
        </w:rPr>
        <w:footnoteRef/>
      </w:r>
      <w:r>
        <w:t xml:space="preserve"> </w:t>
      </w:r>
      <w:r>
        <w:rPr>
          <w:lang w:val="en-US"/>
        </w:rPr>
        <w:t>Article</w:t>
      </w:r>
      <w:r>
        <w:rPr>
          <w:lang w:val="sr-Cyrl-RS"/>
        </w:rPr>
        <w:t xml:space="preserve"> 38 of the </w:t>
      </w:r>
      <w:r>
        <w:rPr>
          <w:lang w:val="en-US"/>
        </w:rPr>
        <w:t xml:space="preserve">Law on Infromation </w:t>
      </w:r>
      <w:r w:rsidRPr="00A87BDA">
        <w:rPr>
          <w:lang w:val="en-US"/>
        </w:rPr>
        <w:t>Confidentiality</w:t>
      </w:r>
      <w:r>
        <w:rPr>
          <w:lang w:val="sr-Cyrl-RS"/>
        </w:rPr>
        <w:t xml:space="preserve">, </w:t>
      </w:r>
      <w:r w:rsidR="00BA297C">
        <w:rPr>
          <w:lang w:val="en-US"/>
        </w:rPr>
        <w:t>“Official Gazette of RS”</w:t>
      </w:r>
      <w:r>
        <w:rPr>
          <w:lang w:val="en-US"/>
        </w:rPr>
        <w:t>, No.</w:t>
      </w:r>
      <w:r>
        <w:t xml:space="preserve"> 104/09.</w:t>
      </w:r>
    </w:p>
  </w:footnote>
  <w:footnote w:id="231">
    <w:p w14:paraId="31B1E636" w14:textId="65D6A248" w:rsidR="00B37F05" w:rsidRDefault="00B37F05" w:rsidP="00B37F05">
      <w:pPr>
        <w:pStyle w:val="FootnoteText"/>
        <w:ind w:firstLine="0"/>
      </w:pPr>
      <w:r>
        <w:rPr>
          <w:rStyle w:val="FootnoteReference"/>
        </w:rPr>
        <w:footnoteRef/>
      </w:r>
      <w:r>
        <w:t xml:space="preserve"> </w:t>
      </w:r>
      <w:r>
        <w:rPr>
          <w:lang w:val="en-US"/>
        </w:rPr>
        <w:t>Articles</w:t>
      </w:r>
      <w:r>
        <w:t xml:space="preserve"> 13</w:t>
      </w:r>
      <w:r>
        <w:rPr>
          <w:lang w:val="en-US"/>
        </w:rPr>
        <w:t xml:space="preserve"> and</w:t>
      </w:r>
      <w:r>
        <w:t xml:space="preserve"> 15</w:t>
      </w:r>
      <w:r>
        <w:rPr>
          <w:lang w:val="en-US"/>
        </w:rPr>
        <w:t xml:space="preserve"> of the Law</w:t>
      </w:r>
      <w:r>
        <w:t xml:space="preserve"> </w:t>
      </w:r>
      <w:r w:rsidRPr="00A87BDA">
        <w:rPr>
          <w:lang w:val="sr-Cyrl-RS"/>
        </w:rPr>
        <w:t>on the Form and Use of the Coat of Arms, Flag and Anthem of the Republic of Serbia</w:t>
      </w:r>
      <w:r>
        <w:rPr>
          <w:lang w:val="sr-Cyrl-RS"/>
        </w:rPr>
        <w:t>,</w:t>
      </w:r>
      <w:r>
        <w:t xml:space="preserve"> </w:t>
      </w:r>
      <w:r w:rsidR="00BA297C">
        <w:rPr>
          <w:lang w:val="en-US"/>
        </w:rPr>
        <w:t>“Official Gazette of RS”</w:t>
      </w:r>
      <w:r>
        <w:rPr>
          <w:lang w:val="en-US"/>
        </w:rPr>
        <w:t>, No.</w:t>
      </w:r>
      <w:r>
        <w:rPr>
          <w:lang w:val="sr-Cyrl-RS"/>
        </w:rPr>
        <w:t xml:space="preserve"> </w:t>
      </w:r>
      <w:r>
        <w:t>36/09</w:t>
      </w:r>
      <w:r>
        <w:rPr>
          <w:lang w:val="sr-Cyrl-RS"/>
        </w:rPr>
        <w:t xml:space="preserve"> </w:t>
      </w:r>
      <w:r>
        <w:rPr>
          <w:lang w:val="en-US"/>
        </w:rPr>
        <w:t>and</w:t>
      </w:r>
      <w:r>
        <w:rPr>
          <w:lang w:val="sr-Cyrl-RS"/>
        </w:rPr>
        <w:t xml:space="preserve"> 10/23</w:t>
      </w:r>
      <w:r>
        <w:t>.</w:t>
      </w:r>
    </w:p>
  </w:footnote>
  <w:footnote w:id="232">
    <w:p w14:paraId="10D967A2" w14:textId="68EBDD67" w:rsidR="00B37F05" w:rsidRDefault="00B37F05" w:rsidP="00B37F05">
      <w:pPr>
        <w:pStyle w:val="FootnoteText"/>
        <w:ind w:firstLine="0"/>
        <w:rPr>
          <w:lang w:val="sr-Cyrl-RS"/>
        </w:rPr>
      </w:pPr>
      <w:r>
        <w:rPr>
          <w:rStyle w:val="FootnoteReference"/>
        </w:rPr>
        <w:footnoteRef/>
      </w:r>
      <w:r>
        <w:t xml:space="preserve"> </w:t>
      </w:r>
      <w:r>
        <w:rPr>
          <w:lang w:val="en-US"/>
        </w:rPr>
        <w:t>Article</w:t>
      </w:r>
      <w:r>
        <w:t xml:space="preserve"> 1 of t</w:t>
      </w:r>
      <w:r w:rsidRPr="00A87BDA">
        <w:t>he Law on the Seal of the State and Other Bodies</w:t>
      </w:r>
      <w:r>
        <w:rPr>
          <w:lang w:val="sr-Cyrl-RS"/>
        </w:rPr>
        <w:t>,</w:t>
      </w:r>
      <w:r>
        <w:t xml:space="preserve"> </w:t>
      </w:r>
      <w:r>
        <w:rPr>
          <w:lang w:val="en-US"/>
        </w:rPr>
        <w:t>“Offical Gazette RS”</w:t>
      </w:r>
      <w:r>
        <w:rPr>
          <w:lang w:val="sr-Cyrl-RS"/>
        </w:rPr>
        <w:t xml:space="preserve">, </w:t>
      </w:r>
      <w:r w:rsidR="006E7376">
        <w:rPr>
          <w:lang w:val="en-US"/>
        </w:rPr>
        <w:t>No</w:t>
      </w:r>
      <w:r>
        <w:rPr>
          <w:lang w:val="sr-Cyrl-RS"/>
        </w:rPr>
        <w:t xml:space="preserve">. 101/07 </w:t>
      </w:r>
      <w:r>
        <w:rPr>
          <w:lang w:val="en-US"/>
        </w:rPr>
        <w:t>and</w:t>
      </w:r>
      <w:r>
        <w:rPr>
          <w:lang w:val="sr-Cyrl-RS"/>
        </w:rPr>
        <w:t xml:space="preserve"> 49/21.</w:t>
      </w:r>
    </w:p>
  </w:footnote>
  <w:footnote w:id="233">
    <w:p w14:paraId="7F69664C" w14:textId="41CC26C3" w:rsidR="00B37F05" w:rsidRDefault="00B37F05" w:rsidP="00B37F05">
      <w:pPr>
        <w:pStyle w:val="FootnoteText"/>
        <w:ind w:firstLine="0"/>
        <w:rPr>
          <w:lang w:val="sr-Cyrl-RS"/>
        </w:rPr>
      </w:pPr>
      <w:r>
        <w:rPr>
          <w:rStyle w:val="FootnoteReference"/>
        </w:rPr>
        <w:footnoteRef/>
      </w:r>
      <w:r>
        <w:t xml:space="preserve"> </w:t>
      </w:r>
      <w:r>
        <w:rPr>
          <w:lang w:val="en-US"/>
        </w:rPr>
        <w:t>Article</w:t>
      </w:r>
      <w:r>
        <w:t xml:space="preserve"> 21</w:t>
      </w:r>
      <w:r>
        <w:rPr>
          <w:lang w:val="en-US"/>
        </w:rPr>
        <w:t xml:space="preserve"> of the</w:t>
      </w:r>
      <w:r>
        <w:rPr>
          <w:b/>
          <w:lang w:val="sr-Cyrl-RS"/>
        </w:rPr>
        <w:t xml:space="preserve"> </w:t>
      </w:r>
      <w:r w:rsidRPr="00A87BDA">
        <w:rPr>
          <w:lang w:val="sr-Cyrl-RS"/>
        </w:rPr>
        <w:t>Law on Political Parties</w:t>
      </w:r>
      <w:r>
        <w:rPr>
          <w:lang w:val="sr-Cyrl-RS"/>
        </w:rPr>
        <w:t>,</w:t>
      </w:r>
      <w:r>
        <w:t xml:space="preserve"> </w:t>
      </w:r>
      <w:r w:rsidR="00BA297C">
        <w:rPr>
          <w:lang w:val="en-US"/>
        </w:rPr>
        <w:t>“Official Gazette of RS”</w:t>
      </w:r>
      <w:r>
        <w:rPr>
          <w:lang w:val="en-US"/>
        </w:rPr>
        <w:t>,</w:t>
      </w:r>
      <w:r>
        <w:t xml:space="preserve"> </w:t>
      </w:r>
      <w:r>
        <w:rPr>
          <w:lang w:val="en-US"/>
        </w:rPr>
        <w:t>No</w:t>
      </w:r>
      <w:r>
        <w:rPr>
          <w:lang w:val="sr-Cyrl-RS"/>
        </w:rPr>
        <w:t xml:space="preserve">. </w:t>
      </w:r>
      <w:r>
        <w:t>36/09</w:t>
      </w:r>
      <w:r>
        <w:rPr>
          <w:lang w:val="sr-Cyrl-RS"/>
        </w:rPr>
        <w:t xml:space="preserve"> </w:t>
      </w:r>
      <w:r>
        <w:rPr>
          <w:lang w:val="en-US"/>
        </w:rPr>
        <w:t>and</w:t>
      </w:r>
      <w:r>
        <w:rPr>
          <w:lang w:val="sr-Cyrl-RS"/>
        </w:rPr>
        <w:t xml:space="preserve"> 61/15 – </w:t>
      </w:r>
      <w:r>
        <w:rPr>
          <w:lang w:val="en-US"/>
        </w:rPr>
        <w:t>CC Decision</w:t>
      </w:r>
      <w:r>
        <w:t>.</w:t>
      </w:r>
    </w:p>
  </w:footnote>
  <w:footnote w:id="234">
    <w:p w14:paraId="09867783" w14:textId="716DDC29" w:rsidR="00B37F05" w:rsidRDefault="00B37F05" w:rsidP="00B37F05">
      <w:pPr>
        <w:pStyle w:val="FootnoteText"/>
        <w:ind w:firstLine="0"/>
        <w:rPr>
          <w:lang w:val="sr-Cyrl-RS"/>
        </w:rPr>
      </w:pPr>
      <w:r>
        <w:rPr>
          <w:rStyle w:val="FootnoteReference"/>
        </w:rPr>
        <w:footnoteRef/>
      </w:r>
      <w:r>
        <w:t xml:space="preserve"> </w:t>
      </w:r>
      <w:r>
        <w:rPr>
          <w:lang w:val="en-US"/>
        </w:rPr>
        <w:t>Article</w:t>
      </w:r>
      <w:r>
        <w:rPr>
          <w:lang w:val="sr-Cyrl-RS"/>
        </w:rPr>
        <w:t xml:space="preserve"> 15</w:t>
      </w:r>
      <w:r>
        <w:rPr>
          <w:lang w:val="en-US"/>
        </w:rPr>
        <w:t xml:space="preserve"> of the Law</w:t>
      </w:r>
      <w:r>
        <w:rPr>
          <w:lang w:val="sr-Cyrl-RS"/>
        </w:rPr>
        <w:t xml:space="preserve"> </w:t>
      </w:r>
      <w:r w:rsidRPr="00A87BDA">
        <w:rPr>
          <w:lang w:val="sr-Cyrl-RS"/>
        </w:rPr>
        <w:t>on Establishing Facts on the Status of Newborn Children Suspected of Missing from a Maternity Hospital in the Republic of Serbia</w:t>
      </w:r>
      <w:r>
        <w:rPr>
          <w:lang w:val="sr-Cyrl-RS"/>
        </w:rPr>
        <w:t xml:space="preserve">, </w:t>
      </w:r>
      <w:r w:rsidR="00BA297C">
        <w:rPr>
          <w:lang w:val="en-US"/>
        </w:rPr>
        <w:t>“Official Gazette of RS”</w:t>
      </w:r>
      <w:r>
        <w:rPr>
          <w:lang w:val="en-US"/>
        </w:rPr>
        <w:t>,</w:t>
      </w:r>
      <w:r>
        <w:t xml:space="preserve"> </w:t>
      </w:r>
      <w:r>
        <w:rPr>
          <w:lang w:val="en-US"/>
        </w:rPr>
        <w:t>No</w:t>
      </w:r>
      <w:r>
        <w:rPr>
          <w:lang w:val="sr-Cyrl-RS"/>
        </w:rPr>
        <w:t>. 18/20.</w:t>
      </w:r>
    </w:p>
  </w:footnote>
  <w:footnote w:id="235">
    <w:p w14:paraId="06A3807C" w14:textId="134E2A94" w:rsidR="00B37F05" w:rsidRDefault="00B37F05" w:rsidP="00B37F05">
      <w:pPr>
        <w:pStyle w:val="FootnoteText"/>
        <w:ind w:firstLine="0"/>
        <w:rPr>
          <w:lang w:val="sr-Cyrl-RS"/>
        </w:rPr>
      </w:pPr>
      <w:r>
        <w:rPr>
          <w:rStyle w:val="FootnoteReference"/>
        </w:rPr>
        <w:footnoteRef/>
      </w:r>
      <w:r>
        <w:t xml:space="preserve"> </w:t>
      </w:r>
      <w:r>
        <w:rPr>
          <w:lang w:val="en-US"/>
        </w:rPr>
        <w:t>Article</w:t>
      </w:r>
      <w:r>
        <w:t xml:space="preserve"> 4</w:t>
      </w:r>
      <w:r>
        <w:rPr>
          <w:lang w:val="sr-Cyrl-RS"/>
        </w:rPr>
        <w:t xml:space="preserve"> </w:t>
      </w:r>
      <w:r>
        <w:rPr>
          <w:lang w:val="en-US"/>
        </w:rPr>
        <w:t>of the Law on Patients’ Rights</w:t>
      </w:r>
      <w:r>
        <w:rPr>
          <w:lang w:val="sr-Cyrl-RS"/>
        </w:rPr>
        <w:t>,</w:t>
      </w:r>
      <w:r>
        <w:t xml:space="preserve"> </w:t>
      </w:r>
      <w:r w:rsidR="00BA297C">
        <w:rPr>
          <w:lang w:val="en-US"/>
        </w:rPr>
        <w:t>“Official Gazette of RS”</w:t>
      </w:r>
      <w:r>
        <w:rPr>
          <w:lang w:val="en-US"/>
        </w:rPr>
        <w:t>,</w:t>
      </w:r>
      <w:r>
        <w:t xml:space="preserve"> </w:t>
      </w:r>
      <w:r>
        <w:rPr>
          <w:lang w:val="en-US"/>
        </w:rPr>
        <w:t>No</w:t>
      </w:r>
      <w:r>
        <w:rPr>
          <w:lang w:val="sr-Cyrl-RS"/>
        </w:rPr>
        <w:t xml:space="preserve">. </w:t>
      </w:r>
      <w:r>
        <w:t>45/13.</w:t>
      </w:r>
      <w:r>
        <w:rPr>
          <w:b/>
          <w:bCs/>
        </w:rPr>
        <w:t xml:space="preserve"> </w:t>
      </w:r>
      <w:r>
        <w:rPr>
          <w:bCs/>
          <w:lang w:val="en-US"/>
        </w:rPr>
        <w:t>and</w:t>
      </w:r>
      <w:r>
        <w:rPr>
          <w:bCs/>
        </w:rPr>
        <w:t xml:space="preserve"> 25/19 – </w:t>
      </w:r>
      <w:r>
        <w:rPr>
          <w:bCs/>
          <w:lang w:val="en-US"/>
        </w:rPr>
        <w:t>other law</w:t>
      </w:r>
      <w:r>
        <w:rPr>
          <w:bCs/>
          <w:lang w:val="sr-Cyrl-RS"/>
        </w:rPr>
        <w:t>.</w:t>
      </w:r>
    </w:p>
  </w:footnote>
  <w:footnote w:id="236">
    <w:p w14:paraId="4984C8BF" w14:textId="597A1CD2" w:rsidR="00B37F05" w:rsidRDefault="00B37F05" w:rsidP="00B37F05">
      <w:pPr>
        <w:pStyle w:val="FootnoteText"/>
        <w:ind w:firstLine="0"/>
        <w:rPr>
          <w:lang w:val="sr-Cyrl-RS"/>
        </w:rPr>
      </w:pPr>
      <w:r>
        <w:rPr>
          <w:rStyle w:val="FootnoteReference"/>
        </w:rPr>
        <w:footnoteRef/>
      </w:r>
      <w:r>
        <w:rPr>
          <w:lang w:val="sr-Cyrl-RS"/>
        </w:rPr>
        <w:t xml:space="preserve"> </w:t>
      </w:r>
      <w:r>
        <w:rPr>
          <w:lang w:val="en-US"/>
        </w:rPr>
        <w:t>Article</w:t>
      </w:r>
      <w:r>
        <w:t xml:space="preserve"> 47 </w:t>
      </w:r>
      <w:r>
        <w:rPr>
          <w:lang w:val="en-US"/>
        </w:rPr>
        <w:t>Par</w:t>
      </w:r>
      <w:r>
        <w:rPr>
          <w:lang w:val="sr-Cyrl-RS"/>
        </w:rPr>
        <w:t xml:space="preserve"> </w:t>
      </w:r>
      <w:r>
        <w:t xml:space="preserve">1 </w:t>
      </w:r>
      <w:r>
        <w:rPr>
          <w:lang w:val="en-US"/>
        </w:rPr>
        <w:t>of the Law on Public Property</w:t>
      </w:r>
      <w:r>
        <w:rPr>
          <w:lang w:val="sr-Cyrl-RS"/>
        </w:rPr>
        <w:t>,</w:t>
      </w:r>
      <w:r>
        <w:t xml:space="preserve"> </w:t>
      </w:r>
      <w:r w:rsidR="00BA297C">
        <w:rPr>
          <w:lang w:val="en-US"/>
        </w:rPr>
        <w:t>“Official Gazette of RS”</w:t>
      </w:r>
      <w:r>
        <w:rPr>
          <w:lang w:val="en-US"/>
        </w:rPr>
        <w:t>,</w:t>
      </w:r>
      <w:r>
        <w:t xml:space="preserve"> </w:t>
      </w:r>
      <w:r>
        <w:rPr>
          <w:lang w:val="en-US"/>
        </w:rPr>
        <w:t>No</w:t>
      </w:r>
      <w:r>
        <w:rPr>
          <w:lang w:val="sr-Cyrl-RS"/>
        </w:rPr>
        <w:t xml:space="preserve">. </w:t>
      </w:r>
      <w:r>
        <w:t>72/11</w:t>
      </w:r>
      <w:r>
        <w:rPr>
          <w:lang w:val="sr-Cyrl-RS"/>
        </w:rPr>
        <w:t>,</w:t>
      </w:r>
      <w:r>
        <w:t xml:space="preserve"> 88/13</w:t>
      </w:r>
      <w:r>
        <w:rPr>
          <w:lang w:val="sr-Cyrl-RS"/>
        </w:rPr>
        <w:t>,</w:t>
      </w:r>
      <w:r>
        <w:t xml:space="preserve"> </w:t>
      </w:r>
      <w:r>
        <w:rPr>
          <w:lang w:val="sr-Cyrl-RS"/>
        </w:rPr>
        <w:t xml:space="preserve">105/14, 104/16 – </w:t>
      </w:r>
      <w:r>
        <w:rPr>
          <w:lang w:val="en-US"/>
        </w:rPr>
        <w:t>other law</w:t>
      </w:r>
      <w:r>
        <w:rPr>
          <w:lang w:val="sr-Cyrl-RS"/>
        </w:rPr>
        <w:t xml:space="preserve">, 108/16, 113/17, 95/18 </w:t>
      </w:r>
      <w:r>
        <w:rPr>
          <w:bCs/>
          <w:lang w:val="en-US"/>
        </w:rPr>
        <w:t>and</w:t>
      </w:r>
      <w:r>
        <w:rPr>
          <w:bCs/>
        </w:rPr>
        <w:t xml:space="preserve"> 153/20</w:t>
      </w:r>
      <w:r>
        <w:rPr>
          <w:bCs/>
          <w:lang w:val="sr-Cyrl-RS"/>
        </w:rPr>
        <w:t>.</w:t>
      </w:r>
    </w:p>
  </w:footnote>
  <w:footnote w:id="237">
    <w:p w14:paraId="06162DF8" w14:textId="368ED208" w:rsidR="00B37F05" w:rsidRDefault="00B37F05" w:rsidP="00B37F05">
      <w:pPr>
        <w:spacing w:after="0"/>
        <w:rPr>
          <w:sz w:val="18"/>
          <w:szCs w:val="18"/>
          <w:lang w:val="ru-RU"/>
        </w:rPr>
      </w:pPr>
      <w:r>
        <w:rPr>
          <w:rStyle w:val="FootnoteReference"/>
          <w:sz w:val="18"/>
          <w:szCs w:val="18"/>
        </w:rPr>
        <w:footnoteRef/>
      </w:r>
      <w:r>
        <w:rPr>
          <w:sz w:val="18"/>
          <w:szCs w:val="18"/>
          <w:lang w:val="sr-Cyrl-RS"/>
        </w:rPr>
        <w:t xml:space="preserve"> </w:t>
      </w:r>
      <w:r>
        <w:rPr>
          <w:sz w:val="18"/>
          <w:szCs w:val="18"/>
        </w:rPr>
        <w:t>Article</w:t>
      </w:r>
      <w:r>
        <w:rPr>
          <w:sz w:val="18"/>
          <w:szCs w:val="18"/>
          <w:lang w:val="sr-Cyrl-RS"/>
        </w:rPr>
        <w:t xml:space="preserve"> 27k. </w:t>
      </w:r>
      <w:r w:rsidR="006E7376">
        <w:rPr>
          <w:sz w:val="18"/>
          <w:szCs w:val="18"/>
        </w:rPr>
        <w:t>o</w:t>
      </w:r>
      <w:r>
        <w:rPr>
          <w:sz w:val="18"/>
          <w:szCs w:val="18"/>
        </w:rPr>
        <w:t>f the Law on the Budget System</w:t>
      </w:r>
      <w:r>
        <w:rPr>
          <w:sz w:val="18"/>
          <w:szCs w:val="18"/>
          <w:lang w:val="sr-Cyrl-RS"/>
        </w:rPr>
        <w:t xml:space="preserve">, </w:t>
      </w:r>
      <w:r w:rsidR="00BA297C">
        <w:rPr>
          <w:sz w:val="18"/>
          <w:szCs w:val="18"/>
        </w:rPr>
        <w:t>“Official Gazette of RS”</w:t>
      </w:r>
      <w:r w:rsidRPr="00A87BDA">
        <w:rPr>
          <w:sz w:val="18"/>
          <w:szCs w:val="18"/>
        </w:rPr>
        <w:t>, No</w:t>
      </w:r>
      <w:r>
        <w:rPr>
          <w:lang w:val="sr-Cyrl-RS"/>
        </w:rPr>
        <w:t>.</w:t>
      </w:r>
      <w:r>
        <w:rPr>
          <w:sz w:val="18"/>
          <w:szCs w:val="18"/>
          <w:lang w:val="ru-RU"/>
        </w:rPr>
        <w:t xml:space="preserve"> 54/09, 73/10, 101/10, 101/11, 93/12, 62/13, 63/13 - </w:t>
      </w:r>
      <w:r>
        <w:rPr>
          <w:sz w:val="18"/>
          <w:szCs w:val="18"/>
        </w:rPr>
        <w:t>corr</w:t>
      </w:r>
      <w:r>
        <w:rPr>
          <w:sz w:val="18"/>
          <w:szCs w:val="18"/>
          <w:lang w:val="ru-RU"/>
        </w:rPr>
        <w:t xml:space="preserve">., 108/13, 142/14, 68/15 – </w:t>
      </w:r>
      <w:r>
        <w:rPr>
          <w:sz w:val="18"/>
          <w:szCs w:val="18"/>
        </w:rPr>
        <w:t>other law</w:t>
      </w:r>
      <w:r>
        <w:rPr>
          <w:sz w:val="18"/>
          <w:szCs w:val="18"/>
          <w:lang w:val="ru-RU"/>
        </w:rPr>
        <w:t>, 103/15, 99/16, 113/17, 95/18</w:t>
      </w:r>
      <w:r>
        <w:rPr>
          <w:sz w:val="18"/>
          <w:szCs w:val="18"/>
          <w:lang w:val="sr-Cyrl-RS"/>
        </w:rPr>
        <w:t>, 31/19, 72/19,</w:t>
      </w:r>
      <w:r>
        <w:rPr>
          <w:sz w:val="18"/>
          <w:szCs w:val="18"/>
          <w:lang w:val="ru-RU"/>
        </w:rPr>
        <w:t xml:space="preserve"> 149/20, 118/21, 138/22 и 118/21 – </w:t>
      </w:r>
      <w:r>
        <w:rPr>
          <w:sz w:val="18"/>
          <w:szCs w:val="18"/>
        </w:rPr>
        <w:t>other law and</w:t>
      </w:r>
      <w:r>
        <w:rPr>
          <w:sz w:val="18"/>
          <w:szCs w:val="18"/>
          <w:lang w:val="ru-RU"/>
        </w:rPr>
        <w:t xml:space="preserve"> 92/23.</w:t>
      </w:r>
    </w:p>
  </w:footnote>
  <w:footnote w:id="238">
    <w:p w14:paraId="1BEE29C2" w14:textId="14115438" w:rsidR="00B37F05" w:rsidRDefault="00B37F05" w:rsidP="00B37F05">
      <w:pPr>
        <w:pStyle w:val="FootnoteText"/>
        <w:ind w:firstLine="0"/>
        <w:rPr>
          <w:b/>
          <w:bCs/>
          <w:color w:val="FF0000"/>
          <w:lang w:val="sr-Cyrl-RS"/>
        </w:rPr>
      </w:pPr>
      <w:r>
        <w:rPr>
          <w:rStyle w:val="FootnoteReference"/>
        </w:rPr>
        <w:footnoteRef/>
      </w:r>
      <w:r>
        <w:rPr>
          <w:lang w:val="sr-Cyrl-RS"/>
        </w:rPr>
        <w:t xml:space="preserve"> </w:t>
      </w:r>
      <w:r>
        <w:rPr>
          <w:bCs/>
          <w:lang w:val="en-US"/>
        </w:rPr>
        <w:t>Article</w:t>
      </w:r>
      <w:r>
        <w:rPr>
          <w:bCs/>
          <w:lang w:val="ru-RU"/>
        </w:rPr>
        <w:t xml:space="preserve"> 185</w:t>
      </w:r>
      <w:r>
        <w:rPr>
          <w:b/>
          <w:bCs/>
          <w:lang w:val="ru-RU"/>
        </w:rPr>
        <w:t xml:space="preserve"> </w:t>
      </w:r>
      <w:r>
        <w:rPr>
          <w:bCs/>
          <w:lang w:val="en-US"/>
        </w:rPr>
        <w:t>of the Law on</w:t>
      </w:r>
      <w:r w:rsidRPr="004B75E2">
        <w:rPr>
          <w:bCs/>
          <w:lang w:val="en-US"/>
        </w:rPr>
        <w:t xml:space="preserve"> General Administrative Procedure</w:t>
      </w:r>
      <w:r>
        <w:rPr>
          <w:bCs/>
          <w:lang w:val="sr-Cyrl-RS"/>
        </w:rPr>
        <w:t>,</w:t>
      </w:r>
      <w:r>
        <w:t xml:space="preserve"> </w:t>
      </w:r>
      <w:r w:rsidR="00BA297C">
        <w:rPr>
          <w:lang w:val="en-US"/>
        </w:rPr>
        <w:t>“Official Gazette of RS”</w:t>
      </w:r>
      <w:r>
        <w:rPr>
          <w:lang w:val="ru-RU"/>
        </w:rPr>
        <w:t xml:space="preserve">, </w:t>
      </w:r>
      <w:r>
        <w:rPr>
          <w:lang w:val="en-US"/>
        </w:rPr>
        <w:t>No</w:t>
      </w:r>
      <w:r>
        <w:rPr>
          <w:lang w:val="ru-RU"/>
        </w:rPr>
        <w:t xml:space="preserve">. 18/16, 95/18 – </w:t>
      </w:r>
      <w:r>
        <w:rPr>
          <w:lang w:val="en-US"/>
        </w:rPr>
        <w:t>authentic interpretation</w:t>
      </w:r>
      <w:r>
        <w:rPr>
          <w:lang w:val="ru-RU"/>
        </w:rPr>
        <w:t xml:space="preserve"> </w:t>
      </w:r>
      <w:r>
        <w:rPr>
          <w:lang w:val="en-US"/>
        </w:rPr>
        <w:t>and</w:t>
      </w:r>
      <w:r>
        <w:rPr>
          <w:lang w:val="ru-RU"/>
        </w:rPr>
        <w:t xml:space="preserve"> 2/23 – </w:t>
      </w:r>
      <w:r>
        <w:rPr>
          <w:lang w:val="en-US"/>
        </w:rPr>
        <w:t>CC Decision</w:t>
      </w:r>
      <w:r>
        <w:rPr>
          <w:lang w:val="sr-Cyrl-RS"/>
        </w:rPr>
        <w:t>.</w:t>
      </w:r>
    </w:p>
  </w:footnote>
  <w:footnote w:id="239">
    <w:p w14:paraId="1AC4C6D4" w14:textId="77777777" w:rsidR="00B37F05" w:rsidRDefault="00B37F05" w:rsidP="00B37F05">
      <w:pPr>
        <w:pStyle w:val="FootnoteText"/>
        <w:ind w:firstLine="0"/>
        <w:rPr>
          <w:lang w:val="sr-Cyrl-RS"/>
        </w:rPr>
      </w:pPr>
      <w:r>
        <w:rPr>
          <w:rStyle w:val="FootnoteReference"/>
        </w:rPr>
        <w:footnoteRef/>
      </w:r>
      <w:r>
        <w:t xml:space="preserve"> </w:t>
      </w:r>
      <w:r>
        <w:rPr>
          <w:lang w:val="en-US"/>
        </w:rPr>
        <w:t>Available at</w:t>
      </w:r>
      <w:r>
        <w:rPr>
          <w:lang w:val="sr-Cyrl-RS"/>
        </w:rPr>
        <w:t xml:space="preserve"> </w:t>
      </w:r>
      <w:hyperlink r:id="rId83" w:history="1">
        <w:r>
          <w:rPr>
            <w:rStyle w:val="Hyperlink"/>
          </w:rPr>
          <w:t>https://www.mpravde.gov.rs/files/Revidirani%20AP23%202207.pdf</w:t>
        </w:r>
      </w:hyperlink>
      <w:r>
        <w:rPr>
          <w:rStyle w:val="Hyperlink"/>
          <w:lang w:val="sr-Cyrl-RS"/>
        </w:rPr>
        <w:t xml:space="preserve">. </w:t>
      </w:r>
      <w:r>
        <w:rPr>
          <w:lang w:val="sr-Cyrl-RS"/>
        </w:rPr>
        <w:t xml:space="preserve"> </w:t>
      </w:r>
      <w:r>
        <w:rPr>
          <w:highlight w:val="yellow"/>
        </w:rPr>
        <w:t xml:space="preserve"> </w:t>
      </w:r>
    </w:p>
  </w:footnote>
  <w:footnote w:id="240">
    <w:p w14:paraId="0A0C7435" w14:textId="426EC680" w:rsidR="00B37F05"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ru-RU"/>
        </w:rPr>
        <w:t xml:space="preserve">, </w:t>
      </w:r>
      <w:r>
        <w:rPr>
          <w:lang w:val="en-US"/>
        </w:rPr>
        <w:t>No</w:t>
      </w:r>
      <w:r>
        <w:rPr>
          <w:lang w:val="ru-RU"/>
        </w:rPr>
        <w:t>.</w:t>
      </w:r>
      <w:r>
        <w:rPr>
          <w:lang w:val="sr-Cyrl-RS"/>
        </w:rPr>
        <w:t xml:space="preserve"> </w:t>
      </w:r>
      <w:r>
        <w:t>42</w:t>
      </w:r>
      <w:r>
        <w:rPr>
          <w:lang w:val="sr-Cyrl-RS"/>
        </w:rPr>
        <w:t xml:space="preserve">/21 </w:t>
      </w:r>
      <w:r w:rsidR="006E7376">
        <w:rPr>
          <w:lang w:val="en-US"/>
        </w:rPr>
        <w:t>and</w:t>
      </w:r>
      <w:r>
        <w:rPr>
          <w:lang w:val="sr-Cyrl-RS"/>
        </w:rPr>
        <w:t xml:space="preserve"> 9/22.</w:t>
      </w:r>
    </w:p>
  </w:footnote>
  <w:footnote w:id="241">
    <w:p w14:paraId="1AD2C9C8" w14:textId="56866811" w:rsidR="00B37F05"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ru-RU"/>
        </w:rPr>
        <w:t xml:space="preserve">, </w:t>
      </w:r>
      <w:r>
        <w:rPr>
          <w:lang w:val="en-US"/>
        </w:rPr>
        <w:t>No</w:t>
      </w:r>
      <w:r>
        <w:rPr>
          <w:lang w:val="ru-RU"/>
        </w:rPr>
        <w:t xml:space="preserve">. </w:t>
      </w:r>
      <w:r>
        <w:t>2</w:t>
      </w:r>
      <w:r>
        <w:rPr>
          <w:lang w:val="sr-Cyrl-RS"/>
        </w:rPr>
        <w:t>3</w:t>
      </w:r>
      <w:r>
        <w:t>/</w:t>
      </w:r>
      <w:r>
        <w:rPr>
          <w:lang w:val="sr-Cyrl-RS"/>
        </w:rPr>
        <w:t>22</w:t>
      </w:r>
      <w:r>
        <w:t>.</w:t>
      </w:r>
    </w:p>
  </w:footnote>
  <w:footnote w:id="242">
    <w:p w14:paraId="2393BDCC" w14:textId="7A612966" w:rsidR="00B37F05"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ru-RU"/>
        </w:rPr>
        <w:t xml:space="preserve">, </w:t>
      </w:r>
      <w:r>
        <w:rPr>
          <w:lang w:val="en-US"/>
        </w:rPr>
        <w:t>No</w:t>
      </w:r>
      <w:r>
        <w:rPr>
          <w:lang w:val="ru-RU"/>
        </w:rPr>
        <w:t xml:space="preserve">. </w:t>
      </w:r>
      <w:r>
        <w:rPr>
          <w:lang w:val="sr-Cyrl-RS"/>
        </w:rPr>
        <w:t>11/20.</w:t>
      </w:r>
    </w:p>
  </w:footnote>
  <w:footnote w:id="243">
    <w:p w14:paraId="75E5012A" w14:textId="0EFDF485" w:rsidR="00B37F05" w:rsidRPr="00EC2EE7" w:rsidRDefault="00BA297C" w:rsidP="00B37F05">
      <w:pPr>
        <w:pStyle w:val="FootnoteText"/>
        <w:ind w:firstLine="0"/>
        <w:rPr>
          <w:lang w:val="sr-Cyrl-RS"/>
        </w:rPr>
      </w:pPr>
      <w:r>
        <w:rPr>
          <w:lang w:val="en-US"/>
        </w:rPr>
        <w:t>“Official Gazette of RS”</w:t>
      </w:r>
      <w:r w:rsidR="00B37F05">
        <w:rPr>
          <w:lang w:val="ru-RU"/>
        </w:rPr>
        <w:t xml:space="preserve">, </w:t>
      </w:r>
      <w:r w:rsidR="00B37F05">
        <w:rPr>
          <w:lang w:val="en-US"/>
        </w:rPr>
        <w:t>No</w:t>
      </w:r>
      <w:r w:rsidR="00B37F05">
        <w:rPr>
          <w:lang w:val="ru-RU"/>
        </w:rPr>
        <w:t xml:space="preserve">. </w:t>
      </w:r>
      <w:r w:rsidR="00B37F05">
        <w:t>60/13</w:t>
      </w:r>
      <w:r w:rsidR="00B37F05">
        <w:rPr>
          <w:lang w:val="sr-Cyrl-RS"/>
        </w:rPr>
        <w:t>.</w:t>
      </w:r>
    </w:p>
  </w:footnote>
  <w:footnote w:id="244">
    <w:p w14:paraId="6D6AA217" w14:textId="1F31AEDD" w:rsidR="00B37F05" w:rsidRDefault="00B37F05" w:rsidP="00B37F05">
      <w:pPr>
        <w:pStyle w:val="FootnoteText"/>
        <w:ind w:firstLine="0"/>
        <w:rPr>
          <w:lang w:val="en-US"/>
        </w:rPr>
      </w:pPr>
      <w:r>
        <w:rPr>
          <w:rStyle w:val="FootnoteReference"/>
        </w:rPr>
        <w:footnoteRef/>
      </w:r>
      <w:r>
        <w:t xml:space="preserve"> </w:t>
      </w:r>
      <w:r w:rsidR="00BA297C">
        <w:rPr>
          <w:lang w:val="en-US"/>
        </w:rPr>
        <w:t>“Official Gazette of RS”</w:t>
      </w:r>
      <w:r>
        <w:rPr>
          <w:lang w:val="ru-RU"/>
        </w:rPr>
        <w:t xml:space="preserve">, </w:t>
      </w:r>
      <w:r>
        <w:rPr>
          <w:lang w:val="en-US"/>
        </w:rPr>
        <w:t>No</w:t>
      </w:r>
      <w:r>
        <w:rPr>
          <w:lang w:val="ru-RU"/>
        </w:rPr>
        <w:t xml:space="preserve">. </w:t>
      </w:r>
      <w:r w:rsidRPr="003054FD">
        <w:t>12/22</w:t>
      </w:r>
      <w:r>
        <w:t>.</w:t>
      </w:r>
    </w:p>
  </w:footnote>
  <w:footnote w:id="245">
    <w:p w14:paraId="2ED933AF" w14:textId="49C4A20A" w:rsidR="00B37F05"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ru-RU"/>
        </w:rPr>
        <w:t xml:space="preserve">, </w:t>
      </w:r>
      <w:r>
        <w:rPr>
          <w:lang w:val="en-US"/>
        </w:rPr>
        <w:t>No</w:t>
      </w:r>
      <w:r>
        <w:rPr>
          <w:lang w:val="ru-RU"/>
        </w:rPr>
        <w:t xml:space="preserve">. </w:t>
      </w:r>
      <w:r>
        <w:rPr>
          <w:lang w:val="sr-Cyrl-RS"/>
        </w:rPr>
        <w:t>44/20.</w:t>
      </w:r>
    </w:p>
  </w:footnote>
  <w:footnote w:id="246">
    <w:p w14:paraId="5DA086A1" w14:textId="06E16B1D" w:rsidR="00B37F05"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en-US"/>
        </w:rPr>
        <w:t>, No.</w:t>
      </w:r>
      <w:r>
        <w:t>103/11.</w:t>
      </w:r>
    </w:p>
  </w:footnote>
  <w:footnote w:id="247">
    <w:p w14:paraId="7259C852" w14:textId="20925D4C" w:rsidR="00B37F05"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en-US"/>
        </w:rPr>
        <w:t>, No.</w:t>
      </w:r>
      <w:r>
        <w:t>122/08</w:t>
      </w:r>
      <w:r>
        <w:rPr>
          <w:lang w:val="sr-Cyrl-RS"/>
        </w:rPr>
        <w:t>.</w:t>
      </w:r>
    </w:p>
  </w:footnote>
  <w:footnote w:id="248">
    <w:p w14:paraId="7966D8F6" w14:textId="44CBF663" w:rsidR="00B37F05" w:rsidRDefault="006F7DDA" w:rsidP="00B37F05">
      <w:pPr>
        <w:pStyle w:val="FootnoteText"/>
        <w:ind w:firstLine="0"/>
        <w:rPr>
          <w:lang w:val="sr-Cyrl-RS"/>
        </w:rPr>
      </w:pPr>
      <w:r w:rsidRPr="006F7DDA">
        <w:rPr>
          <w:sz w:val="12"/>
          <w:szCs w:val="12"/>
          <w:lang w:val="en-US"/>
        </w:rPr>
        <w:t>247</w:t>
      </w:r>
      <w:r>
        <w:rPr>
          <w:sz w:val="12"/>
          <w:szCs w:val="12"/>
          <w:lang w:val="en-US"/>
        </w:rPr>
        <w:t xml:space="preserve"> </w:t>
      </w:r>
      <w:r w:rsidR="00BA297C">
        <w:rPr>
          <w:lang w:val="en-US"/>
        </w:rPr>
        <w:t>“Official Gazette of RS”</w:t>
      </w:r>
      <w:r w:rsidR="00B37F05">
        <w:rPr>
          <w:lang w:val="en-US"/>
        </w:rPr>
        <w:t>, No.</w:t>
      </w:r>
      <w:r w:rsidR="00B37F05">
        <w:t xml:space="preserve"> </w:t>
      </w:r>
      <w:r w:rsidR="00B37F05">
        <w:rPr>
          <w:lang w:val="sr-Cyrl-RS"/>
        </w:rPr>
        <w:t>47/21.</w:t>
      </w:r>
    </w:p>
  </w:footnote>
  <w:footnote w:id="249">
    <w:p w14:paraId="799E5A36" w14:textId="6BECCC1A" w:rsidR="00B37F05" w:rsidRDefault="00B37F05" w:rsidP="00B37F05">
      <w:pPr>
        <w:pStyle w:val="FootnoteText"/>
        <w:ind w:firstLine="0"/>
        <w:rPr>
          <w:lang w:val="sr-Latn-RS"/>
        </w:rPr>
      </w:pPr>
      <w:r>
        <w:rPr>
          <w:rStyle w:val="FootnoteReference"/>
        </w:rPr>
        <w:footnoteRef/>
      </w:r>
      <w:r>
        <w:t xml:space="preserve"> </w:t>
      </w:r>
      <w:r w:rsidR="00BA297C">
        <w:rPr>
          <w:lang w:val="en-US"/>
        </w:rPr>
        <w:t>“Official Gazette of RS”</w:t>
      </w:r>
      <w:r>
        <w:rPr>
          <w:lang w:val="en-US"/>
        </w:rPr>
        <w:t xml:space="preserve">, No. </w:t>
      </w:r>
      <w:r>
        <w:rPr>
          <w:lang w:val="sr-Cyrl-RS"/>
        </w:rPr>
        <w:t>63/21.</w:t>
      </w:r>
    </w:p>
  </w:footnote>
  <w:footnote w:id="250">
    <w:p w14:paraId="67F43233" w14:textId="71561F64" w:rsidR="006F7DDA" w:rsidRDefault="006F7DDA" w:rsidP="006F7DDA">
      <w:pPr>
        <w:spacing w:after="0"/>
        <w:rPr>
          <w:sz w:val="18"/>
          <w:szCs w:val="18"/>
          <w:lang w:val="sr-Cyrl-RS"/>
        </w:rPr>
      </w:pPr>
      <w:r>
        <w:rPr>
          <w:rStyle w:val="FootnoteReference"/>
          <w:sz w:val="18"/>
          <w:szCs w:val="18"/>
        </w:rPr>
        <w:footnoteRef/>
      </w:r>
      <w:r>
        <w:rPr>
          <w:sz w:val="18"/>
          <w:szCs w:val="18"/>
        </w:rPr>
        <w:t xml:space="preserve"> </w:t>
      </w:r>
      <w:r>
        <w:rPr>
          <w:sz w:val="18"/>
          <w:szCs w:val="18"/>
        </w:rPr>
        <w:t>“Official Gazette of RS”, No.</w:t>
      </w:r>
      <w:r>
        <w:rPr>
          <w:sz w:val="18"/>
          <w:szCs w:val="18"/>
        </w:rPr>
        <w:t xml:space="preserve"> 105/22</w:t>
      </w:r>
      <w:r>
        <w:rPr>
          <w:sz w:val="18"/>
          <w:szCs w:val="18"/>
          <w:lang w:val="sr-Cyrl-RS"/>
        </w:rPr>
        <w:t>.</w:t>
      </w:r>
    </w:p>
  </w:footnote>
  <w:footnote w:id="251">
    <w:p w14:paraId="4AF7CBC4" w14:textId="33A727E2" w:rsidR="00B37F05"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en-US"/>
        </w:rPr>
        <w:t xml:space="preserve">, No. </w:t>
      </w:r>
      <w:r>
        <w:rPr>
          <w:lang w:val="sr-Cyrl-RS"/>
        </w:rPr>
        <w:t>59</w:t>
      </w:r>
      <w:r>
        <w:t>/2</w:t>
      </w:r>
      <w:r>
        <w:rPr>
          <w:lang w:val="sr-Cyrl-RS"/>
        </w:rPr>
        <w:t>3</w:t>
      </w:r>
      <w:r>
        <w:t>.</w:t>
      </w:r>
    </w:p>
  </w:footnote>
  <w:footnote w:id="252">
    <w:p w14:paraId="1F510BAD" w14:textId="783116AB" w:rsidR="00B37F05" w:rsidRPr="00EC2EE7"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en-US"/>
        </w:rPr>
        <w:t xml:space="preserve">, No. </w:t>
      </w:r>
      <w:r>
        <w:rPr>
          <w:lang w:val="sr-Cyrl-RS"/>
        </w:rPr>
        <w:t>59</w:t>
      </w:r>
      <w:r>
        <w:t>/2</w:t>
      </w:r>
      <w:r>
        <w:rPr>
          <w:lang w:val="sr-Cyrl-RS"/>
        </w:rPr>
        <w:t>3</w:t>
      </w:r>
      <w:r>
        <w:t>.</w:t>
      </w:r>
    </w:p>
  </w:footnote>
  <w:footnote w:id="253">
    <w:p w14:paraId="0339ADCA" w14:textId="3A955D4C" w:rsidR="00B37F05" w:rsidRPr="00EC2EE7"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en-US"/>
        </w:rPr>
        <w:t>, No.</w:t>
      </w:r>
      <w:r>
        <w:rPr>
          <w:lang w:val="sr-Cyrl-RS"/>
        </w:rPr>
        <w:t>72</w:t>
      </w:r>
      <w:r>
        <w:t>/2</w:t>
      </w:r>
      <w:r>
        <w:rPr>
          <w:lang w:val="sr-Cyrl-RS"/>
        </w:rPr>
        <w:t>3</w:t>
      </w:r>
      <w:r>
        <w:t>.</w:t>
      </w:r>
    </w:p>
  </w:footnote>
  <w:footnote w:id="254">
    <w:p w14:paraId="56CCCBDD" w14:textId="303D45BD" w:rsidR="00B37F05" w:rsidRPr="00EC2EE7"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en-US"/>
        </w:rPr>
        <w:t xml:space="preserve">, No. </w:t>
      </w:r>
      <w:r>
        <w:rPr>
          <w:lang w:val="sr-Cyrl-RS"/>
        </w:rPr>
        <w:t>84</w:t>
      </w:r>
      <w:r>
        <w:t>/2</w:t>
      </w:r>
      <w:r>
        <w:rPr>
          <w:lang w:val="sr-Cyrl-RS"/>
        </w:rPr>
        <w:t>3</w:t>
      </w:r>
      <w:r>
        <w:t>.</w:t>
      </w:r>
    </w:p>
  </w:footnote>
  <w:footnote w:id="255">
    <w:p w14:paraId="09B5C0F2" w14:textId="2D52C18B" w:rsidR="00B37F05" w:rsidRPr="00EC2EE7"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en-US"/>
        </w:rPr>
        <w:t xml:space="preserve">, No. </w:t>
      </w:r>
      <w:r>
        <w:rPr>
          <w:lang w:val="sr-Cyrl-RS"/>
        </w:rPr>
        <w:t>117</w:t>
      </w:r>
      <w:r>
        <w:t>/2</w:t>
      </w:r>
      <w:r>
        <w:rPr>
          <w:lang w:val="sr-Cyrl-RS"/>
        </w:rPr>
        <w:t>3.</w:t>
      </w:r>
    </w:p>
  </w:footnote>
  <w:footnote w:id="256">
    <w:p w14:paraId="1CB7BE5C" w14:textId="219DEB11" w:rsidR="00B37F05" w:rsidRDefault="00B37F05" w:rsidP="00B37F05">
      <w:pPr>
        <w:pStyle w:val="FootnoteText"/>
        <w:ind w:firstLine="0"/>
        <w:rPr>
          <w:lang w:val="sr-Cyrl-RS"/>
        </w:rPr>
      </w:pPr>
      <w:r>
        <w:rPr>
          <w:rStyle w:val="FootnoteReference"/>
        </w:rPr>
        <w:footnoteRef/>
      </w:r>
      <w:r>
        <w:t xml:space="preserve"> </w:t>
      </w:r>
      <w:r w:rsidRPr="009D2718">
        <w:t>Rules of Procedure of the National Assembly</w:t>
      </w:r>
      <w:r>
        <w:rPr>
          <w:lang w:val="sr-Cyrl-RS"/>
        </w:rPr>
        <w:t xml:space="preserve">, </w:t>
      </w:r>
      <w:r w:rsidR="00BA297C">
        <w:rPr>
          <w:lang w:val="en-US"/>
        </w:rPr>
        <w:t>“Official Gazette of RS”</w:t>
      </w:r>
      <w:r>
        <w:rPr>
          <w:lang w:val="en-US"/>
        </w:rPr>
        <w:t xml:space="preserve">, No. </w:t>
      </w:r>
      <w:r>
        <w:t>20/12</w:t>
      </w:r>
      <w:r>
        <w:rPr>
          <w:lang w:val="sr-Cyrl-RS"/>
        </w:rPr>
        <w:t xml:space="preserve"> </w:t>
      </w:r>
      <w:r>
        <w:t xml:space="preserve">– </w:t>
      </w:r>
      <w:r>
        <w:rPr>
          <w:lang w:val="en-US"/>
        </w:rPr>
        <w:t>cleaned up text</w:t>
      </w:r>
      <w:r>
        <w:t>.</w:t>
      </w:r>
    </w:p>
  </w:footnote>
  <w:footnote w:id="257">
    <w:p w14:paraId="500E9CF9" w14:textId="04C54FFD" w:rsidR="00B37F05" w:rsidRDefault="00B37F05" w:rsidP="00B37F05">
      <w:pPr>
        <w:pStyle w:val="FootnoteText"/>
        <w:ind w:firstLine="0"/>
        <w:rPr>
          <w:lang w:val="sr-Cyrl-RS"/>
        </w:rPr>
      </w:pPr>
      <w:r>
        <w:rPr>
          <w:rStyle w:val="FootnoteReference"/>
        </w:rPr>
        <w:footnoteRef/>
      </w:r>
      <w:r>
        <w:t xml:space="preserve"> </w:t>
      </w:r>
      <w:r>
        <w:rPr>
          <w:lang w:val="en-US"/>
        </w:rPr>
        <w:t>Art</w:t>
      </w:r>
      <w:r>
        <w:t xml:space="preserve"> 39</w:t>
      </w:r>
      <w:r>
        <w:rPr>
          <w:lang w:val="en-US"/>
        </w:rPr>
        <w:t>a and</w:t>
      </w:r>
      <w:r>
        <w:t xml:space="preserve">46 </w:t>
      </w:r>
      <w:r>
        <w:rPr>
          <w:lang w:val="en-US"/>
        </w:rPr>
        <w:t xml:space="preserve">of the </w:t>
      </w:r>
      <w:r w:rsidRPr="006A31E5">
        <w:t>Rules of Procedure of the Government</w:t>
      </w:r>
      <w:r>
        <w:rPr>
          <w:lang w:val="sr-Cyrl-RS"/>
        </w:rPr>
        <w:t xml:space="preserve">, </w:t>
      </w:r>
      <w:r w:rsidR="00BA297C">
        <w:rPr>
          <w:lang w:val="en-US"/>
        </w:rPr>
        <w:t>“Official Gazette of RS”</w:t>
      </w:r>
      <w:r>
        <w:rPr>
          <w:lang w:val="en-US"/>
        </w:rPr>
        <w:t>, No.</w:t>
      </w:r>
      <w:r>
        <w:t xml:space="preserve"> 61/06</w:t>
      </w:r>
      <w:r>
        <w:rPr>
          <w:lang w:val="sr-Cyrl-RS"/>
        </w:rPr>
        <w:t xml:space="preserve"> </w:t>
      </w:r>
      <w:r>
        <w:t>–</w:t>
      </w:r>
      <w:r>
        <w:rPr>
          <w:lang w:val="sr-Cyrl-RS"/>
        </w:rPr>
        <w:t xml:space="preserve"> </w:t>
      </w:r>
      <w:r>
        <w:rPr>
          <w:lang w:val="en-US"/>
        </w:rPr>
        <w:t>cleaned up text</w:t>
      </w:r>
      <w:r>
        <w:t>, 69/08, 88/09, 33/10, 69/10, 20/11, 37/11, 30/13, 76/14</w:t>
      </w:r>
      <w:r>
        <w:rPr>
          <w:lang w:val="sr-Cyrl-RS"/>
        </w:rPr>
        <w:t xml:space="preserve"> </w:t>
      </w:r>
      <w:r>
        <w:rPr>
          <w:lang w:val="en-US"/>
        </w:rPr>
        <w:t>and</w:t>
      </w:r>
      <w:r>
        <w:rPr>
          <w:lang w:val="sr-Cyrl-RS"/>
        </w:rPr>
        <w:t xml:space="preserve"> 8/19 – </w:t>
      </w:r>
      <w:r>
        <w:rPr>
          <w:lang w:val="en-US"/>
        </w:rPr>
        <w:t>other provision</w:t>
      </w:r>
      <w:r>
        <w:t>.</w:t>
      </w:r>
    </w:p>
  </w:footnote>
  <w:footnote w:id="258">
    <w:p w14:paraId="5BA8D638" w14:textId="5B69935E" w:rsidR="00B37F05"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en-US"/>
        </w:rPr>
        <w:t xml:space="preserve">, No. </w:t>
      </w:r>
      <w:r>
        <w:rPr>
          <w:lang w:val="ru-RU"/>
        </w:rPr>
        <w:t>126</w:t>
      </w:r>
      <w:r>
        <w:t>/</w:t>
      </w:r>
      <w:r>
        <w:rPr>
          <w:lang w:val="ru-RU"/>
        </w:rPr>
        <w:t xml:space="preserve">21, 109/23 </w:t>
      </w:r>
      <w:r>
        <w:rPr>
          <w:lang w:val="en-US"/>
        </w:rPr>
        <w:t>and</w:t>
      </w:r>
      <w:r>
        <w:rPr>
          <w:lang w:val="ru-RU"/>
        </w:rPr>
        <w:t xml:space="preserve"> 116/23</w:t>
      </w:r>
      <w:r>
        <w:rPr>
          <w:lang w:val="sr-Cyrl-RS"/>
        </w:rPr>
        <w:t>.</w:t>
      </w:r>
    </w:p>
  </w:footnote>
  <w:footnote w:id="259">
    <w:p w14:paraId="772F1368" w14:textId="5A6D7C39" w:rsidR="00B37F05" w:rsidRDefault="00B37F05" w:rsidP="00B37F05">
      <w:pPr>
        <w:pStyle w:val="FootnoteText"/>
        <w:ind w:firstLine="0"/>
      </w:pPr>
      <w:r>
        <w:rPr>
          <w:rStyle w:val="FootnoteReference"/>
        </w:rPr>
        <w:footnoteRef/>
      </w:r>
      <w:r>
        <w:t xml:space="preserve"> </w:t>
      </w:r>
      <w:r w:rsidR="00BA297C">
        <w:rPr>
          <w:lang w:val="en-US"/>
        </w:rPr>
        <w:t>“Official Gazette of RS”</w:t>
      </w:r>
      <w:r>
        <w:rPr>
          <w:lang w:val="en-US"/>
        </w:rPr>
        <w:t xml:space="preserve">, No. </w:t>
      </w:r>
      <w:r>
        <w:t>91/09.</w:t>
      </w:r>
    </w:p>
  </w:footnote>
  <w:footnote w:id="260">
    <w:p w14:paraId="640880A7" w14:textId="7ABC9470" w:rsidR="00B37F05"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en-US"/>
        </w:rPr>
        <w:t xml:space="preserve">, No. </w:t>
      </w:r>
      <w:r>
        <w:t>38/19</w:t>
      </w:r>
      <w:r>
        <w:rPr>
          <w:lang w:val="sr-Cyrl-RS"/>
        </w:rPr>
        <w:t>,</w:t>
      </w:r>
      <w:r>
        <w:t xml:space="preserve"> 55/20</w:t>
      </w:r>
      <w:r>
        <w:rPr>
          <w:lang w:val="sr-Cyrl-RS"/>
        </w:rPr>
        <w:t xml:space="preserve"> </w:t>
      </w:r>
      <w:r>
        <w:rPr>
          <w:lang w:val="en-US"/>
        </w:rPr>
        <w:t>and</w:t>
      </w:r>
      <w:r>
        <w:rPr>
          <w:lang w:val="sr-Cyrl-RS"/>
        </w:rPr>
        <w:t xml:space="preserve"> 44/23</w:t>
      </w:r>
      <w:r>
        <w:t>.</w:t>
      </w:r>
    </w:p>
  </w:footnote>
  <w:footnote w:id="261">
    <w:p w14:paraId="353C7AE2" w14:textId="6238ED44" w:rsidR="00B37F05" w:rsidRDefault="00B37F05" w:rsidP="00B37F05">
      <w:pPr>
        <w:pStyle w:val="FootnoteText"/>
        <w:ind w:firstLine="0"/>
        <w:rPr>
          <w:lang w:val="sr-Cyrl-RS"/>
        </w:rPr>
      </w:pPr>
      <w:r>
        <w:rPr>
          <w:rStyle w:val="FootnoteReference"/>
        </w:rPr>
        <w:footnoteRef/>
      </w:r>
      <w:r>
        <w:t xml:space="preserve"> </w:t>
      </w:r>
      <w:r>
        <w:rPr>
          <w:lang w:val="en-US"/>
        </w:rPr>
        <w:t>Article</w:t>
      </w:r>
      <w:r>
        <w:rPr>
          <w:lang w:val="sr-Cyrl-RS"/>
        </w:rPr>
        <w:t xml:space="preserve"> </w:t>
      </w:r>
      <w:r>
        <w:t xml:space="preserve">60 </w:t>
      </w:r>
      <w:r>
        <w:rPr>
          <w:lang w:val="en-US"/>
        </w:rPr>
        <w:t>Par</w:t>
      </w:r>
      <w:r>
        <w:rPr>
          <w:lang w:val="sr-Cyrl-RS"/>
        </w:rPr>
        <w:t xml:space="preserve"> </w:t>
      </w:r>
      <w:r>
        <w:rPr>
          <w:lang w:val="en-US"/>
        </w:rPr>
        <w:t xml:space="preserve">1 of the </w:t>
      </w:r>
      <w:r w:rsidRPr="009D2718">
        <w:rPr>
          <w:lang w:val="sr-Latn-RS"/>
        </w:rPr>
        <w:t>Rulebook on administration in public prosecutor's offices</w:t>
      </w:r>
      <w:r>
        <w:rPr>
          <w:lang w:val="en-US"/>
        </w:rPr>
        <w:t xml:space="preserve">, </w:t>
      </w:r>
      <w:r w:rsidR="00BA297C">
        <w:rPr>
          <w:lang w:val="en-US"/>
        </w:rPr>
        <w:t>“Official Gazette of RS”</w:t>
      </w:r>
      <w:r>
        <w:rPr>
          <w:lang w:val="en-US"/>
        </w:rPr>
        <w:t>, No.</w:t>
      </w:r>
      <w:r>
        <w:t xml:space="preserve"> </w:t>
      </w:r>
      <w:r>
        <w:rPr>
          <w:lang w:val="sr-Cyrl-RS"/>
        </w:rPr>
        <w:t xml:space="preserve">110/09, 87/10, 5/12, 54/17, 14/18 </w:t>
      </w:r>
      <w:r>
        <w:rPr>
          <w:lang w:val="en-US"/>
        </w:rPr>
        <w:t>and</w:t>
      </w:r>
      <w:r>
        <w:rPr>
          <w:lang w:val="sr-Cyrl-RS"/>
        </w:rPr>
        <w:t xml:space="preserve"> 57/19</w:t>
      </w:r>
      <w:r>
        <w:t>.</w:t>
      </w:r>
    </w:p>
  </w:footnote>
  <w:footnote w:id="262">
    <w:p w14:paraId="6C42FF60" w14:textId="58B56580" w:rsidR="00B37F05" w:rsidRDefault="00B37F05" w:rsidP="00B37F05">
      <w:pPr>
        <w:pStyle w:val="FootnoteText"/>
        <w:ind w:firstLine="0"/>
        <w:rPr>
          <w:lang w:val="sr-Cyrl-RS"/>
        </w:rPr>
      </w:pPr>
      <w:r>
        <w:rPr>
          <w:rStyle w:val="FootnoteReference"/>
        </w:rPr>
        <w:footnoteRef/>
      </w:r>
      <w:r>
        <w:t xml:space="preserve"> </w:t>
      </w:r>
      <w:r w:rsidR="00BA297C">
        <w:rPr>
          <w:lang w:val="en-US"/>
        </w:rPr>
        <w:t>“Official Gazette of RS”</w:t>
      </w:r>
      <w:r>
        <w:rPr>
          <w:lang w:val="en-US"/>
        </w:rPr>
        <w:t>, No.</w:t>
      </w:r>
      <w:r>
        <w:t xml:space="preserve"> </w:t>
      </w:r>
      <w:r>
        <w:rPr>
          <w:lang w:val="ru-RU"/>
        </w:rPr>
        <w:t>110</w:t>
      </w:r>
      <w:r>
        <w:t>/1</w:t>
      </w:r>
      <w:r>
        <w:rPr>
          <w:lang w:val="ru-RU"/>
        </w:rPr>
        <w:t>4</w:t>
      </w:r>
      <w:r>
        <w:t xml:space="preserve"> </w:t>
      </w:r>
      <w:r>
        <w:rPr>
          <w:lang w:val="en-US"/>
        </w:rPr>
        <w:t>and</w:t>
      </w:r>
      <w:r>
        <w:t xml:space="preserve"> </w:t>
      </w:r>
      <w:r>
        <w:rPr>
          <w:lang w:val="ru-RU"/>
        </w:rPr>
        <w:t>79</w:t>
      </w:r>
      <w:r>
        <w:t>/1</w:t>
      </w:r>
      <w:r>
        <w:rPr>
          <w:lang w:val="ru-RU"/>
        </w:rPr>
        <w:t>6</w:t>
      </w:r>
      <w:r>
        <w:t>.</w:t>
      </w:r>
    </w:p>
  </w:footnote>
  <w:footnote w:id="263">
    <w:p w14:paraId="614BE675" w14:textId="25CFDA6C" w:rsidR="00B37F05" w:rsidRPr="009D2718" w:rsidRDefault="00B37F05" w:rsidP="00B37F05">
      <w:pPr>
        <w:pStyle w:val="FootnoteText"/>
        <w:ind w:firstLine="0"/>
        <w:rPr>
          <w:lang w:val="en-US"/>
        </w:rPr>
      </w:pPr>
      <w:r>
        <w:rPr>
          <w:rStyle w:val="FootnoteReference"/>
        </w:rPr>
        <w:footnoteRef/>
      </w:r>
      <w:r>
        <w:t xml:space="preserve"> </w:t>
      </w:r>
      <w:r w:rsidR="00BA297C">
        <w:rPr>
          <w:lang w:val="en-US"/>
        </w:rPr>
        <w:t>“Official Gazette of RS”</w:t>
      </w:r>
      <w:r>
        <w:rPr>
          <w:lang w:val="en-US"/>
        </w:rPr>
        <w:t>, No.</w:t>
      </w:r>
      <w:r>
        <w:t xml:space="preserve"> 71/06.</w:t>
      </w:r>
      <w:r>
        <w:rPr>
          <w:lang w:val="en-US"/>
        </w:rPr>
        <w:t xml:space="preserve"> </w:t>
      </w:r>
    </w:p>
  </w:footnote>
  <w:footnote w:id="264">
    <w:p w14:paraId="37D4F597" w14:textId="77777777" w:rsidR="00B37F05" w:rsidRDefault="00B37F05" w:rsidP="00B37F05">
      <w:pPr>
        <w:pStyle w:val="FootnoteText"/>
        <w:ind w:firstLine="0"/>
        <w:rPr>
          <w:lang w:val="sr-Cyrl-RS"/>
        </w:rPr>
      </w:pPr>
      <w:r>
        <w:rPr>
          <w:rStyle w:val="FootnoteReference"/>
        </w:rPr>
        <w:footnoteRef/>
      </w:r>
      <w:r>
        <w:t xml:space="preserve"> </w:t>
      </w:r>
      <w:r>
        <w:rPr>
          <w:lang w:val="en-US"/>
        </w:rPr>
        <w:t>Available at</w:t>
      </w:r>
      <w:r>
        <w:rPr>
          <w:lang w:val="sr-Cyrl-RS"/>
        </w:rPr>
        <w:t xml:space="preserve">: </w:t>
      </w:r>
      <w:hyperlink r:id="rId84" w:history="1">
        <w:r>
          <w:rPr>
            <w:rStyle w:val="Hyperlink"/>
          </w:rPr>
          <w:t>http://www.ombudsman.rs/attachments/2181_Beogradski%20principi.pdf</w:t>
        </w:r>
      </w:hyperlink>
      <w:r>
        <w:rPr>
          <w:rStyle w:val="Hyperlink"/>
          <w:lang w:val="sr-Cyrl-RS"/>
        </w:rPr>
        <w:t>.</w:t>
      </w:r>
    </w:p>
  </w:footnote>
  <w:footnote w:id="265">
    <w:p w14:paraId="7FDE6896" w14:textId="77777777" w:rsidR="00B37F05" w:rsidRDefault="00B37F05" w:rsidP="00B37F05">
      <w:pPr>
        <w:pStyle w:val="FootnoteText"/>
        <w:ind w:firstLine="0"/>
        <w:jc w:val="left"/>
      </w:pPr>
      <w:r>
        <w:rPr>
          <w:rStyle w:val="FootnoteReference"/>
        </w:rPr>
        <w:footnoteRef/>
      </w:r>
      <w:r>
        <w:rPr>
          <w:lang w:val="sr-Cyrl-RS"/>
        </w:rPr>
        <w:t xml:space="preserve"> </w:t>
      </w:r>
      <w:r w:rsidRPr="00F141AD">
        <w:t>UN General Assembly Resolution 48/134, so-called "Paris Principles" available at</w:t>
      </w:r>
      <w:r>
        <w:t>:</w:t>
      </w:r>
      <w:r w:rsidRPr="00AF2362">
        <w:t xml:space="preserve"> </w:t>
      </w:r>
      <w:hyperlink r:id="rId85" w:history="1">
        <w:r w:rsidRPr="002D4287">
          <w:rPr>
            <w:rStyle w:val="Hyperlink"/>
          </w:rPr>
          <w:t>https://documents.un.org/doc/undoc/gen/n94/116/24/pdf/n9411624.pdf?token=MQsjnQabPuJGbcGaB6&amp;fe=true</w:t>
        </w:r>
      </w:hyperlink>
      <w:r>
        <w:rPr>
          <w:lang w:val="sr-Latn-RS"/>
        </w:rPr>
        <w:t>, .</w:t>
      </w:r>
      <w:r>
        <w:t>;</w:t>
      </w:r>
      <w:r>
        <w:rPr>
          <w:lang w:val="sr-Latn-RS"/>
        </w:rPr>
        <w:t xml:space="preserve"> </w:t>
      </w:r>
      <w:r w:rsidRPr="00F141AD">
        <w:t>UN General Assembly Resolution 66/169 on national institutions for the protection and promotion of human rights available at</w:t>
      </w:r>
      <w:r>
        <w:rPr>
          <w:lang w:val="sr-Cyrl-RS"/>
        </w:rPr>
        <w:t>:</w:t>
      </w:r>
      <w:r w:rsidRPr="00D90E1B">
        <w:t xml:space="preserve"> </w:t>
      </w:r>
      <w:hyperlink r:id="rId86" w:history="1">
        <w:r w:rsidRPr="002D4287">
          <w:rPr>
            <w:rStyle w:val="Hyperlink"/>
            <w:lang w:val="sr-Cyrl-RS"/>
          </w:rPr>
          <w:t>https://documents.un.org/doc/undoc/gen/n11/468/96/pdf/n1146896.pdf?token=9uBMNfUYCqOCJ86uwF&amp;fe=true</w:t>
        </w:r>
      </w:hyperlink>
      <w:r>
        <w:rPr>
          <w:lang w:val="sr-Latn-RS"/>
        </w:rPr>
        <w:t xml:space="preserve">.. </w:t>
      </w:r>
      <w:r>
        <w:t>;</w:t>
      </w:r>
      <w:r>
        <w:rPr>
          <w:lang w:val="sr-Latn-RS"/>
        </w:rPr>
        <w:t xml:space="preserve"> </w:t>
      </w:r>
      <w:r w:rsidRPr="00F141AD">
        <w:t>Resolution of the General Assembly 67/163 on the rol</w:t>
      </w:r>
      <w:r>
        <w:t xml:space="preserve">e of </w:t>
      </w:r>
      <w:r>
        <w:rPr>
          <w:lang w:val="en-US"/>
        </w:rPr>
        <w:t>O</w:t>
      </w:r>
      <w:r>
        <w:t>mbudsma</w:t>
      </w:r>
      <w:r w:rsidRPr="00F141AD">
        <w:t>n, mediators and other national institutions for the protection and promotion of human rights available at</w:t>
      </w:r>
      <w:r>
        <w:t>:</w:t>
      </w:r>
      <w:r w:rsidRPr="00D90E1B">
        <w:t xml:space="preserve"> </w:t>
      </w:r>
      <w:hyperlink r:id="rId87" w:history="1">
        <w:r w:rsidRPr="002D4287">
          <w:rPr>
            <w:rStyle w:val="Hyperlink"/>
          </w:rPr>
          <w:t>https://documents.un.org/doc/undoc/gen/n12/488/38/pdf/n1248838.pdf?token=1kkSKOIvHruM4mCWks&amp;fe=true</w:t>
        </w:r>
      </w:hyperlink>
      <w:r>
        <w:rPr>
          <w:lang w:val="sr-Latn-RS"/>
        </w:rPr>
        <w:t xml:space="preserve">. </w:t>
      </w:r>
      <w:r>
        <w:rPr>
          <w:lang w:val="sr-Cyrl-RS"/>
        </w:rPr>
        <w:t xml:space="preserve">; </w:t>
      </w:r>
      <w:r w:rsidRPr="00F141AD">
        <w:t>Resolution of the Parliamentary Assembly 1959/13 on strengthening the institution of ombudsman in Europe available at</w:t>
      </w:r>
      <w:r>
        <w:rPr>
          <w:lang w:val="sr-Latn-RS"/>
        </w:rPr>
        <w:t>:</w:t>
      </w:r>
      <w:r w:rsidRPr="00D029F7">
        <w:t xml:space="preserve"> </w:t>
      </w:r>
      <w:hyperlink r:id="rId88" w:history="1">
        <w:r w:rsidRPr="002D4287">
          <w:rPr>
            <w:rStyle w:val="Hyperlink"/>
            <w:lang w:val="sr-Latn-RS"/>
          </w:rPr>
          <w:t>https://ombudsman.rs/attachments/3057_Resolution%20CoE.pdf</w:t>
        </w:r>
      </w:hyperlink>
      <w:r>
        <w:rPr>
          <w:lang w:val="sr-Latn-RS"/>
        </w:rPr>
        <w:t xml:space="preserve">. </w:t>
      </w:r>
      <w:r>
        <w:t xml:space="preserve">; </w:t>
      </w:r>
      <w:r w:rsidRPr="00377443">
        <w:t>Recommendation of the Parliamentary Assembly 1615/03 on the institution of ombudsman available at</w:t>
      </w:r>
      <w:r>
        <w:t>:</w:t>
      </w:r>
      <w:r w:rsidRPr="00D029F7">
        <w:t xml:space="preserve"> </w:t>
      </w:r>
      <w:hyperlink r:id="rId89" w:history="1">
        <w:r w:rsidRPr="002D4287">
          <w:rPr>
            <w:rStyle w:val="Hyperlink"/>
          </w:rPr>
          <w:t>https://assembly.coe.int/nw/xml/XRef/Xref-XML2HTML-en.asp?fileid=17133&amp;lang=en</w:t>
        </w:r>
      </w:hyperlink>
      <w:r>
        <w:rPr>
          <w:lang w:val="sr-Latn-RS"/>
        </w:rPr>
        <w:t xml:space="preserve">. </w:t>
      </w:r>
      <w:r>
        <w:t xml:space="preserve">; </w:t>
      </w:r>
      <w:r w:rsidRPr="00377443">
        <w:t>Venice Commission of the Council of Europe, Collection of documents on the institution of the ombudsman available at:</w:t>
      </w:r>
      <w:r>
        <w:rPr>
          <w:lang w:val="en-US"/>
        </w:rPr>
        <w:t xml:space="preserve"> </w:t>
      </w:r>
      <w:hyperlink r:id="rId90" w:history="1">
        <w:r>
          <w:rPr>
            <w:rStyle w:val="Hyperlink"/>
          </w:rPr>
          <w:t>http://www.venice.coe.int/webforms/documents/CDL(2011)079-e.aspx</w:t>
        </w:r>
      </w:hyperlink>
      <w:r>
        <w:t>.</w:t>
      </w:r>
    </w:p>
  </w:footnote>
  <w:footnote w:id="266">
    <w:p w14:paraId="125F2E51" w14:textId="77777777" w:rsidR="00B37F05" w:rsidRDefault="00B37F05" w:rsidP="00B37F05">
      <w:pPr>
        <w:pStyle w:val="FootnoteText"/>
        <w:ind w:firstLine="0"/>
        <w:rPr>
          <w:lang w:val="sr-Cyrl-RS"/>
        </w:rPr>
      </w:pPr>
      <w:r>
        <w:rPr>
          <w:rStyle w:val="FootnoteReference"/>
        </w:rPr>
        <w:footnoteRef/>
      </w:r>
      <w:r>
        <w:rPr>
          <w:lang w:val="sr-Cyrl-RS"/>
        </w:rPr>
        <w:t xml:space="preserve"> </w:t>
      </w:r>
      <w:r w:rsidRPr="00377443">
        <w:rPr>
          <w:lang w:val="sr-Cyrl-RS"/>
        </w:rPr>
        <w:t>The status is confirmed by the Global Alliance of National Institutions for Human Rights, whose accreditation process is overseen by the United Nations.</w:t>
      </w:r>
    </w:p>
  </w:footnote>
  <w:footnote w:id="267">
    <w:p w14:paraId="68809B96" w14:textId="77777777" w:rsidR="00B37F05" w:rsidRDefault="00B37F05" w:rsidP="00B37F05">
      <w:pPr>
        <w:pStyle w:val="FootnoteText"/>
        <w:ind w:firstLine="0"/>
        <w:rPr>
          <w:lang w:val="sr-Cyrl-RS"/>
        </w:rPr>
      </w:pPr>
      <w:r>
        <w:rPr>
          <w:rStyle w:val="FootnoteReference"/>
        </w:rPr>
        <w:footnoteRef/>
      </w:r>
      <w:r>
        <w:t xml:space="preserve"> </w:t>
      </w:r>
      <w:r>
        <w:rPr>
          <w:lang w:val="en-US"/>
        </w:rPr>
        <w:t>Available at</w:t>
      </w:r>
      <w:r>
        <w:rPr>
          <w:lang w:val="sr-Cyrl-RS"/>
        </w:rPr>
        <w:t xml:space="preserve">: </w:t>
      </w:r>
      <w:hyperlink r:id="rId91" w:history="1">
        <w:r>
          <w:rPr>
            <w:rStyle w:val="Hyperlink"/>
            <w:lang w:val="sr-Cyrl-RS"/>
          </w:rPr>
          <w:t>https://digitallibrary.un.org/record/1301905/files/A_72_230-EN.pdf</w:t>
        </w:r>
      </w:hyperlink>
      <w:r>
        <w:rPr>
          <w:lang w:val="sr-Latn-RS"/>
        </w:rPr>
        <w:t xml:space="preserve">. </w:t>
      </w:r>
    </w:p>
  </w:footnote>
  <w:footnote w:id="268">
    <w:p w14:paraId="28DDB23E" w14:textId="77777777" w:rsidR="00B37F05" w:rsidRDefault="00B37F05" w:rsidP="00B37F05">
      <w:pPr>
        <w:pStyle w:val="FootnoteText"/>
        <w:ind w:firstLine="0"/>
        <w:rPr>
          <w:lang w:val="sr-Latn-RS"/>
        </w:rPr>
      </w:pPr>
      <w:r>
        <w:rPr>
          <w:rStyle w:val="FootnoteReference"/>
        </w:rPr>
        <w:footnoteRef/>
      </w:r>
      <w:r>
        <w:t xml:space="preserve"> </w:t>
      </w:r>
      <w:r>
        <w:rPr>
          <w:lang w:val="en-US"/>
        </w:rPr>
        <w:t>Available at</w:t>
      </w:r>
      <w:r>
        <w:rPr>
          <w:lang w:val="sr-Cyrl-RS"/>
        </w:rPr>
        <w:t xml:space="preserve">: </w:t>
      </w:r>
      <w:hyperlink r:id="rId92" w:history="1">
        <w:r w:rsidRPr="002D4287">
          <w:rPr>
            <w:rStyle w:val="Hyperlink"/>
            <w:lang w:val="sr-Cyrl-RS"/>
          </w:rPr>
          <w:t>https://digitallibrary.un.org/record/1466810</w:t>
        </w:r>
      </w:hyperlink>
      <w:r>
        <w:rPr>
          <w:lang w:val="sr-Cyrl-RS"/>
        </w:rPr>
        <w:t xml:space="preserve">. </w:t>
      </w:r>
    </w:p>
  </w:footnote>
  <w:footnote w:id="269">
    <w:p w14:paraId="5C0BCBD0" w14:textId="77777777" w:rsidR="00B37F05" w:rsidRPr="00B91B3E" w:rsidRDefault="00B37F05" w:rsidP="00B37F05">
      <w:pPr>
        <w:pStyle w:val="FootnoteText"/>
        <w:ind w:firstLine="0"/>
        <w:jc w:val="left"/>
        <w:rPr>
          <w:lang w:val="sr-Latn-RS"/>
        </w:rPr>
      </w:pPr>
      <w:r>
        <w:rPr>
          <w:rStyle w:val="FootnoteReference"/>
        </w:rPr>
        <w:footnoteRef/>
      </w:r>
      <w:r>
        <w:rPr>
          <w:lang w:val="en-US"/>
        </w:rPr>
        <w:t xml:space="preserve"> </w:t>
      </w:r>
      <w:r w:rsidRPr="00377443">
        <w:t>Resolution 48/134 containing the Paris Principles available at</w:t>
      </w:r>
      <w:r>
        <w:t xml:space="preserve">: </w:t>
      </w:r>
      <w:hyperlink r:id="rId93" w:history="1">
        <w:r w:rsidRPr="002D4287">
          <w:rPr>
            <w:rStyle w:val="Hyperlink"/>
          </w:rPr>
          <w:t>https://documents.un.org/doc/undoc/gen/n94/116/24/pdf/n9411624.pdf?token=DpM4mgyURkQrq6vZjC&amp;fe=true</w:t>
        </w:r>
      </w:hyperlink>
      <w:r>
        <w:rPr>
          <w:lang w:val="sr-Latn-RS"/>
        </w:rPr>
        <w:t xml:space="preserve">. </w:t>
      </w:r>
    </w:p>
  </w:footnote>
  <w:footnote w:id="270">
    <w:p w14:paraId="4B96DBDB" w14:textId="77777777" w:rsidR="00B37F05" w:rsidRPr="00B91B3E" w:rsidRDefault="00B37F05" w:rsidP="00B37F05">
      <w:pPr>
        <w:pStyle w:val="FootnoteText"/>
        <w:ind w:firstLine="0"/>
        <w:rPr>
          <w:lang w:val="sr-Latn-RS"/>
        </w:rPr>
      </w:pPr>
      <w:r>
        <w:rPr>
          <w:rStyle w:val="FootnoteReference"/>
        </w:rPr>
        <w:footnoteRef/>
      </w:r>
      <w:r>
        <w:rPr>
          <w:lang w:val="sr-Cyrl-RS"/>
        </w:rPr>
        <w:t xml:space="preserve"> </w:t>
      </w:r>
      <w:r w:rsidRPr="00377443">
        <w:t>Recommendation of the Parliamentary Assembly 1615/03 on the institution of the ombudsman, available at</w:t>
      </w:r>
      <w:r>
        <w:t xml:space="preserve">: </w:t>
      </w:r>
      <w:hyperlink r:id="rId94" w:history="1">
        <w:r w:rsidRPr="002D4287">
          <w:rPr>
            <w:rStyle w:val="Hyperlink"/>
          </w:rPr>
          <w:t>https://assembly.coe.int/nw/xml/XRef/Xref-XML2HTML-en.asp?fileid=17133&amp;lang=en</w:t>
        </w:r>
      </w:hyperlink>
      <w:r>
        <w:rPr>
          <w:lang w:val="sr-Latn-RS"/>
        </w:rPr>
        <w:t xml:space="preserve">. </w:t>
      </w:r>
    </w:p>
  </w:footnote>
  <w:footnote w:id="271">
    <w:p w14:paraId="757D2C9C" w14:textId="77777777" w:rsidR="00B37F05" w:rsidRDefault="00B37F05" w:rsidP="00B37F05">
      <w:pPr>
        <w:pStyle w:val="FootnoteText"/>
        <w:ind w:firstLine="0"/>
      </w:pPr>
      <w:r>
        <w:rPr>
          <w:rStyle w:val="FootnoteReference"/>
        </w:rPr>
        <w:footnoteRef/>
      </w:r>
      <w:r>
        <w:rPr>
          <w:lang w:val="en-US"/>
        </w:rPr>
        <w:t xml:space="preserve"> Resolution</w:t>
      </w:r>
      <w:r>
        <w:t xml:space="preserve"> </w:t>
      </w:r>
      <w:r w:rsidRPr="00B91B3E">
        <w:t>1959/13</w:t>
      </w:r>
      <w:r>
        <w:rPr>
          <w:lang w:val="sr-Cyrl-RS"/>
        </w:rPr>
        <w:t xml:space="preserve">, </w:t>
      </w:r>
      <w:r>
        <w:rPr>
          <w:lang w:val="en-US"/>
        </w:rPr>
        <w:t>available at</w:t>
      </w:r>
      <w:r>
        <w:t>:</w:t>
      </w:r>
      <w:r w:rsidRPr="00B91B3E">
        <w:rPr>
          <w:lang w:val="sr-Latn-RS"/>
        </w:rPr>
        <w:t xml:space="preserve"> </w:t>
      </w:r>
      <w:hyperlink r:id="rId95" w:history="1">
        <w:r w:rsidRPr="002D4287">
          <w:rPr>
            <w:rStyle w:val="Hyperlink"/>
            <w:lang w:val="sr-Latn-RS"/>
          </w:rPr>
          <w:t>https://ombudsman.rs/attachments/3057_Resolution%20CoE.pdf</w:t>
        </w:r>
      </w:hyperlink>
      <w:r>
        <w:rPr>
          <w:lang w:val="sr-Latn-RS"/>
        </w:rPr>
        <w:t xml:space="preserve">. </w:t>
      </w:r>
    </w:p>
  </w:footnote>
  <w:footnote w:id="272">
    <w:p w14:paraId="5E254485" w14:textId="77777777" w:rsidR="00B37F05" w:rsidRDefault="00B37F05" w:rsidP="00B37F05">
      <w:pPr>
        <w:pStyle w:val="FootnoteText"/>
        <w:ind w:firstLine="0"/>
        <w:jc w:val="left"/>
      </w:pPr>
      <w:r>
        <w:rPr>
          <w:rStyle w:val="FootnoteReference"/>
        </w:rPr>
        <w:footnoteRef/>
      </w:r>
      <w:r>
        <w:t xml:space="preserve"> </w:t>
      </w:r>
      <w:r>
        <w:rPr>
          <w:i/>
          <w:lang w:val="en-US"/>
        </w:rPr>
        <w:t>The same</w:t>
      </w:r>
      <w:r>
        <w:rPr>
          <w:i/>
        </w:rPr>
        <w:t>.</w:t>
      </w:r>
    </w:p>
  </w:footnote>
  <w:footnote w:id="273">
    <w:p w14:paraId="56C2993A" w14:textId="77777777" w:rsidR="00B37F05" w:rsidRDefault="00B37F05" w:rsidP="00B37F05">
      <w:pPr>
        <w:pStyle w:val="FootnoteText"/>
        <w:ind w:firstLine="0"/>
        <w:jc w:val="left"/>
      </w:pPr>
      <w:r>
        <w:rPr>
          <w:rStyle w:val="FootnoteReference"/>
        </w:rPr>
        <w:footnoteRef/>
      </w:r>
      <w:r>
        <w:rPr>
          <w:lang w:val="en-US"/>
        </w:rPr>
        <w:t xml:space="preserve"> </w:t>
      </w:r>
      <w:r w:rsidRPr="00AF748D">
        <w:t>See the Collection of Documents on the Institution of Ombudsman of the Venice Commission, available at</w:t>
      </w:r>
      <w:r>
        <w:t xml:space="preserve">: </w:t>
      </w:r>
      <w:hyperlink r:id="rId96" w:history="1">
        <w:r>
          <w:rPr>
            <w:rStyle w:val="Hyperlink"/>
          </w:rPr>
          <w:t>http://www.venice.coe.int/webforms/documents/CDL(2011)079-e.aspx</w:t>
        </w:r>
      </w:hyperlink>
      <w:r>
        <w:t>.</w:t>
      </w:r>
    </w:p>
  </w:footnote>
  <w:footnote w:id="274">
    <w:p w14:paraId="027D2A07" w14:textId="77777777" w:rsidR="00B37F05" w:rsidRPr="00204BA6" w:rsidRDefault="00B37F05" w:rsidP="00B37F05">
      <w:pPr>
        <w:pStyle w:val="FootnoteText"/>
        <w:ind w:firstLine="0"/>
        <w:jc w:val="left"/>
        <w:rPr>
          <w:lang w:val="sr-Cyrl-RS"/>
        </w:rPr>
      </w:pPr>
      <w:r>
        <w:rPr>
          <w:rStyle w:val="FootnoteReference"/>
        </w:rPr>
        <w:footnoteRef/>
      </w:r>
      <w:r>
        <w:rPr>
          <w:lang w:val="en-US"/>
        </w:rPr>
        <w:t xml:space="preserve"> </w:t>
      </w:r>
      <w:r w:rsidRPr="00AF748D">
        <w:rPr>
          <w:lang w:val="sr-Cyrl-RS"/>
        </w:rPr>
        <w:t>Recommendation of the Committee of Ministers of the Council of Europe, March 2021, available at</w:t>
      </w:r>
      <w:r>
        <w:rPr>
          <w:lang w:val="sr-Cyrl-RS"/>
        </w:rPr>
        <w:t>:</w:t>
      </w:r>
      <w:r w:rsidRPr="00204BA6">
        <w:t xml:space="preserve"> </w:t>
      </w:r>
      <w:hyperlink r:id="rId97" w:history="1">
        <w:r w:rsidRPr="002D4287">
          <w:rPr>
            <w:rStyle w:val="Hyperlink"/>
            <w:lang w:val="sr-Cyrl-RS"/>
          </w:rPr>
          <w:t>https://search.coe.int/cm/pages/result_details.aspx?objectid=0900001680a1f4da</w:t>
        </w:r>
      </w:hyperlink>
      <w:r>
        <w:rPr>
          <w:lang w:val="sr-Cyrl-RS"/>
        </w:rPr>
        <w:t xml:space="preserve">. </w:t>
      </w:r>
    </w:p>
  </w:footnote>
  <w:footnote w:id="275">
    <w:p w14:paraId="16C20DDC" w14:textId="77777777" w:rsidR="00B37F05" w:rsidRPr="007E26E3" w:rsidRDefault="00B37F05" w:rsidP="00B37F05">
      <w:pPr>
        <w:pStyle w:val="FootnoteText"/>
        <w:ind w:firstLine="0"/>
        <w:jc w:val="left"/>
        <w:rPr>
          <w:lang w:val="sr-Cyrl-RS"/>
        </w:rPr>
      </w:pPr>
      <w:r>
        <w:rPr>
          <w:rStyle w:val="FootnoteReference"/>
        </w:rPr>
        <w:footnoteRef/>
      </w:r>
      <w:r>
        <w:t xml:space="preserve"> </w:t>
      </w:r>
      <w:r>
        <w:rPr>
          <w:lang w:val="en-US"/>
        </w:rPr>
        <w:t>Resolution</w:t>
      </w:r>
      <w:r>
        <w:rPr>
          <w:lang w:val="sr-Cyrl-RS"/>
        </w:rPr>
        <w:t xml:space="preserve"> 75/186 </w:t>
      </w:r>
      <w:r>
        <w:rPr>
          <w:lang w:val="en-US"/>
        </w:rPr>
        <w:t>available at</w:t>
      </w:r>
      <w:r>
        <w:rPr>
          <w:lang w:val="sr-Cyrl-RS"/>
        </w:rPr>
        <w:t xml:space="preserve">: </w:t>
      </w:r>
      <w:hyperlink r:id="rId98" w:history="1">
        <w:r w:rsidRPr="002D4287">
          <w:rPr>
            <w:rStyle w:val="Hyperlink"/>
            <w:lang w:val="sr-Cyrl-RS"/>
          </w:rPr>
          <w:t>https://documents.un.org/doc/undoc/gen/n20/373/10/pdf/n2037310.pdf?token=afiGRBEdgTuDbQsHZt&amp;fe=true</w:t>
        </w:r>
      </w:hyperlink>
      <w:r>
        <w:rPr>
          <w:lang w:val="sr-Cyrl-RS"/>
        </w:rPr>
        <w:t xml:space="preserve">. </w:t>
      </w:r>
    </w:p>
  </w:footnote>
  <w:footnote w:id="276">
    <w:p w14:paraId="2D9A770F" w14:textId="77777777" w:rsidR="00B37F05" w:rsidRPr="00A85796" w:rsidRDefault="00B37F05" w:rsidP="00B37F05">
      <w:pPr>
        <w:pStyle w:val="FootnoteText"/>
        <w:ind w:firstLine="0"/>
        <w:jc w:val="left"/>
        <w:rPr>
          <w:lang w:val="sr-Cyrl-RS"/>
        </w:rPr>
      </w:pPr>
      <w:r>
        <w:rPr>
          <w:rStyle w:val="FootnoteReference"/>
        </w:rPr>
        <w:footnoteRef/>
      </w:r>
      <w:r>
        <w:rPr>
          <w:lang w:val="en-US"/>
        </w:rPr>
        <w:t xml:space="preserve"> Resolution</w:t>
      </w:r>
      <w:r w:rsidRPr="00A85796">
        <w:rPr>
          <w:lang w:val="sr-Cyrl-RS"/>
        </w:rPr>
        <w:t xml:space="preserve"> 77/224, </w:t>
      </w:r>
      <w:r>
        <w:rPr>
          <w:lang w:val="en-US"/>
        </w:rPr>
        <w:t>available at</w:t>
      </w:r>
      <w:r w:rsidRPr="00A85796">
        <w:rPr>
          <w:lang w:val="sr-Cyrl-RS"/>
        </w:rPr>
        <w:t xml:space="preserve">: </w:t>
      </w:r>
      <w:hyperlink r:id="rId99" w:history="1">
        <w:r w:rsidRPr="00A85796">
          <w:rPr>
            <w:rStyle w:val="Hyperlink"/>
            <w:lang w:val="sr-Cyrl-RS"/>
          </w:rPr>
          <w:t>https://documents.un.org/doc/undoc/gen/n22/764/62/pdf/n2276462.pdf?token=eDyAGEZZ7p8Xm1gbX9&amp;fe=true</w:t>
        </w:r>
      </w:hyperlink>
      <w:r w:rsidRPr="00A85796">
        <w:rPr>
          <w:lang w:val="sr-Cyrl-RS"/>
        </w:rPr>
        <w:t xml:space="preserve">. </w:t>
      </w:r>
    </w:p>
  </w:footnote>
  <w:footnote w:id="277">
    <w:p w14:paraId="19D64588" w14:textId="445535D0" w:rsidR="00B37F05" w:rsidRDefault="00B37F05" w:rsidP="00B37F05">
      <w:pPr>
        <w:pStyle w:val="FootnoteText"/>
        <w:ind w:firstLine="0"/>
        <w:rPr>
          <w:lang w:val="sr-Cyrl-RS"/>
        </w:rPr>
      </w:pPr>
      <w:r>
        <w:rPr>
          <w:rStyle w:val="FootnoteReference"/>
        </w:rPr>
        <w:footnoteRef/>
      </w:r>
      <w:r>
        <w:t xml:space="preserve"> </w:t>
      </w:r>
      <w:r w:rsidR="006E7376">
        <w:rPr>
          <w:lang w:val="en-US"/>
        </w:rPr>
        <w:t>Article</w:t>
      </w:r>
      <w:r>
        <w:t xml:space="preserve"> 3 </w:t>
      </w:r>
      <w:r>
        <w:rPr>
          <w:lang w:val="en-US"/>
        </w:rPr>
        <w:t>Par</w:t>
      </w:r>
      <w:r w:rsidR="006E7376">
        <w:rPr>
          <w:lang w:val="en-US"/>
        </w:rPr>
        <w:t>.</w:t>
      </w:r>
      <w:r>
        <w:t xml:space="preserve"> 2 </w:t>
      </w:r>
      <w:r>
        <w:rPr>
          <w:lang w:val="en-US"/>
        </w:rPr>
        <w:t>of the Law on the Protector of Citizens</w:t>
      </w:r>
      <w:r>
        <w:t>.</w:t>
      </w:r>
    </w:p>
  </w:footnote>
  <w:footnote w:id="278">
    <w:p w14:paraId="4C362608" w14:textId="61AB77EC" w:rsidR="00B37F05" w:rsidRDefault="00B37F05" w:rsidP="00B37F05">
      <w:pPr>
        <w:pStyle w:val="FootnoteText"/>
        <w:ind w:firstLine="0"/>
        <w:rPr>
          <w:lang w:val="sr-Cyrl-RS"/>
        </w:rPr>
      </w:pPr>
      <w:r>
        <w:rPr>
          <w:rStyle w:val="FootnoteReference"/>
        </w:rPr>
        <w:footnoteRef/>
      </w:r>
      <w:r>
        <w:t xml:space="preserve"> </w:t>
      </w:r>
      <w:r>
        <w:rPr>
          <w:lang w:val="en-US"/>
        </w:rPr>
        <w:t>Article</w:t>
      </w:r>
      <w:r>
        <w:t xml:space="preserve"> 1</w:t>
      </w:r>
      <w:r>
        <w:rPr>
          <w:lang w:val="sr-Cyrl-RS"/>
        </w:rPr>
        <w:t>38.</w:t>
      </w:r>
      <w:r>
        <w:t xml:space="preserve"> </w:t>
      </w:r>
      <w:r>
        <w:rPr>
          <w:lang w:val="en-US"/>
        </w:rPr>
        <w:t>Par</w:t>
      </w:r>
      <w:r w:rsidR="006E7376">
        <w:rPr>
          <w:lang w:val="en-US"/>
        </w:rPr>
        <w:t>.</w:t>
      </w:r>
      <w:r>
        <w:t xml:space="preserve"> 1 </w:t>
      </w:r>
      <w:r>
        <w:rPr>
          <w:lang w:val="en-US"/>
        </w:rPr>
        <w:t>of the Constitution of RS</w:t>
      </w:r>
      <w:r>
        <w:rPr>
          <w:lang w:val="sr-Cyrl-RS"/>
        </w:rPr>
        <w:t xml:space="preserve">, </w:t>
      </w:r>
      <w:r>
        <w:rPr>
          <w:lang w:val="en-US"/>
        </w:rPr>
        <w:t>Article</w:t>
      </w:r>
      <w:r>
        <w:rPr>
          <w:lang w:val="sr-Cyrl-RS"/>
        </w:rPr>
        <w:t xml:space="preserve"> 1 </w:t>
      </w:r>
      <w:r>
        <w:rPr>
          <w:lang w:val="en-US"/>
        </w:rPr>
        <w:t>Par</w:t>
      </w:r>
      <w:r w:rsidR="006E7376">
        <w:rPr>
          <w:lang w:val="en-US"/>
        </w:rPr>
        <w:t>.</w:t>
      </w:r>
      <w:r>
        <w:rPr>
          <w:lang w:val="sr-Cyrl-RS"/>
        </w:rPr>
        <w:t xml:space="preserve"> 1 </w:t>
      </w:r>
      <w:r>
        <w:rPr>
          <w:lang w:val="en-US"/>
        </w:rPr>
        <w:t>of the Law on the Protector of Citizens</w:t>
      </w:r>
      <w:r>
        <w:t>.</w:t>
      </w:r>
    </w:p>
  </w:footnote>
  <w:footnote w:id="279">
    <w:p w14:paraId="545DE084" w14:textId="29E909D1" w:rsidR="00B37F05" w:rsidRDefault="00B37F05" w:rsidP="00B37F05">
      <w:pPr>
        <w:pStyle w:val="FootnoteText"/>
        <w:ind w:firstLine="0"/>
        <w:rPr>
          <w:lang w:val="sr-Cyrl-RS"/>
        </w:rPr>
      </w:pPr>
      <w:r>
        <w:rPr>
          <w:rStyle w:val="FootnoteReference"/>
        </w:rPr>
        <w:footnoteRef/>
      </w:r>
      <w:r>
        <w:rPr>
          <w:lang w:val="sr-Cyrl-RS"/>
        </w:rPr>
        <w:t xml:space="preserve"> </w:t>
      </w:r>
      <w:r>
        <w:rPr>
          <w:lang w:val="en-US"/>
        </w:rPr>
        <w:t>Article</w:t>
      </w:r>
      <w:r>
        <w:t xml:space="preserve"> </w:t>
      </w:r>
      <w:r>
        <w:rPr>
          <w:lang w:val="sr-Cyrl-RS"/>
        </w:rPr>
        <w:t xml:space="preserve">1. </w:t>
      </w:r>
      <w:r>
        <w:rPr>
          <w:lang w:val="en-US"/>
        </w:rPr>
        <w:t>Par</w:t>
      </w:r>
      <w:r w:rsidR="006E7376">
        <w:rPr>
          <w:lang w:val="en-US"/>
        </w:rPr>
        <w:t>.</w:t>
      </w:r>
      <w:r>
        <w:rPr>
          <w:lang w:val="sr-Cyrl-RS"/>
        </w:rPr>
        <w:t xml:space="preserve"> 2 </w:t>
      </w:r>
      <w:r>
        <w:rPr>
          <w:lang w:val="en-US"/>
        </w:rPr>
        <w:t>of the Law on the Protector of Citizens</w:t>
      </w:r>
      <w:r>
        <w:rPr>
          <w:lang w:val="sr-Cyrl-RS"/>
        </w:rPr>
        <w:t>.</w:t>
      </w:r>
    </w:p>
  </w:footnote>
  <w:footnote w:id="280">
    <w:p w14:paraId="307AF91A" w14:textId="55169D18" w:rsidR="00B37F05" w:rsidRDefault="00B37F05" w:rsidP="00B37F05">
      <w:pPr>
        <w:pStyle w:val="FootnoteText"/>
        <w:ind w:firstLine="0"/>
        <w:rPr>
          <w:lang w:val="sr-Cyrl-RS"/>
        </w:rPr>
      </w:pPr>
      <w:r>
        <w:rPr>
          <w:rStyle w:val="FootnoteReference"/>
        </w:rPr>
        <w:footnoteRef/>
      </w:r>
      <w:r>
        <w:t xml:space="preserve"> </w:t>
      </w:r>
      <w:r>
        <w:rPr>
          <w:lang w:val="en-US"/>
        </w:rPr>
        <w:t>Article</w:t>
      </w:r>
      <w:r>
        <w:t xml:space="preserve"> </w:t>
      </w:r>
      <w:r>
        <w:rPr>
          <w:lang w:val="sr-Latn-RS"/>
        </w:rPr>
        <w:t>1</w:t>
      </w:r>
      <w:r>
        <w:t xml:space="preserve">38. </w:t>
      </w:r>
      <w:r>
        <w:rPr>
          <w:lang w:val="en-US"/>
        </w:rPr>
        <w:t>Par</w:t>
      </w:r>
      <w:r w:rsidR="006E7376">
        <w:rPr>
          <w:lang w:val="en-US"/>
        </w:rPr>
        <w:t>.</w:t>
      </w:r>
      <w:r>
        <w:t xml:space="preserve"> 2 </w:t>
      </w:r>
      <w:r>
        <w:rPr>
          <w:lang w:val="en-US"/>
        </w:rPr>
        <w:t>of the Constitution of RS</w:t>
      </w:r>
      <w:r>
        <w:t xml:space="preserve">, </w:t>
      </w:r>
      <w:r>
        <w:rPr>
          <w:lang w:val="en-US"/>
        </w:rPr>
        <w:t>Article</w:t>
      </w:r>
      <w:r>
        <w:t xml:space="preserve"> 19 </w:t>
      </w:r>
      <w:r>
        <w:rPr>
          <w:lang w:val="en-US"/>
        </w:rPr>
        <w:t>Par</w:t>
      </w:r>
      <w:r w:rsidR="006E7376">
        <w:rPr>
          <w:lang w:val="en-US"/>
        </w:rPr>
        <w:t>.</w:t>
      </w:r>
      <w:r>
        <w:t xml:space="preserve"> 2 </w:t>
      </w:r>
      <w:r>
        <w:rPr>
          <w:lang w:val="en-US"/>
        </w:rPr>
        <w:t>of the Law on the Protector of Citizens</w:t>
      </w:r>
      <w:r>
        <w:t>.</w:t>
      </w:r>
    </w:p>
  </w:footnote>
  <w:footnote w:id="281">
    <w:p w14:paraId="78B3296B" w14:textId="77777777" w:rsidR="00B37F05" w:rsidRDefault="00B37F05" w:rsidP="00B37F05">
      <w:pPr>
        <w:pStyle w:val="FootnoteText"/>
        <w:ind w:firstLine="0"/>
        <w:rPr>
          <w:lang w:val="sr-Cyrl-RS"/>
        </w:rPr>
      </w:pPr>
      <w:r>
        <w:rPr>
          <w:rStyle w:val="FootnoteReference"/>
        </w:rPr>
        <w:footnoteRef/>
      </w:r>
      <w:r>
        <w:t xml:space="preserve"> </w:t>
      </w:r>
      <w:r>
        <w:rPr>
          <w:lang w:val="en-US"/>
        </w:rPr>
        <w:t>Article</w:t>
      </w:r>
      <w:r>
        <w:t xml:space="preserve"> </w:t>
      </w:r>
      <w:r>
        <w:rPr>
          <w:lang w:val="sr-Cyrl-RS"/>
        </w:rPr>
        <w:t xml:space="preserve">19. </w:t>
      </w:r>
      <w:r>
        <w:rPr>
          <w:lang w:val="en-US"/>
        </w:rPr>
        <w:t>Par</w:t>
      </w:r>
      <w:r>
        <w:rPr>
          <w:lang w:val="sr-Cyrl-RS"/>
        </w:rPr>
        <w:t xml:space="preserve"> 3 </w:t>
      </w:r>
      <w:r>
        <w:rPr>
          <w:lang w:val="en-US"/>
        </w:rPr>
        <w:t>of the Law on the Protector of Citizens</w:t>
      </w:r>
      <w:r>
        <w:t>.</w:t>
      </w:r>
    </w:p>
  </w:footnote>
  <w:footnote w:id="282">
    <w:p w14:paraId="0C48D8F2" w14:textId="0D21C492" w:rsidR="00B37F05" w:rsidRDefault="00B37F05" w:rsidP="00B37F05">
      <w:pPr>
        <w:pStyle w:val="FootnoteText"/>
        <w:ind w:firstLine="0"/>
        <w:rPr>
          <w:lang w:val="sr-Cyrl-RS"/>
        </w:rPr>
      </w:pPr>
      <w:r>
        <w:rPr>
          <w:rStyle w:val="FootnoteReference"/>
        </w:rPr>
        <w:footnoteRef/>
      </w:r>
      <w:r>
        <w:t xml:space="preserve"> </w:t>
      </w:r>
      <w:r>
        <w:rPr>
          <w:lang w:val="en-US"/>
        </w:rPr>
        <w:t>Article</w:t>
      </w:r>
      <w:r>
        <w:t xml:space="preserve"> 38. </w:t>
      </w:r>
      <w:r>
        <w:rPr>
          <w:lang w:val="en-US"/>
        </w:rPr>
        <w:t>Par</w:t>
      </w:r>
      <w:r>
        <w:rPr>
          <w:lang w:val="sr-Cyrl-RS"/>
        </w:rPr>
        <w:t>.</w:t>
      </w:r>
      <w:r>
        <w:t xml:space="preserve"> </w:t>
      </w:r>
      <w:r>
        <w:rPr>
          <w:lang w:val="en-US"/>
        </w:rPr>
        <w:t>1</w:t>
      </w:r>
      <w:r>
        <w:t xml:space="preserve"> </w:t>
      </w:r>
      <w:r>
        <w:rPr>
          <w:lang w:val="en-US"/>
        </w:rPr>
        <w:t>and 2</w:t>
      </w:r>
      <w:r>
        <w:t xml:space="preserve"> of the Law on Information Confidentiality</w:t>
      </w:r>
      <w:r>
        <w:rPr>
          <w:lang w:val="sr-Cyrl-RS"/>
        </w:rPr>
        <w:t xml:space="preserve">, </w:t>
      </w:r>
      <w:r w:rsidR="00BA297C">
        <w:rPr>
          <w:lang w:val="en-US"/>
        </w:rPr>
        <w:t>“Official Gazette of RS”</w:t>
      </w:r>
      <w:r>
        <w:rPr>
          <w:lang w:val="en-US"/>
        </w:rPr>
        <w:t>, No.</w:t>
      </w:r>
      <w:r>
        <w:t xml:space="preserve"> 104/09.</w:t>
      </w:r>
    </w:p>
  </w:footnote>
  <w:footnote w:id="283">
    <w:p w14:paraId="61B7851E" w14:textId="224769D0" w:rsidR="00B37F05" w:rsidRDefault="00B37F05" w:rsidP="00B37F05">
      <w:pPr>
        <w:pStyle w:val="FootnoteText"/>
        <w:ind w:firstLine="0"/>
        <w:rPr>
          <w:lang w:val="sr-Latn-RS"/>
        </w:rPr>
      </w:pPr>
      <w:r>
        <w:rPr>
          <w:rStyle w:val="FootnoteReference"/>
        </w:rPr>
        <w:footnoteRef/>
      </w:r>
      <w:r>
        <w:rPr>
          <w:lang w:val="sr-Cyrl-RS"/>
        </w:rPr>
        <w:t xml:space="preserve"> </w:t>
      </w:r>
      <w:r>
        <w:rPr>
          <w:lang w:val="en-US"/>
        </w:rPr>
        <w:t>Article</w:t>
      </w:r>
      <w:r>
        <w:t xml:space="preserve"> </w:t>
      </w:r>
      <w:r>
        <w:rPr>
          <w:lang w:val="sr-Cyrl-RS"/>
        </w:rPr>
        <w:t xml:space="preserve">27. </w:t>
      </w:r>
      <w:r>
        <w:rPr>
          <w:lang w:val="en-US"/>
        </w:rPr>
        <w:t>Par</w:t>
      </w:r>
      <w:r w:rsidR="006E7376">
        <w:rPr>
          <w:lang w:val="en-US"/>
        </w:rPr>
        <w:t>.</w:t>
      </w:r>
      <w:r>
        <w:rPr>
          <w:lang w:val="sr-Cyrl-RS"/>
        </w:rPr>
        <w:t xml:space="preserve"> 2 </w:t>
      </w:r>
      <w:r>
        <w:rPr>
          <w:lang w:val="en-US"/>
        </w:rPr>
        <w:t>of the Law on the Protector of Citizens</w:t>
      </w:r>
      <w:r>
        <w:rPr>
          <w:lang w:val="sr-Latn-RS"/>
        </w:rPr>
        <w:t>.</w:t>
      </w:r>
    </w:p>
  </w:footnote>
  <w:footnote w:id="284">
    <w:p w14:paraId="587ABB7F" w14:textId="65BA152C" w:rsidR="00B37F05" w:rsidRDefault="00B37F05" w:rsidP="00B37F05">
      <w:pPr>
        <w:pStyle w:val="FootnoteText"/>
        <w:ind w:firstLine="0"/>
        <w:rPr>
          <w:lang w:val="sr-Cyrl-RS"/>
        </w:rPr>
      </w:pPr>
      <w:r>
        <w:rPr>
          <w:rStyle w:val="FootnoteReference"/>
        </w:rPr>
        <w:footnoteRef/>
      </w:r>
      <w:r>
        <w:t xml:space="preserve"> </w:t>
      </w:r>
      <w:r>
        <w:rPr>
          <w:lang w:val="sr-Cyrl-RS"/>
        </w:rPr>
        <w:t xml:space="preserve"> </w:t>
      </w:r>
      <w:r>
        <w:rPr>
          <w:lang w:val="en-US"/>
        </w:rPr>
        <w:t>Article</w:t>
      </w:r>
      <w:r>
        <w:rPr>
          <w:lang w:val="sr-Cyrl-RS"/>
        </w:rPr>
        <w:t xml:space="preserve"> 20 </w:t>
      </w:r>
      <w:r>
        <w:rPr>
          <w:lang w:val="en-US"/>
        </w:rPr>
        <w:t>Par</w:t>
      </w:r>
      <w:r w:rsidR="006E7376">
        <w:rPr>
          <w:lang w:val="en-US"/>
        </w:rPr>
        <w:t>.</w:t>
      </w:r>
      <w:r>
        <w:rPr>
          <w:lang w:val="sr-Cyrl-RS"/>
        </w:rPr>
        <w:t xml:space="preserve"> 1 </w:t>
      </w:r>
      <w:r>
        <w:rPr>
          <w:lang w:val="en-US"/>
        </w:rPr>
        <w:t>and</w:t>
      </w:r>
      <w:r>
        <w:rPr>
          <w:lang w:val="sr-Cyrl-RS"/>
        </w:rPr>
        <w:t xml:space="preserve"> 2</w:t>
      </w:r>
      <w:r>
        <w:rPr>
          <w:lang w:val="en-US"/>
        </w:rPr>
        <w:t xml:space="preserve"> of the Law on the Protector of Citizens</w:t>
      </w:r>
      <w:r>
        <w:rPr>
          <w:lang w:val="sr-Cyrl-RS"/>
        </w:rPr>
        <w:t>.</w:t>
      </w:r>
    </w:p>
  </w:footnote>
  <w:footnote w:id="285">
    <w:p w14:paraId="7777CAAE" w14:textId="70CA6580" w:rsidR="00B37F05" w:rsidRDefault="00B37F05" w:rsidP="00B37F05">
      <w:pPr>
        <w:pStyle w:val="FootnoteText"/>
        <w:ind w:firstLine="0"/>
        <w:rPr>
          <w:lang w:val="sr-Cyrl-RS"/>
        </w:rPr>
      </w:pPr>
      <w:r>
        <w:rPr>
          <w:rStyle w:val="FootnoteReference"/>
        </w:rPr>
        <w:footnoteRef/>
      </w:r>
      <w:r>
        <w:t xml:space="preserve"> </w:t>
      </w:r>
      <w:r>
        <w:rPr>
          <w:lang w:val="en-US"/>
        </w:rPr>
        <w:t>Article</w:t>
      </w:r>
      <w:r>
        <w:rPr>
          <w:lang w:val="sr-Cyrl-RS"/>
        </w:rPr>
        <w:t xml:space="preserve"> 21 </w:t>
      </w:r>
      <w:r>
        <w:rPr>
          <w:lang w:val="en-US"/>
        </w:rPr>
        <w:t>Par</w:t>
      </w:r>
      <w:r w:rsidR="006E7376">
        <w:rPr>
          <w:lang w:val="en-US"/>
        </w:rPr>
        <w:t>.</w:t>
      </w:r>
      <w:r>
        <w:rPr>
          <w:lang w:val="sr-Cyrl-RS"/>
        </w:rPr>
        <w:t xml:space="preserve"> 1 </w:t>
      </w:r>
      <w:r>
        <w:rPr>
          <w:lang w:val="en-US"/>
        </w:rPr>
        <w:t>of the Law on the Protector of Citizens</w:t>
      </w:r>
      <w:r>
        <w:rPr>
          <w:lang w:val="sr-Cyrl-RS"/>
        </w:rPr>
        <w:t>.</w:t>
      </w:r>
    </w:p>
  </w:footnote>
  <w:footnote w:id="286">
    <w:p w14:paraId="49A7635B" w14:textId="77777777" w:rsidR="00B37F05" w:rsidRDefault="00B37F05" w:rsidP="00B37F05">
      <w:pPr>
        <w:pStyle w:val="FootnoteText"/>
        <w:ind w:firstLine="0"/>
        <w:rPr>
          <w:lang w:val="sr-Cyrl-RS"/>
        </w:rPr>
      </w:pPr>
      <w:r>
        <w:rPr>
          <w:rStyle w:val="FootnoteReference"/>
        </w:rPr>
        <w:footnoteRef/>
      </w:r>
      <w:r>
        <w:t xml:space="preserve"> </w:t>
      </w:r>
      <w:r>
        <w:rPr>
          <w:lang w:val="en-US"/>
        </w:rPr>
        <w:t>Article</w:t>
      </w:r>
      <w:r>
        <w:rPr>
          <w:lang w:val="sr-Cyrl-RS"/>
        </w:rPr>
        <w:t xml:space="preserve"> 22 </w:t>
      </w:r>
      <w:r>
        <w:rPr>
          <w:lang w:val="en-US"/>
        </w:rPr>
        <w:t>of the Law on the Protector of Citizens</w:t>
      </w:r>
      <w:r>
        <w:rPr>
          <w:lang w:val="sr-Cyrl-RS"/>
        </w:rPr>
        <w:t>.</w:t>
      </w:r>
    </w:p>
  </w:footnote>
  <w:footnote w:id="287">
    <w:p w14:paraId="359B747F" w14:textId="5CCCBBD4" w:rsidR="00B37F05" w:rsidRDefault="00B37F05" w:rsidP="00B37F05">
      <w:pPr>
        <w:pStyle w:val="FootnoteText"/>
        <w:ind w:firstLine="0"/>
        <w:rPr>
          <w:lang w:val="sr-Latn-RS"/>
        </w:rPr>
      </w:pPr>
      <w:r>
        <w:rPr>
          <w:rStyle w:val="FootnoteReference"/>
        </w:rPr>
        <w:footnoteRef/>
      </w:r>
      <w:r>
        <w:rPr>
          <w:lang w:val="sr-Cyrl-RS"/>
        </w:rPr>
        <w:t xml:space="preserve"> </w:t>
      </w:r>
      <w:r>
        <w:rPr>
          <w:lang w:val="en-US"/>
        </w:rPr>
        <w:t>Article</w:t>
      </w:r>
      <w:r>
        <w:rPr>
          <w:lang w:val="sr-Cyrl-RS"/>
        </w:rPr>
        <w:t xml:space="preserve"> 27 </w:t>
      </w:r>
      <w:r>
        <w:rPr>
          <w:lang w:val="en-US"/>
        </w:rPr>
        <w:t>Par</w:t>
      </w:r>
      <w:r w:rsidR="006E7376">
        <w:rPr>
          <w:lang w:val="en-US"/>
        </w:rPr>
        <w:t>.</w:t>
      </w:r>
      <w:r>
        <w:rPr>
          <w:lang w:val="sr-Cyrl-RS"/>
        </w:rPr>
        <w:t xml:space="preserve"> 1 </w:t>
      </w:r>
      <w:r>
        <w:rPr>
          <w:lang w:val="en-US"/>
        </w:rPr>
        <w:t>of the Law on the Protector of Citizens</w:t>
      </w:r>
      <w:r>
        <w:rPr>
          <w:lang w:val="sr-Latn-RS"/>
        </w:rPr>
        <w:t>.</w:t>
      </w:r>
    </w:p>
  </w:footnote>
  <w:footnote w:id="288">
    <w:p w14:paraId="27D10F32" w14:textId="4860BFBA" w:rsidR="00B37F05" w:rsidRDefault="00B37F05" w:rsidP="00B37F05">
      <w:pPr>
        <w:pStyle w:val="FootnoteText"/>
        <w:ind w:firstLine="0"/>
        <w:rPr>
          <w:lang w:val="sr-Cyrl-RS"/>
        </w:rPr>
      </w:pPr>
      <w:r>
        <w:rPr>
          <w:rStyle w:val="FootnoteReference"/>
        </w:rPr>
        <w:footnoteRef/>
      </w:r>
      <w:r>
        <w:rPr>
          <w:lang w:val="sr-Cyrl-RS"/>
        </w:rPr>
        <w:t xml:space="preserve"> </w:t>
      </w:r>
      <w:r>
        <w:rPr>
          <w:lang w:val="en-US"/>
        </w:rPr>
        <w:t>Article</w:t>
      </w:r>
      <w:r>
        <w:rPr>
          <w:lang w:val="sr-Cyrl-RS"/>
        </w:rPr>
        <w:t xml:space="preserve"> 24 </w:t>
      </w:r>
      <w:r>
        <w:rPr>
          <w:lang w:val="en-US"/>
        </w:rPr>
        <w:t>Par</w:t>
      </w:r>
      <w:r w:rsidR="006E7376">
        <w:rPr>
          <w:lang w:val="en-US"/>
        </w:rPr>
        <w:t>.</w:t>
      </w:r>
      <w:r>
        <w:rPr>
          <w:lang w:val="sr-Cyrl-RS"/>
        </w:rPr>
        <w:t xml:space="preserve"> 1</w:t>
      </w:r>
      <w:r>
        <w:rPr>
          <w:lang w:val="en-US"/>
        </w:rPr>
        <w:t xml:space="preserve"> of the Law on the Protector of Citizens</w:t>
      </w:r>
      <w:r>
        <w:rPr>
          <w:lang w:val="sr-Cyrl-RS"/>
        </w:rPr>
        <w:t>.</w:t>
      </w:r>
    </w:p>
  </w:footnote>
  <w:footnote w:id="289">
    <w:p w14:paraId="1A40A996" w14:textId="77777777" w:rsidR="00B37F05" w:rsidRDefault="00B37F05" w:rsidP="00B37F05">
      <w:pPr>
        <w:pStyle w:val="FootnoteText"/>
        <w:ind w:firstLine="0"/>
        <w:rPr>
          <w:lang w:val="sr-Cyrl-RS"/>
        </w:rPr>
      </w:pPr>
      <w:r>
        <w:rPr>
          <w:rStyle w:val="FootnoteReference"/>
        </w:rPr>
        <w:footnoteRef/>
      </w:r>
      <w:r>
        <w:t xml:space="preserve"> </w:t>
      </w:r>
      <w:r>
        <w:rPr>
          <w:lang w:val="en-US"/>
        </w:rPr>
        <w:t>Article</w:t>
      </w:r>
      <w:r>
        <w:rPr>
          <w:lang w:val="sr-Cyrl-RS"/>
        </w:rPr>
        <w:t xml:space="preserve"> 23 </w:t>
      </w:r>
      <w:r>
        <w:rPr>
          <w:lang w:val="en-US"/>
        </w:rPr>
        <w:t>of the Law on the Protector of Citizens</w:t>
      </w:r>
      <w:r>
        <w:rPr>
          <w:lang w:val="sr-Cyrl-RS"/>
        </w:rPr>
        <w:t xml:space="preserve">. </w:t>
      </w:r>
    </w:p>
  </w:footnote>
  <w:footnote w:id="290">
    <w:p w14:paraId="3DB6B0B7" w14:textId="043FFCE8" w:rsidR="00B37F05" w:rsidRDefault="00B37F05" w:rsidP="00B37F05">
      <w:pPr>
        <w:pStyle w:val="FootnoteText"/>
        <w:ind w:firstLine="0"/>
        <w:rPr>
          <w:lang w:val="sr-Cyrl-RS"/>
        </w:rPr>
      </w:pPr>
      <w:r>
        <w:rPr>
          <w:rStyle w:val="FootnoteReference"/>
        </w:rPr>
        <w:footnoteRef/>
      </w:r>
      <w:r>
        <w:rPr>
          <w:lang w:val="sr-Cyrl-RS"/>
        </w:rPr>
        <w:t xml:space="preserve"> </w:t>
      </w:r>
      <w:r>
        <w:rPr>
          <w:lang w:val="en-US"/>
        </w:rPr>
        <w:t>Article</w:t>
      </w:r>
      <w:r>
        <w:rPr>
          <w:lang w:val="sr-Cyrl-RS"/>
        </w:rPr>
        <w:t xml:space="preserve"> 41 </w:t>
      </w:r>
      <w:r>
        <w:rPr>
          <w:lang w:val="en-US"/>
        </w:rPr>
        <w:t>Par</w:t>
      </w:r>
      <w:r w:rsidR="006E7376">
        <w:rPr>
          <w:lang w:val="en-US"/>
        </w:rPr>
        <w:t>.</w:t>
      </w:r>
      <w:r w:rsidR="006E7376">
        <w:rPr>
          <w:lang w:val="sr-Cyrl-RS"/>
        </w:rPr>
        <w:t xml:space="preserve"> 1</w:t>
      </w:r>
      <w:r>
        <w:rPr>
          <w:lang w:val="sr-Cyrl-RS"/>
        </w:rPr>
        <w:t xml:space="preserve"> </w:t>
      </w:r>
      <w:r>
        <w:rPr>
          <w:lang w:val="en-US"/>
        </w:rPr>
        <w:t>and</w:t>
      </w:r>
      <w:r>
        <w:rPr>
          <w:lang w:val="sr-Cyrl-RS"/>
        </w:rPr>
        <w:t xml:space="preserve"> 2 </w:t>
      </w:r>
      <w:r>
        <w:rPr>
          <w:lang w:val="en-US"/>
        </w:rPr>
        <w:t>of the Law on the Protector of Citizens</w:t>
      </w:r>
      <w:r>
        <w:rPr>
          <w:lang w:val="sr-Cyrl-RS"/>
        </w:rPr>
        <w:t xml:space="preserve">. </w:t>
      </w:r>
    </w:p>
  </w:footnote>
  <w:footnote w:id="291">
    <w:p w14:paraId="24A6326D" w14:textId="0CC4566D" w:rsidR="00B37F05" w:rsidRDefault="00B37F05" w:rsidP="00B37F05">
      <w:pPr>
        <w:pStyle w:val="FootnoteText"/>
        <w:ind w:firstLine="0"/>
        <w:rPr>
          <w:lang w:val="sr-Cyrl-RS"/>
        </w:rPr>
      </w:pPr>
      <w:r>
        <w:rPr>
          <w:rStyle w:val="FootnoteReference"/>
        </w:rPr>
        <w:footnoteRef/>
      </w:r>
      <w:r>
        <w:rPr>
          <w:lang w:val="sr-Cyrl-RS"/>
        </w:rPr>
        <w:t xml:space="preserve"> </w:t>
      </w:r>
      <w:r>
        <w:rPr>
          <w:lang w:val="en-US"/>
        </w:rPr>
        <w:t>Article</w:t>
      </w:r>
      <w:r>
        <w:rPr>
          <w:lang w:val="sr-Cyrl-RS"/>
        </w:rPr>
        <w:t xml:space="preserve"> 5 </w:t>
      </w:r>
      <w:r>
        <w:rPr>
          <w:lang w:val="en-US"/>
        </w:rPr>
        <w:t>Par</w:t>
      </w:r>
      <w:r w:rsidR="00133B56">
        <w:rPr>
          <w:lang w:val="en-US"/>
        </w:rPr>
        <w:t>.</w:t>
      </w:r>
      <w:r>
        <w:rPr>
          <w:lang w:val="sr-Cyrl-RS"/>
        </w:rPr>
        <w:t xml:space="preserve"> 2 </w:t>
      </w:r>
      <w:r>
        <w:rPr>
          <w:lang w:val="en-US"/>
        </w:rPr>
        <w:t>of the Law on the Protector of Citizens</w:t>
      </w:r>
      <w:r>
        <w:rPr>
          <w:lang w:val="sr-Cyrl-RS"/>
        </w:rPr>
        <w:t>.</w:t>
      </w:r>
    </w:p>
  </w:footnote>
  <w:footnote w:id="292">
    <w:p w14:paraId="16E94030" w14:textId="2E290CF4" w:rsidR="00B37F05" w:rsidRPr="002B54D1" w:rsidRDefault="00B37F05" w:rsidP="00B37F05">
      <w:pPr>
        <w:pStyle w:val="FootnoteText"/>
        <w:ind w:firstLine="0"/>
        <w:rPr>
          <w:lang w:val="sr-Latn-RS"/>
        </w:rPr>
      </w:pPr>
      <w:r>
        <w:rPr>
          <w:rStyle w:val="FootnoteReference"/>
        </w:rPr>
        <w:footnoteRef/>
      </w:r>
      <w:r>
        <w:rPr>
          <w:lang w:val="sr-Latn-RS"/>
        </w:rPr>
        <w:t xml:space="preserve"> Official Gazette RS“, No.</w:t>
      </w:r>
      <w:r>
        <w:rPr>
          <w:lang w:val="sr-Cyrl-RS"/>
        </w:rPr>
        <w:t xml:space="preserve"> 126/21, 109/23, 116/23.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Look w:val="00A0" w:firstRow="1" w:lastRow="0" w:firstColumn="1" w:lastColumn="0" w:noHBand="0" w:noVBand="0"/>
    </w:tblPr>
    <w:tblGrid>
      <w:gridCol w:w="4452"/>
      <w:gridCol w:w="1325"/>
      <w:gridCol w:w="3250"/>
    </w:tblGrid>
    <w:tr w:rsidR="00B37F05" w:rsidRPr="009F45F9" w14:paraId="65634D71" w14:textId="77777777" w:rsidTr="000D6A20">
      <w:trPr>
        <w:jc w:val="right"/>
      </w:trPr>
      <w:tc>
        <w:tcPr>
          <w:tcW w:w="4452" w:type="dxa"/>
        </w:tcPr>
        <w:p w14:paraId="3A67E96C" w14:textId="77777777" w:rsidR="00B37F05" w:rsidRPr="009F45F9" w:rsidRDefault="00B37F05" w:rsidP="00EE67CA">
          <w:pPr>
            <w:pStyle w:val="Heading1"/>
            <w:numPr>
              <w:ilvl w:val="0"/>
              <w:numId w:val="0"/>
            </w:numPr>
          </w:pPr>
          <w:r w:rsidRPr="009F45F9">
            <w:br w:type="page"/>
          </w:r>
          <w:bookmarkStart w:id="38" w:name="_Toc160024510"/>
          <w:r>
            <w:rPr>
              <w:lang w:val="en-US"/>
            </w:rPr>
            <w:drawing>
              <wp:anchor distT="0" distB="0" distL="114300" distR="114300" simplePos="0" relativeHeight="251659264" behindDoc="0" locked="0" layoutInCell="1" allowOverlap="1" wp14:anchorId="5FD46B23" wp14:editId="731F0A0F">
                <wp:simplePos x="0" y="0"/>
                <wp:positionH relativeFrom="column">
                  <wp:posOffset>1112520</wp:posOffset>
                </wp:positionH>
                <wp:positionV relativeFrom="paragraph">
                  <wp:posOffset>228600</wp:posOffset>
                </wp:positionV>
                <wp:extent cx="457200" cy="914400"/>
                <wp:effectExtent l="0" t="0" r="0" b="0"/>
                <wp:wrapSquare wrapText="bothSides"/>
                <wp:docPr id="5" name="Picture 5"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914400"/>
                        </a:xfrm>
                        <a:prstGeom prst="rect">
                          <a:avLst/>
                        </a:prstGeom>
                        <a:noFill/>
                        <a:ln>
                          <a:noFill/>
                        </a:ln>
                      </pic:spPr>
                    </pic:pic>
                  </a:graphicData>
                </a:graphic>
              </wp:anchor>
            </w:drawing>
          </w:r>
          <w:bookmarkEnd w:id="38"/>
        </w:p>
      </w:tc>
      <w:tc>
        <w:tcPr>
          <w:tcW w:w="1325" w:type="dxa"/>
        </w:tcPr>
        <w:p w14:paraId="3F729D71" w14:textId="77777777" w:rsidR="00B37F05" w:rsidRPr="009F45F9" w:rsidRDefault="00B37F05" w:rsidP="00EE67CA">
          <w:pPr>
            <w:rPr>
              <w:noProof/>
            </w:rPr>
          </w:pPr>
        </w:p>
      </w:tc>
      <w:tc>
        <w:tcPr>
          <w:tcW w:w="3250" w:type="dxa"/>
          <w:vMerge w:val="restart"/>
        </w:tcPr>
        <w:p w14:paraId="2B0EBD49" w14:textId="77777777" w:rsidR="00B37F05" w:rsidRPr="009F45F9" w:rsidRDefault="00B37F05" w:rsidP="00EE67CA">
          <w:pPr>
            <w:rPr>
              <w:noProof/>
            </w:rPr>
          </w:pPr>
        </w:p>
        <w:p w14:paraId="6F806D10" w14:textId="77777777" w:rsidR="00B37F05" w:rsidRPr="009F45F9" w:rsidRDefault="00B37F05" w:rsidP="00EE67CA">
          <w:pPr>
            <w:rPr>
              <w:noProof/>
            </w:rPr>
          </w:pPr>
        </w:p>
        <w:p w14:paraId="2CE4ECF5" w14:textId="77777777" w:rsidR="00B37F05" w:rsidRPr="009F45F9" w:rsidRDefault="00B37F05" w:rsidP="00EE67CA">
          <w:pPr>
            <w:jc w:val="center"/>
            <w:rPr>
              <w:noProof/>
            </w:rPr>
          </w:pPr>
          <w:r>
            <w:rPr>
              <w:noProof/>
            </w:rPr>
            <w:drawing>
              <wp:inline distT="0" distB="0" distL="0" distR="0" wp14:anchorId="08D1D451" wp14:editId="74CAEC6F">
                <wp:extent cx="1362075" cy="1076325"/>
                <wp:effectExtent l="0" t="0" r="9525" b="9525"/>
                <wp:docPr id="11" name="Picture 11"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tc>
    </w:tr>
    <w:tr w:rsidR="00B37F05" w:rsidRPr="00EA078B" w14:paraId="023C6E65" w14:textId="77777777" w:rsidTr="000D6A20">
      <w:trPr>
        <w:trHeight w:val="1053"/>
        <w:jc w:val="right"/>
      </w:trPr>
      <w:tc>
        <w:tcPr>
          <w:tcW w:w="4452" w:type="dxa"/>
          <w:tcBorders>
            <w:bottom w:val="single" w:sz="4" w:space="0" w:color="auto"/>
          </w:tcBorders>
        </w:tcPr>
        <w:p w14:paraId="2D9ECB1C" w14:textId="77777777" w:rsidR="00B37F05" w:rsidRPr="003017C6" w:rsidRDefault="00B37F05" w:rsidP="00EE67CA">
          <w:pPr>
            <w:spacing w:after="0"/>
            <w:jc w:val="center"/>
            <w:rPr>
              <w:rFonts w:eastAsia="Arial Unicode MS"/>
              <w:b/>
              <w:bCs/>
              <w:noProof/>
              <w:sz w:val="6"/>
              <w:szCs w:val="6"/>
            </w:rPr>
          </w:pPr>
        </w:p>
        <w:p w14:paraId="3FE2A998" w14:textId="77777777" w:rsidR="00B37F05" w:rsidRPr="003017C6" w:rsidRDefault="00B37F05" w:rsidP="00EE67CA">
          <w:pPr>
            <w:spacing w:after="0"/>
            <w:jc w:val="center"/>
            <w:rPr>
              <w:rFonts w:eastAsia="Arial Unicode MS"/>
              <w:b/>
              <w:bCs/>
              <w:noProof/>
              <w:sz w:val="6"/>
              <w:szCs w:val="6"/>
            </w:rPr>
          </w:pPr>
        </w:p>
        <w:p w14:paraId="09D3C387" w14:textId="77777777" w:rsidR="00B37F05" w:rsidRPr="00E619F9" w:rsidRDefault="00B37F05" w:rsidP="007E5CDE">
          <w:pPr>
            <w:spacing w:after="0"/>
            <w:jc w:val="center"/>
            <w:rPr>
              <w:rFonts w:eastAsia="Arial Unicode MS"/>
              <w:b/>
              <w:bCs/>
              <w:noProof/>
            </w:rPr>
          </w:pPr>
          <w:r w:rsidRPr="00E619F9">
            <w:rPr>
              <w:rFonts w:eastAsia="Arial Unicode MS"/>
              <w:b/>
              <w:bCs/>
              <w:noProof/>
            </w:rPr>
            <w:t>REPUBLIC OF SERBIA</w:t>
          </w:r>
        </w:p>
        <w:p w14:paraId="1C00C05A" w14:textId="77777777" w:rsidR="00B37F05" w:rsidRPr="00E619F9" w:rsidRDefault="00B37F05" w:rsidP="007E5CDE">
          <w:pPr>
            <w:spacing w:after="0"/>
            <w:jc w:val="center"/>
            <w:rPr>
              <w:rFonts w:eastAsia="Arial Unicode MS"/>
              <w:b/>
              <w:bCs/>
              <w:noProof/>
              <w:sz w:val="6"/>
              <w:szCs w:val="6"/>
            </w:rPr>
          </w:pPr>
        </w:p>
        <w:p w14:paraId="63DFF9E9" w14:textId="77777777" w:rsidR="00B37F05" w:rsidRPr="00E619F9" w:rsidRDefault="00B37F05" w:rsidP="007E5CDE">
          <w:pPr>
            <w:spacing w:after="0"/>
            <w:jc w:val="center"/>
            <w:rPr>
              <w:rFonts w:eastAsia="Arial Unicode MS"/>
              <w:b/>
              <w:bCs/>
              <w:noProof/>
            </w:rPr>
          </w:pPr>
          <w:r w:rsidRPr="00E619F9">
            <w:rPr>
              <w:rFonts w:eastAsia="Arial Unicode MS"/>
              <w:b/>
              <w:bCs/>
              <w:noProof/>
            </w:rPr>
            <w:t>PROTECTOR OF CITIZENS</w:t>
          </w:r>
        </w:p>
        <w:p w14:paraId="228348D9" w14:textId="77777777" w:rsidR="00B37F05" w:rsidRPr="00E619F9" w:rsidRDefault="00B37F05" w:rsidP="007E5CDE">
          <w:pPr>
            <w:spacing w:after="0"/>
            <w:jc w:val="center"/>
            <w:rPr>
              <w:rFonts w:eastAsia="Arial Unicode MS"/>
              <w:b/>
              <w:bCs/>
              <w:noProof/>
              <w:sz w:val="6"/>
              <w:szCs w:val="6"/>
            </w:rPr>
          </w:pPr>
        </w:p>
        <w:p w14:paraId="218E6136" w14:textId="1A93E9F4" w:rsidR="00B37F05" w:rsidRPr="00E619F9" w:rsidRDefault="00B37F05" w:rsidP="007E5CDE">
          <w:pPr>
            <w:spacing w:after="0"/>
            <w:jc w:val="center"/>
            <w:rPr>
              <w:rFonts w:eastAsia="Arial Unicode MS"/>
              <w:b/>
              <w:bCs/>
              <w:noProof/>
            </w:rPr>
          </w:pPr>
          <w:r w:rsidRPr="00E619F9">
            <w:rPr>
              <w:rFonts w:eastAsia="Arial Unicode MS"/>
              <w:b/>
              <w:bCs/>
              <w:noProof/>
            </w:rPr>
            <w:t>3411- 38</w:t>
          </w:r>
          <w:r>
            <w:rPr>
              <w:rFonts w:eastAsia="Arial Unicode MS"/>
              <w:b/>
              <w:bCs/>
              <w:noProof/>
            </w:rPr>
            <w:t xml:space="preserve"> / 24</w:t>
          </w:r>
        </w:p>
        <w:p w14:paraId="6E3406D1" w14:textId="77777777" w:rsidR="00B37F05" w:rsidRPr="00E619F9" w:rsidRDefault="00B37F05" w:rsidP="007E5CDE">
          <w:pPr>
            <w:spacing w:after="0"/>
            <w:jc w:val="center"/>
            <w:rPr>
              <w:rFonts w:eastAsia="Arial Unicode MS"/>
              <w:b/>
              <w:bCs/>
              <w:noProof/>
              <w:sz w:val="6"/>
              <w:szCs w:val="6"/>
            </w:rPr>
          </w:pPr>
        </w:p>
        <w:p w14:paraId="5CF67496" w14:textId="77777777" w:rsidR="00B37F05" w:rsidRPr="00E619F9" w:rsidRDefault="00B37F05" w:rsidP="007E5CDE">
          <w:pPr>
            <w:spacing w:after="0"/>
            <w:jc w:val="center"/>
            <w:rPr>
              <w:rFonts w:eastAsia="Arial Unicode MS"/>
              <w:b/>
              <w:bCs/>
              <w:noProof/>
            </w:rPr>
          </w:pPr>
          <w:r w:rsidRPr="00E619F9">
            <w:rPr>
              <w:rFonts w:eastAsia="Arial Unicode MS"/>
              <w:b/>
              <w:bCs/>
              <w:noProof/>
            </w:rPr>
            <w:t>B e l g r a d e</w:t>
          </w:r>
        </w:p>
        <w:p w14:paraId="452882CB" w14:textId="77777777" w:rsidR="00B37F05" w:rsidRPr="003017C6" w:rsidRDefault="00B37F05" w:rsidP="00EE67CA">
          <w:pPr>
            <w:spacing w:after="0"/>
            <w:jc w:val="center"/>
            <w:rPr>
              <w:rFonts w:eastAsia="Arial Unicode MS"/>
              <w:b/>
              <w:bCs/>
              <w:noProof/>
              <w:sz w:val="6"/>
              <w:szCs w:val="6"/>
              <w:lang w:val="ru-RU"/>
            </w:rPr>
          </w:pPr>
        </w:p>
      </w:tc>
      <w:tc>
        <w:tcPr>
          <w:tcW w:w="1325" w:type="dxa"/>
          <w:tcBorders>
            <w:bottom w:val="single" w:sz="4" w:space="0" w:color="auto"/>
          </w:tcBorders>
        </w:tcPr>
        <w:p w14:paraId="3E2E7000" w14:textId="77777777" w:rsidR="00B37F05" w:rsidRPr="007636A3" w:rsidRDefault="00B37F05" w:rsidP="00EE67CA">
          <w:pPr>
            <w:rPr>
              <w:noProof/>
              <w:lang w:val="ru-RU"/>
            </w:rPr>
          </w:pPr>
        </w:p>
      </w:tc>
      <w:tc>
        <w:tcPr>
          <w:tcW w:w="3250" w:type="dxa"/>
          <w:vMerge/>
          <w:tcBorders>
            <w:bottom w:val="single" w:sz="4" w:space="0" w:color="auto"/>
          </w:tcBorders>
        </w:tcPr>
        <w:p w14:paraId="168B8A11" w14:textId="77777777" w:rsidR="00B37F05" w:rsidRPr="004B3AD2" w:rsidRDefault="00B37F05" w:rsidP="00EE67CA">
          <w:pPr>
            <w:rPr>
              <w:noProof/>
              <w:lang w:val="ru-RU"/>
            </w:rPr>
          </w:pPr>
        </w:p>
      </w:tc>
    </w:tr>
    <w:tr w:rsidR="00B37F05" w:rsidRPr="009F45F9" w14:paraId="598BB610" w14:textId="77777777" w:rsidTr="000D6A20">
      <w:trPr>
        <w:trHeight w:val="70"/>
        <w:jc w:val="right"/>
      </w:trPr>
      <w:tc>
        <w:tcPr>
          <w:tcW w:w="4452" w:type="dxa"/>
          <w:tcBorders>
            <w:top w:val="single" w:sz="4" w:space="0" w:color="auto"/>
          </w:tcBorders>
        </w:tcPr>
        <w:p w14:paraId="6363BF5A" w14:textId="6E7D658C" w:rsidR="00B37F05" w:rsidRPr="003017C6" w:rsidRDefault="00B37F05" w:rsidP="007E5CDE">
          <w:pPr>
            <w:rPr>
              <w:noProof/>
            </w:rPr>
          </w:pPr>
          <w:r w:rsidRPr="00E619F9">
            <w:rPr>
              <w:noProof/>
            </w:rPr>
            <w:t xml:space="preserve">Ref. No.   </w:t>
          </w:r>
          <w:r>
            <w:rPr>
              <w:noProof/>
              <w:lang w:val="sr-Latn-RS"/>
            </w:rPr>
            <w:t>6269</w:t>
          </w:r>
          <w:r w:rsidRPr="003017C6">
            <w:rPr>
              <w:noProof/>
              <w:lang w:val="sr-Cyrl-RS"/>
            </w:rPr>
            <w:t xml:space="preserve">      </w:t>
          </w:r>
          <w:r>
            <w:rPr>
              <w:noProof/>
            </w:rPr>
            <w:t>Date</w:t>
          </w:r>
          <w:r w:rsidRPr="003017C6">
            <w:rPr>
              <w:noProof/>
            </w:rPr>
            <w:t xml:space="preserve">: </w:t>
          </w:r>
          <w:r>
            <w:rPr>
              <w:noProof/>
            </w:rPr>
            <w:t>11</w:t>
          </w:r>
          <w:r w:rsidRPr="00E619F9">
            <w:rPr>
              <w:noProof/>
              <w:vertAlign w:val="superscript"/>
            </w:rPr>
            <w:t>th</w:t>
          </w:r>
          <w:r>
            <w:rPr>
              <w:noProof/>
            </w:rPr>
            <w:t xml:space="preserve"> March, 2024</w:t>
          </w:r>
          <w:r w:rsidRPr="00E619F9">
            <w:rPr>
              <w:noProof/>
            </w:rPr>
            <w:t xml:space="preserve">  </w:t>
          </w:r>
        </w:p>
      </w:tc>
      <w:tc>
        <w:tcPr>
          <w:tcW w:w="1325" w:type="dxa"/>
          <w:tcBorders>
            <w:top w:val="single" w:sz="4" w:space="0" w:color="auto"/>
          </w:tcBorders>
        </w:tcPr>
        <w:p w14:paraId="04B0D56A" w14:textId="77777777" w:rsidR="00B37F05" w:rsidRPr="007636A3" w:rsidRDefault="00B37F05" w:rsidP="00EE67CA">
          <w:pPr>
            <w:rPr>
              <w:noProof/>
            </w:rPr>
          </w:pPr>
        </w:p>
      </w:tc>
      <w:tc>
        <w:tcPr>
          <w:tcW w:w="3250" w:type="dxa"/>
          <w:tcBorders>
            <w:top w:val="single" w:sz="4" w:space="0" w:color="auto"/>
          </w:tcBorders>
        </w:tcPr>
        <w:p w14:paraId="0EF7F557" w14:textId="77777777" w:rsidR="00B37F05" w:rsidRPr="009F45F9" w:rsidRDefault="00B37F05" w:rsidP="00EE67CA">
          <w:pPr>
            <w:rPr>
              <w:noProof/>
            </w:rPr>
          </w:pPr>
        </w:p>
      </w:tc>
    </w:tr>
  </w:tbl>
  <w:p w14:paraId="4B96AB20" w14:textId="77777777" w:rsidR="00B37F05" w:rsidRDefault="00B37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D3B"/>
    <w:multiLevelType w:val="hybridMultilevel"/>
    <w:tmpl w:val="729E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24C33"/>
    <w:multiLevelType w:val="multilevel"/>
    <w:tmpl w:val="8EA01758"/>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431B26"/>
    <w:multiLevelType w:val="hybridMultilevel"/>
    <w:tmpl w:val="595C9B5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A0174AB"/>
    <w:multiLevelType w:val="hybridMultilevel"/>
    <w:tmpl w:val="10DE7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08142C"/>
    <w:multiLevelType w:val="multilevel"/>
    <w:tmpl w:val="F94C6092"/>
    <w:styleLink w:val="Headings"/>
    <w:lvl w:ilvl="0">
      <w:start w:val="1"/>
      <w:numFmt w:val="upperRoman"/>
      <w:lvlText w:val="%хЕО:"/>
      <w:lvlJc w:val="left"/>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C5B2E29"/>
    <w:multiLevelType w:val="hybridMultilevel"/>
    <w:tmpl w:val="4E50DEAE"/>
    <w:lvl w:ilvl="0" w:tplc="241A0001">
      <w:start w:val="1"/>
      <w:numFmt w:val="bullet"/>
      <w:lvlText w:val=""/>
      <w:lvlJc w:val="left"/>
      <w:pPr>
        <w:ind w:left="825" w:hanging="360"/>
      </w:pPr>
      <w:rPr>
        <w:rFonts w:ascii="Symbol" w:hAnsi="Symbol" w:hint="default"/>
      </w:rPr>
    </w:lvl>
    <w:lvl w:ilvl="1" w:tplc="241A0003" w:tentative="1">
      <w:start w:val="1"/>
      <w:numFmt w:val="bullet"/>
      <w:lvlText w:val="o"/>
      <w:lvlJc w:val="left"/>
      <w:pPr>
        <w:ind w:left="1545" w:hanging="360"/>
      </w:pPr>
      <w:rPr>
        <w:rFonts w:ascii="Courier New" w:hAnsi="Courier New" w:cs="Courier New" w:hint="default"/>
      </w:rPr>
    </w:lvl>
    <w:lvl w:ilvl="2" w:tplc="241A0005" w:tentative="1">
      <w:start w:val="1"/>
      <w:numFmt w:val="bullet"/>
      <w:lvlText w:val=""/>
      <w:lvlJc w:val="left"/>
      <w:pPr>
        <w:ind w:left="2265" w:hanging="360"/>
      </w:pPr>
      <w:rPr>
        <w:rFonts w:ascii="Wingdings" w:hAnsi="Wingdings" w:hint="default"/>
      </w:rPr>
    </w:lvl>
    <w:lvl w:ilvl="3" w:tplc="241A0001" w:tentative="1">
      <w:start w:val="1"/>
      <w:numFmt w:val="bullet"/>
      <w:lvlText w:val=""/>
      <w:lvlJc w:val="left"/>
      <w:pPr>
        <w:ind w:left="2985" w:hanging="360"/>
      </w:pPr>
      <w:rPr>
        <w:rFonts w:ascii="Symbol" w:hAnsi="Symbol" w:hint="default"/>
      </w:rPr>
    </w:lvl>
    <w:lvl w:ilvl="4" w:tplc="241A0003" w:tentative="1">
      <w:start w:val="1"/>
      <w:numFmt w:val="bullet"/>
      <w:lvlText w:val="o"/>
      <w:lvlJc w:val="left"/>
      <w:pPr>
        <w:ind w:left="3705" w:hanging="360"/>
      </w:pPr>
      <w:rPr>
        <w:rFonts w:ascii="Courier New" w:hAnsi="Courier New" w:cs="Courier New" w:hint="default"/>
      </w:rPr>
    </w:lvl>
    <w:lvl w:ilvl="5" w:tplc="241A0005" w:tentative="1">
      <w:start w:val="1"/>
      <w:numFmt w:val="bullet"/>
      <w:lvlText w:val=""/>
      <w:lvlJc w:val="left"/>
      <w:pPr>
        <w:ind w:left="4425" w:hanging="360"/>
      </w:pPr>
      <w:rPr>
        <w:rFonts w:ascii="Wingdings" w:hAnsi="Wingdings" w:hint="default"/>
      </w:rPr>
    </w:lvl>
    <w:lvl w:ilvl="6" w:tplc="241A0001" w:tentative="1">
      <w:start w:val="1"/>
      <w:numFmt w:val="bullet"/>
      <w:lvlText w:val=""/>
      <w:lvlJc w:val="left"/>
      <w:pPr>
        <w:ind w:left="5145" w:hanging="360"/>
      </w:pPr>
      <w:rPr>
        <w:rFonts w:ascii="Symbol" w:hAnsi="Symbol" w:hint="default"/>
      </w:rPr>
    </w:lvl>
    <w:lvl w:ilvl="7" w:tplc="241A0003" w:tentative="1">
      <w:start w:val="1"/>
      <w:numFmt w:val="bullet"/>
      <w:lvlText w:val="o"/>
      <w:lvlJc w:val="left"/>
      <w:pPr>
        <w:ind w:left="5865" w:hanging="360"/>
      </w:pPr>
      <w:rPr>
        <w:rFonts w:ascii="Courier New" w:hAnsi="Courier New" w:cs="Courier New" w:hint="default"/>
      </w:rPr>
    </w:lvl>
    <w:lvl w:ilvl="8" w:tplc="241A0005" w:tentative="1">
      <w:start w:val="1"/>
      <w:numFmt w:val="bullet"/>
      <w:lvlText w:val=""/>
      <w:lvlJc w:val="left"/>
      <w:pPr>
        <w:ind w:left="6585" w:hanging="360"/>
      </w:pPr>
      <w:rPr>
        <w:rFonts w:ascii="Wingdings" w:hAnsi="Wingdings" w:hint="default"/>
      </w:rPr>
    </w:lvl>
  </w:abstractNum>
  <w:abstractNum w:abstractNumId="6" w15:restartNumberingAfterBreak="0">
    <w:nsid w:val="122B3DE4"/>
    <w:multiLevelType w:val="multilevel"/>
    <w:tmpl w:val="386039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8C60E7"/>
    <w:multiLevelType w:val="multilevel"/>
    <w:tmpl w:val="188C60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9728EC"/>
    <w:multiLevelType w:val="hybridMultilevel"/>
    <w:tmpl w:val="903CF108"/>
    <w:lvl w:ilvl="0" w:tplc="295C185E">
      <w:start w:val="1"/>
      <w:numFmt w:val="decimal"/>
      <w:pStyle w:val="Numerisani"/>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12A0339"/>
    <w:multiLevelType w:val="multilevel"/>
    <w:tmpl w:val="5E74E4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1A6919"/>
    <w:multiLevelType w:val="hybridMultilevel"/>
    <w:tmpl w:val="B7666E7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A4D7DD3"/>
    <w:multiLevelType w:val="hybridMultilevel"/>
    <w:tmpl w:val="A494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82C0B"/>
    <w:multiLevelType w:val="hybridMultilevel"/>
    <w:tmpl w:val="DFAEBB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BA35896"/>
    <w:multiLevelType w:val="hybridMultilevel"/>
    <w:tmpl w:val="6CE2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97AAB"/>
    <w:multiLevelType w:val="multilevel"/>
    <w:tmpl w:val="07361602"/>
    <w:name w:val="num"/>
    <w:lvl w:ilvl="0">
      <w:start w:val="1"/>
      <w:numFmt w:val="upperRoman"/>
      <w:lvlText w:val="%1"/>
      <w:lvlJc w:val="left"/>
      <w:pPr>
        <w:ind w:left="397" w:hanging="397"/>
      </w:pPr>
      <w:rPr>
        <w:rFonts w:ascii="Book Antiqua" w:hAnsi="Book Antiqua" w:cs="Book Antiqua" w:hint="default"/>
      </w:rPr>
    </w:lvl>
    <w:lvl w:ilvl="1">
      <w:start w:val="1"/>
      <w:numFmt w:val="decimal"/>
      <w:isLgl/>
      <w:lvlText w:val="%2."/>
      <w:lvlJc w:val="left"/>
      <w:pPr>
        <w:ind w:left="397" w:hanging="397"/>
      </w:pPr>
      <w:rPr>
        <w:rFonts w:hint="default"/>
      </w:rPr>
    </w:lvl>
    <w:lvl w:ilvl="2">
      <w:start w:val="1"/>
      <w:numFmt w:val="decimal"/>
      <w:isLgl/>
      <w:lvlText w:val="%2.%3."/>
      <w:lvlJc w:val="left"/>
      <w:pPr>
        <w:ind w:left="284" w:hanging="284"/>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8E9072E"/>
    <w:multiLevelType w:val="multilevel"/>
    <w:tmpl w:val="82D6D020"/>
    <w:lvl w:ilvl="0">
      <w:start w:val="1"/>
      <w:numFmt w:val="decimal"/>
      <w:lvlText w:val="%1."/>
      <w:lvlJc w:val="left"/>
      <w:pPr>
        <w:ind w:left="36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B7064EC"/>
    <w:multiLevelType w:val="hybridMultilevel"/>
    <w:tmpl w:val="D3AC21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3DEE12FF"/>
    <w:multiLevelType w:val="hybridMultilevel"/>
    <w:tmpl w:val="C5F29066"/>
    <w:styleLink w:val="Rimska21"/>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42D82A02"/>
    <w:multiLevelType w:val="multilevel"/>
    <w:tmpl w:val="FA040AA0"/>
    <w:lvl w:ilvl="0">
      <w:start w:val="1"/>
      <w:numFmt w:val="upperRoman"/>
      <w:lvlText w:val="%1"/>
      <w:lvlJc w:val="left"/>
      <w:pPr>
        <w:ind w:left="397" w:hanging="397"/>
      </w:pPr>
      <w:rPr>
        <w:rFonts w:ascii="Book Antiqua" w:hAnsi="Book Antiqua" w:cs="Book Antiqua" w:hint="default"/>
      </w:rPr>
    </w:lvl>
    <w:lvl w:ilvl="1">
      <w:start w:val="1"/>
      <w:numFmt w:val="decimal"/>
      <w:isLgl/>
      <w:lvlText w:val="%2."/>
      <w:lvlJc w:val="left"/>
      <w:pPr>
        <w:ind w:left="397" w:hanging="397"/>
      </w:pPr>
      <w:rPr>
        <w:rFonts w:hint="default"/>
      </w:rPr>
    </w:lvl>
    <w:lvl w:ilvl="2">
      <w:start w:val="1"/>
      <w:numFmt w:val="decimal"/>
      <w:isLgl/>
      <w:lvlText w:val="%2.%3."/>
      <w:lvlJc w:val="left"/>
      <w:pPr>
        <w:ind w:left="284" w:hanging="284"/>
      </w:pPr>
      <w:rPr>
        <w:rFonts w:hint="default"/>
      </w:rPr>
    </w:lvl>
    <w:lvl w:ilvl="3">
      <w:start w:val="1"/>
      <w:numFmt w:val="bullet"/>
      <w:pStyle w:val="Buliti"/>
      <w:lvlText w:val=""/>
      <w:lvlJc w:val="left"/>
      <w:pPr>
        <w:ind w:left="2160" w:hanging="360"/>
      </w:pPr>
      <w:rPr>
        <w:rFonts w:ascii="Symbol" w:hAnsi="Symbol" w:cs="Symbol"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42D95121"/>
    <w:multiLevelType w:val="multilevel"/>
    <w:tmpl w:val="E508FC90"/>
    <w:lvl w:ilvl="0">
      <w:start w:val="1"/>
      <w:numFmt w:val="decimal"/>
      <w:lvlText w:val="%1."/>
      <w:lvlJc w:val="left"/>
      <w:pPr>
        <w:ind w:left="450" w:hanging="450"/>
      </w:pPr>
      <w:rPr>
        <w:rFonts w:hint="default"/>
        <w:color w:val="auto"/>
      </w:rPr>
    </w:lvl>
    <w:lvl w:ilvl="1">
      <w:start w:val="1"/>
      <w:numFmt w:val="decimal"/>
      <w:lvlText w:val="%1.%2."/>
      <w:lvlJc w:val="left"/>
      <w:pPr>
        <w:ind w:left="578" w:hanging="578"/>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20" w15:restartNumberingAfterBreak="0">
    <w:nsid w:val="46B3051A"/>
    <w:multiLevelType w:val="multilevel"/>
    <w:tmpl w:val="0A48AF2A"/>
    <w:styleLink w:val="Rimska"/>
    <w:lvl w:ilvl="0">
      <w:start w:val="1"/>
      <w:numFmt w:val="upperRoman"/>
      <w:pStyle w:val="NasloviRimski"/>
      <w:lvlText w:val="%1"/>
      <w:lvlJc w:val="left"/>
      <w:pPr>
        <w:ind w:left="397" w:hanging="397"/>
      </w:pPr>
      <w:rPr>
        <w:rFonts w:ascii="Book Antiqua" w:hAnsi="Book Antiqua" w:cs="Book Antiqua" w:hint="default"/>
      </w:rPr>
    </w:lvl>
    <w:lvl w:ilvl="1">
      <w:start w:val="1"/>
      <w:numFmt w:val="decimal"/>
      <w:pStyle w:val="Podnaslovi"/>
      <w:isLgl/>
      <w:lvlText w:val="%2."/>
      <w:lvlJc w:val="left"/>
      <w:pPr>
        <w:ind w:left="397" w:hanging="397"/>
      </w:pPr>
      <w:rPr>
        <w:rFonts w:hint="default"/>
      </w:rPr>
    </w:lvl>
    <w:lvl w:ilvl="2">
      <w:start w:val="1"/>
      <w:numFmt w:val="decimal"/>
      <w:pStyle w:val="Numeracija1"/>
      <w:isLgl/>
      <w:lvlText w:val="%2.%3."/>
      <w:lvlJc w:val="left"/>
      <w:pPr>
        <w:ind w:left="284" w:hanging="284"/>
      </w:pPr>
      <w:rPr>
        <w:rFonts w:hint="default"/>
      </w:rPr>
    </w:lvl>
    <w:lvl w:ilvl="3">
      <w:start w:val="1"/>
      <w:numFmt w:val="decimal"/>
      <w:pStyle w:val="Numeracija4"/>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4E1363F3"/>
    <w:multiLevelType w:val="hybridMultilevel"/>
    <w:tmpl w:val="4B4CF93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4F355E71"/>
    <w:multiLevelType w:val="multilevel"/>
    <w:tmpl w:val="A2A6342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562D72"/>
    <w:multiLevelType w:val="hybridMultilevel"/>
    <w:tmpl w:val="4878A974"/>
    <w:lvl w:ilvl="0" w:tplc="541E66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1E04C8F"/>
    <w:multiLevelType w:val="hybridMultilevel"/>
    <w:tmpl w:val="C95C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C28B6"/>
    <w:multiLevelType w:val="multilevel"/>
    <w:tmpl w:val="8FB497D4"/>
    <w:styleLink w:val="Headings1"/>
    <w:lvl w:ilvl="0">
      <w:start w:val="1"/>
      <w:numFmt w:val="decimal"/>
      <w:pStyle w:val="Uvodnarec"/>
      <w:lvlText w:val="%1."/>
      <w:lvlJc w:val="left"/>
      <w:pPr>
        <w:ind w:left="432" w:hanging="432"/>
      </w:pPr>
      <w:rPr>
        <w:rFonts w:hint="default"/>
      </w:rPr>
    </w:lvl>
    <w:lvl w:ilvl="1">
      <w:start w:val="1"/>
      <w:numFmt w:val="decimal"/>
      <w:lvlText w:val="%1.%2."/>
      <w:lvlJc w:val="left"/>
      <w:pPr>
        <w:ind w:left="2016" w:hanging="576"/>
      </w:pPr>
      <w:rPr>
        <w:rFonts w:hint="default"/>
        <w:b/>
        <w:bCs/>
        <w:color w:val="auto"/>
      </w:rPr>
    </w:lvl>
    <w:lvl w:ilvl="2">
      <w:start w:val="1"/>
      <w:numFmt w:val="decimal"/>
      <w:lvlText w:val="%1.%2.%3"/>
      <w:lvlJc w:val="left"/>
      <w:pPr>
        <w:tabs>
          <w:tab w:val="num" w:pos="0"/>
        </w:tabs>
      </w:pPr>
      <w:rPr>
        <w:rFonts w:hint="default"/>
      </w:rPr>
    </w:lvl>
    <w:lvl w:ilvl="3">
      <w:start w:val="1"/>
      <w:numFmt w:val="none"/>
      <w:pStyle w:val="Heading4"/>
      <w:lvlText w:val=""/>
      <w:lvlJc w:val="left"/>
      <w:pPr>
        <w:tabs>
          <w:tab w:val="num" w:pos="0"/>
        </w:tabs>
      </w:pPr>
      <w:rPr>
        <w:rFonts w:hint="default"/>
      </w:rPr>
    </w:lvl>
    <w:lvl w:ilvl="4">
      <w:start w:val="1"/>
      <w:numFmt w:val="none"/>
      <w:pStyle w:val="Heading5"/>
      <w:lvlText w:val=""/>
      <w:lvlJc w:val="left"/>
      <w:pPr>
        <w:tabs>
          <w:tab w:val="num" w:pos="0"/>
        </w:tabs>
      </w:pPr>
      <w:rPr>
        <w:rFonts w:hint="default"/>
      </w:rPr>
    </w:lvl>
    <w:lvl w:ilvl="5">
      <w:start w:val="1"/>
      <w:numFmt w:val="none"/>
      <w:pStyle w:val="Heading6"/>
      <w:lvlText w:val=""/>
      <w:lvlJc w:val="left"/>
      <w:pPr>
        <w:tabs>
          <w:tab w:val="num" w:pos="0"/>
        </w:tabs>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590972CC"/>
    <w:multiLevelType w:val="multilevel"/>
    <w:tmpl w:val="4C48BE64"/>
    <w:styleLink w:val="Rimska2"/>
    <w:lvl w:ilvl="0">
      <w:start w:val="1"/>
      <w:numFmt w:val="upperRoman"/>
      <w:lvlText w:val="%1"/>
      <w:lvlJc w:val="left"/>
      <w:pPr>
        <w:ind w:left="397" w:hanging="397"/>
      </w:pPr>
      <w:rPr>
        <w:rFonts w:ascii="Book Antiqua" w:hAnsi="Book Antiqua" w:cs="Book Antiqua" w:hint="default"/>
      </w:rPr>
    </w:lvl>
    <w:lvl w:ilvl="1">
      <w:start w:val="1"/>
      <w:numFmt w:val="decimal"/>
      <w:isLgl/>
      <w:lvlText w:val="%2."/>
      <w:lvlJc w:val="left"/>
      <w:pPr>
        <w:ind w:left="397" w:hanging="397"/>
      </w:pPr>
      <w:rPr>
        <w:rFonts w:hint="default"/>
      </w:rPr>
    </w:lvl>
    <w:lvl w:ilvl="2">
      <w:start w:val="1"/>
      <w:numFmt w:val="decimal"/>
      <w:isLgl/>
      <w:lvlText w:val="%2.%3."/>
      <w:lvlJc w:val="left"/>
      <w:pPr>
        <w:ind w:left="284" w:hanging="284"/>
      </w:pPr>
      <w:rPr>
        <w:rFonts w:hint="default"/>
      </w:rPr>
    </w:lvl>
    <w:lvl w:ilvl="3">
      <w:start w:val="1"/>
      <w:numFmt w:val="bullet"/>
      <w:lvlText w:val=""/>
      <w:lvlJc w:val="left"/>
      <w:pPr>
        <w:ind w:left="2160" w:hanging="360"/>
      </w:pPr>
      <w:rPr>
        <w:rFonts w:ascii="Symbol" w:hAnsi="Symbol" w:cs="Symbol" w:hint="default"/>
      </w:rPr>
    </w:lvl>
    <w:lvl w:ilvl="4">
      <w:start w:val="1"/>
      <w:numFmt w:val="bullet"/>
      <w:pStyle w:val="Bulitibeli"/>
      <w:lvlText w:val="o"/>
      <w:lvlJc w:val="left"/>
      <w:pPr>
        <w:ind w:left="2520" w:hanging="360"/>
      </w:pPr>
      <w:rPr>
        <w:rFonts w:ascii="Courier New" w:hAnsi="Courier New" w:cs="Courier New"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5D3B5C93"/>
    <w:multiLevelType w:val="hybridMultilevel"/>
    <w:tmpl w:val="6C2C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D06FF"/>
    <w:multiLevelType w:val="multilevel"/>
    <w:tmpl w:val="60BD0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C53EBC"/>
    <w:multiLevelType w:val="hybridMultilevel"/>
    <w:tmpl w:val="D16CCF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68B65749"/>
    <w:multiLevelType w:val="hybridMultilevel"/>
    <w:tmpl w:val="D188E5B0"/>
    <w:lvl w:ilvl="0" w:tplc="F36AB32A">
      <w:start w:val="1"/>
      <w:numFmt w:val="decimal"/>
      <w:pStyle w:val="Numeracija2"/>
      <w:lvlText w:val="%1."/>
      <w:lvlJc w:val="left"/>
      <w:pPr>
        <w:ind w:left="360" w:hanging="360"/>
      </w:pPr>
      <w:rPr>
        <w:b w:val="0"/>
        <w:bCs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1" w15:restartNumberingAfterBreak="0">
    <w:nsid w:val="6C776AFE"/>
    <w:multiLevelType w:val="hybridMultilevel"/>
    <w:tmpl w:val="FACC179E"/>
    <w:lvl w:ilvl="0" w:tplc="909E6A4C">
      <w:start w:val="1"/>
      <w:numFmt w:val="decimal"/>
      <w:pStyle w:val="Numeracijautekstu"/>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C06318"/>
    <w:multiLevelType w:val="multilevel"/>
    <w:tmpl w:val="034E47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6A799A"/>
    <w:multiLevelType w:val="hybridMultilevel"/>
    <w:tmpl w:val="C47654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70DE531E"/>
    <w:multiLevelType w:val="hybridMultilevel"/>
    <w:tmpl w:val="90CA428E"/>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35" w15:restartNumberingAfterBreak="0">
    <w:nsid w:val="734A3F4B"/>
    <w:multiLevelType w:val="multilevel"/>
    <w:tmpl w:val="6E60CEFA"/>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15:restartNumberingAfterBreak="0">
    <w:nsid w:val="7A962879"/>
    <w:multiLevelType w:val="hybridMultilevel"/>
    <w:tmpl w:val="1C1A7F6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7B400D6A"/>
    <w:multiLevelType w:val="multilevel"/>
    <w:tmpl w:val="0522516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7"/>
      <w:lvlText w:val="%2.1.%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F64CDC"/>
    <w:multiLevelType w:val="hybridMultilevel"/>
    <w:tmpl w:val="AF141FB8"/>
    <w:lvl w:ilvl="0" w:tplc="241A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0"/>
    <w:lvlOverride w:ilvl="0">
      <w:lvl w:ilvl="0">
        <w:start w:val="1"/>
        <w:numFmt w:val="upperRoman"/>
        <w:pStyle w:val="NasloviRimski"/>
        <w:lvlText w:val="%1"/>
        <w:lvlJc w:val="left"/>
        <w:pPr>
          <w:ind w:left="397" w:hanging="397"/>
        </w:pPr>
        <w:rPr>
          <w:rFonts w:ascii="Book Antiqua" w:hAnsi="Book Antiqua" w:cs="Book Antiqua" w:hint="default"/>
        </w:rPr>
      </w:lvl>
    </w:lvlOverride>
    <w:lvlOverride w:ilvl="1">
      <w:lvl w:ilvl="1">
        <w:start w:val="1"/>
        <w:numFmt w:val="decimal"/>
        <w:pStyle w:val="Podnaslovi"/>
        <w:isLgl/>
        <w:lvlText w:val="%2."/>
        <w:lvlJc w:val="left"/>
        <w:pPr>
          <w:ind w:left="397" w:hanging="397"/>
        </w:pPr>
        <w:rPr>
          <w:rFonts w:hint="default"/>
        </w:rPr>
      </w:lvl>
    </w:lvlOverride>
    <w:lvlOverride w:ilvl="2">
      <w:lvl w:ilvl="2">
        <w:start w:val="1"/>
        <w:numFmt w:val="decimal"/>
        <w:pStyle w:val="Numeracija1"/>
        <w:isLgl/>
        <w:lvlText w:val="%2.%3."/>
        <w:lvlJc w:val="left"/>
        <w:pPr>
          <w:ind w:left="284" w:hanging="284"/>
        </w:pPr>
        <w:rPr>
          <w:rFonts w:hint="default"/>
          <w:b w:val="0"/>
          <w:bCs w:val="0"/>
        </w:rPr>
      </w:lvl>
    </w:lvlOverride>
    <w:lvlOverride w:ilvl="3">
      <w:lvl w:ilvl="3">
        <w:start w:val="1"/>
        <w:numFmt w:val="decimal"/>
        <w:pStyle w:val="Numeracija4"/>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2">
    <w:abstractNumId w:val="4"/>
  </w:num>
  <w:num w:numId="3">
    <w:abstractNumId w:val="30"/>
  </w:num>
  <w:num w:numId="4">
    <w:abstractNumId w:val="31"/>
  </w:num>
  <w:num w:numId="5">
    <w:abstractNumId w:val="18"/>
  </w:num>
  <w:num w:numId="6">
    <w:abstractNumId w:val="26"/>
  </w:num>
  <w:num w:numId="7">
    <w:abstractNumId w:val="8"/>
  </w:num>
  <w:num w:numId="8">
    <w:abstractNumId w:val="20"/>
  </w:num>
  <w:num w:numId="9">
    <w:abstractNumId w:val="25"/>
  </w:num>
  <w:num w:numId="10">
    <w:abstractNumId w:val="17"/>
  </w:num>
  <w:num w:numId="11">
    <w:abstractNumId w:val="38"/>
  </w:num>
  <w:num w:numId="12">
    <w:abstractNumId w:val="16"/>
  </w:num>
  <w:num w:numId="13">
    <w:abstractNumId w:val="19"/>
  </w:num>
  <w:num w:numId="14">
    <w:abstractNumId w:val="10"/>
  </w:num>
  <w:num w:numId="15">
    <w:abstractNumId w:val="34"/>
  </w:num>
  <w:num w:numId="16">
    <w:abstractNumId w:val="13"/>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2"/>
  </w:num>
  <w:num w:numId="20">
    <w:abstractNumId w:val="15"/>
  </w:num>
  <w:num w:numId="21">
    <w:abstractNumId w:val="6"/>
  </w:num>
  <w:num w:numId="22">
    <w:abstractNumId w:val="9"/>
  </w:num>
  <w:num w:numId="23">
    <w:abstractNumId w:val="22"/>
  </w:num>
  <w:num w:numId="24">
    <w:abstractNumId w:val="28"/>
  </w:num>
  <w:num w:numId="25">
    <w:abstractNumId w:val="29"/>
  </w:num>
  <w:num w:numId="26">
    <w:abstractNumId w:val="7"/>
  </w:num>
  <w:num w:numId="27">
    <w:abstractNumId w:val="36"/>
  </w:num>
  <w:num w:numId="28">
    <w:abstractNumId w:val="0"/>
  </w:num>
  <w:num w:numId="29">
    <w:abstractNumId w:val="21"/>
  </w:num>
  <w:num w:numId="30">
    <w:abstractNumId w:val="37"/>
  </w:num>
  <w:num w:numId="31">
    <w:abstractNumId w:val="1"/>
  </w:num>
  <w:num w:numId="32">
    <w:abstractNumId w:val="24"/>
  </w:num>
  <w:num w:numId="33">
    <w:abstractNumId w:val="5"/>
  </w:num>
  <w:num w:numId="34">
    <w:abstractNumId w:val="12"/>
  </w:num>
  <w:num w:numId="35">
    <w:abstractNumId w:val="33"/>
  </w:num>
  <w:num w:numId="36">
    <w:abstractNumId w:val="3"/>
  </w:num>
  <w:num w:numId="37">
    <w:abstractNumId w:val="2"/>
  </w:num>
  <w:num w:numId="38">
    <w:abstractNumId w:val="27"/>
  </w:num>
  <w:num w:numId="39">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01"/>
    <w:rsid w:val="00000002"/>
    <w:rsid w:val="00000045"/>
    <w:rsid w:val="000000AF"/>
    <w:rsid w:val="0000069E"/>
    <w:rsid w:val="0000115C"/>
    <w:rsid w:val="00001554"/>
    <w:rsid w:val="00001A7A"/>
    <w:rsid w:val="00001C99"/>
    <w:rsid w:val="00001F2C"/>
    <w:rsid w:val="00002F40"/>
    <w:rsid w:val="0000414B"/>
    <w:rsid w:val="00004156"/>
    <w:rsid w:val="00004A92"/>
    <w:rsid w:val="00004C22"/>
    <w:rsid w:val="0000536B"/>
    <w:rsid w:val="000059D6"/>
    <w:rsid w:val="00005A34"/>
    <w:rsid w:val="00005BC9"/>
    <w:rsid w:val="00005D6F"/>
    <w:rsid w:val="00005E70"/>
    <w:rsid w:val="00005FD7"/>
    <w:rsid w:val="000060A9"/>
    <w:rsid w:val="000063E4"/>
    <w:rsid w:val="00006BAA"/>
    <w:rsid w:val="000071C5"/>
    <w:rsid w:val="00007454"/>
    <w:rsid w:val="00007512"/>
    <w:rsid w:val="0000774E"/>
    <w:rsid w:val="00007AD2"/>
    <w:rsid w:val="0001003A"/>
    <w:rsid w:val="00010459"/>
    <w:rsid w:val="00010CAB"/>
    <w:rsid w:val="0001130B"/>
    <w:rsid w:val="00011321"/>
    <w:rsid w:val="000114D9"/>
    <w:rsid w:val="000114FC"/>
    <w:rsid w:val="0001189C"/>
    <w:rsid w:val="000122F6"/>
    <w:rsid w:val="00012859"/>
    <w:rsid w:val="0001290A"/>
    <w:rsid w:val="00012CC5"/>
    <w:rsid w:val="00012E23"/>
    <w:rsid w:val="00013548"/>
    <w:rsid w:val="00013618"/>
    <w:rsid w:val="000137AB"/>
    <w:rsid w:val="00013A57"/>
    <w:rsid w:val="00014326"/>
    <w:rsid w:val="000149B5"/>
    <w:rsid w:val="00014B05"/>
    <w:rsid w:val="00015122"/>
    <w:rsid w:val="000152BC"/>
    <w:rsid w:val="00015474"/>
    <w:rsid w:val="0001571A"/>
    <w:rsid w:val="00015B6E"/>
    <w:rsid w:val="00015BF4"/>
    <w:rsid w:val="00015F29"/>
    <w:rsid w:val="00015F8B"/>
    <w:rsid w:val="000161B6"/>
    <w:rsid w:val="0001671F"/>
    <w:rsid w:val="00016B45"/>
    <w:rsid w:val="00016CE8"/>
    <w:rsid w:val="00017452"/>
    <w:rsid w:val="000176EA"/>
    <w:rsid w:val="000177C2"/>
    <w:rsid w:val="00017837"/>
    <w:rsid w:val="00017BC2"/>
    <w:rsid w:val="00017CB0"/>
    <w:rsid w:val="00017F1E"/>
    <w:rsid w:val="00020671"/>
    <w:rsid w:val="000212EF"/>
    <w:rsid w:val="000219E0"/>
    <w:rsid w:val="00021C6A"/>
    <w:rsid w:val="00021E40"/>
    <w:rsid w:val="000220D9"/>
    <w:rsid w:val="000222BC"/>
    <w:rsid w:val="00022661"/>
    <w:rsid w:val="00022BF4"/>
    <w:rsid w:val="00022D47"/>
    <w:rsid w:val="000230F8"/>
    <w:rsid w:val="000234EE"/>
    <w:rsid w:val="0002351C"/>
    <w:rsid w:val="00023AA1"/>
    <w:rsid w:val="00023EDA"/>
    <w:rsid w:val="00024398"/>
    <w:rsid w:val="00024CFC"/>
    <w:rsid w:val="00024DE1"/>
    <w:rsid w:val="00024F15"/>
    <w:rsid w:val="000254D6"/>
    <w:rsid w:val="00025721"/>
    <w:rsid w:val="00025A5A"/>
    <w:rsid w:val="00025C41"/>
    <w:rsid w:val="00026287"/>
    <w:rsid w:val="000265CF"/>
    <w:rsid w:val="00026E6E"/>
    <w:rsid w:val="00026EE7"/>
    <w:rsid w:val="00027335"/>
    <w:rsid w:val="0002782A"/>
    <w:rsid w:val="0002786B"/>
    <w:rsid w:val="00027949"/>
    <w:rsid w:val="00027FE2"/>
    <w:rsid w:val="00030526"/>
    <w:rsid w:val="00031993"/>
    <w:rsid w:val="00031CFA"/>
    <w:rsid w:val="000320D6"/>
    <w:rsid w:val="000323AD"/>
    <w:rsid w:val="000324CA"/>
    <w:rsid w:val="00032C80"/>
    <w:rsid w:val="0003351F"/>
    <w:rsid w:val="00033AB9"/>
    <w:rsid w:val="000344B8"/>
    <w:rsid w:val="00035181"/>
    <w:rsid w:val="0003531B"/>
    <w:rsid w:val="000353A4"/>
    <w:rsid w:val="000353DD"/>
    <w:rsid w:val="0003555F"/>
    <w:rsid w:val="0003591A"/>
    <w:rsid w:val="00035A12"/>
    <w:rsid w:val="00035A4B"/>
    <w:rsid w:val="00035C5C"/>
    <w:rsid w:val="00035E80"/>
    <w:rsid w:val="000363E0"/>
    <w:rsid w:val="00036537"/>
    <w:rsid w:val="000366B3"/>
    <w:rsid w:val="00036AF1"/>
    <w:rsid w:val="00036C1C"/>
    <w:rsid w:val="0003762F"/>
    <w:rsid w:val="00037F09"/>
    <w:rsid w:val="00040204"/>
    <w:rsid w:val="000404E6"/>
    <w:rsid w:val="00040721"/>
    <w:rsid w:val="00040BB7"/>
    <w:rsid w:val="0004119E"/>
    <w:rsid w:val="0004163B"/>
    <w:rsid w:val="000419CA"/>
    <w:rsid w:val="00041F23"/>
    <w:rsid w:val="00042B98"/>
    <w:rsid w:val="000433C3"/>
    <w:rsid w:val="00043673"/>
    <w:rsid w:val="0004393B"/>
    <w:rsid w:val="00043B2E"/>
    <w:rsid w:val="00043BB5"/>
    <w:rsid w:val="00043D4C"/>
    <w:rsid w:val="00043E74"/>
    <w:rsid w:val="00043EC4"/>
    <w:rsid w:val="0004422C"/>
    <w:rsid w:val="00044614"/>
    <w:rsid w:val="00044C6E"/>
    <w:rsid w:val="000451CC"/>
    <w:rsid w:val="0004551C"/>
    <w:rsid w:val="00045790"/>
    <w:rsid w:val="00045F3A"/>
    <w:rsid w:val="00046137"/>
    <w:rsid w:val="000461CA"/>
    <w:rsid w:val="0004676A"/>
    <w:rsid w:val="000467AB"/>
    <w:rsid w:val="00046CDC"/>
    <w:rsid w:val="00046D96"/>
    <w:rsid w:val="00047201"/>
    <w:rsid w:val="00047C08"/>
    <w:rsid w:val="0005070F"/>
    <w:rsid w:val="000508DC"/>
    <w:rsid w:val="00050928"/>
    <w:rsid w:val="000509B2"/>
    <w:rsid w:val="00050B78"/>
    <w:rsid w:val="00050DEC"/>
    <w:rsid w:val="00050FCB"/>
    <w:rsid w:val="000515DC"/>
    <w:rsid w:val="00051B2C"/>
    <w:rsid w:val="000520E0"/>
    <w:rsid w:val="000523B2"/>
    <w:rsid w:val="00052713"/>
    <w:rsid w:val="000537A8"/>
    <w:rsid w:val="00053A67"/>
    <w:rsid w:val="00053EF9"/>
    <w:rsid w:val="00054395"/>
    <w:rsid w:val="000543A0"/>
    <w:rsid w:val="00054430"/>
    <w:rsid w:val="00054CD9"/>
    <w:rsid w:val="00054F0A"/>
    <w:rsid w:val="00055195"/>
    <w:rsid w:val="00055232"/>
    <w:rsid w:val="000556A5"/>
    <w:rsid w:val="00055B8C"/>
    <w:rsid w:val="00055D5E"/>
    <w:rsid w:val="00055F79"/>
    <w:rsid w:val="00056C1C"/>
    <w:rsid w:val="00056D71"/>
    <w:rsid w:val="00056DD4"/>
    <w:rsid w:val="00056EF7"/>
    <w:rsid w:val="00057395"/>
    <w:rsid w:val="00057478"/>
    <w:rsid w:val="00057667"/>
    <w:rsid w:val="0005776E"/>
    <w:rsid w:val="000578D3"/>
    <w:rsid w:val="00057C5D"/>
    <w:rsid w:val="00057E3D"/>
    <w:rsid w:val="00060300"/>
    <w:rsid w:val="00060DF6"/>
    <w:rsid w:val="00060E33"/>
    <w:rsid w:val="00061131"/>
    <w:rsid w:val="00061364"/>
    <w:rsid w:val="000613C2"/>
    <w:rsid w:val="000619A7"/>
    <w:rsid w:val="000622E3"/>
    <w:rsid w:val="000625F7"/>
    <w:rsid w:val="00063128"/>
    <w:rsid w:val="000632F0"/>
    <w:rsid w:val="000636B1"/>
    <w:rsid w:val="000636D0"/>
    <w:rsid w:val="00063AB1"/>
    <w:rsid w:val="00063DC0"/>
    <w:rsid w:val="00064860"/>
    <w:rsid w:val="00064AE4"/>
    <w:rsid w:val="00064BCC"/>
    <w:rsid w:val="00064C85"/>
    <w:rsid w:val="0006504D"/>
    <w:rsid w:val="00065352"/>
    <w:rsid w:val="0006552D"/>
    <w:rsid w:val="00066577"/>
    <w:rsid w:val="0006662C"/>
    <w:rsid w:val="00066C01"/>
    <w:rsid w:val="00066F29"/>
    <w:rsid w:val="00067221"/>
    <w:rsid w:val="00067341"/>
    <w:rsid w:val="000673CE"/>
    <w:rsid w:val="000674E0"/>
    <w:rsid w:val="000675B2"/>
    <w:rsid w:val="000675CF"/>
    <w:rsid w:val="00067896"/>
    <w:rsid w:val="0007005B"/>
    <w:rsid w:val="00070368"/>
    <w:rsid w:val="000703C9"/>
    <w:rsid w:val="000707A5"/>
    <w:rsid w:val="00070A6F"/>
    <w:rsid w:val="00070B72"/>
    <w:rsid w:val="00070D47"/>
    <w:rsid w:val="00071132"/>
    <w:rsid w:val="00071A27"/>
    <w:rsid w:val="00071B01"/>
    <w:rsid w:val="00072582"/>
    <w:rsid w:val="000727E7"/>
    <w:rsid w:val="00072939"/>
    <w:rsid w:val="00073567"/>
    <w:rsid w:val="00073690"/>
    <w:rsid w:val="000737DD"/>
    <w:rsid w:val="00073973"/>
    <w:rsid w:val="00074828"/>
    <w:rsid w:val="0007483B"/>
    <w:rsid w:val="000748CC"/>
    <w:rsid w:val="00075346"/>
    <w:rsid w:val="000757AA"/>
    <w:rsid w:val="000757F5"/>
    <w:rsid w:val="00075843"/>
    <w:rsid w:val="0007589C"/>
    <w:rsid w:val="00075CFE"/>
    <w:rsid w:val="00076000"/>
    <w:rsid w:val="00076179"/>
    <w:rsid w:val="0007634F"/>
    <w:rsid w:val="00076B2F"/>
    <w:rsid w:val="00077239"/>
    <w:rsid w:val="00077263"/>
    <w:rsid w:val="000775C7"/>
    <w:rsid w:val="00077FE4"/>
    <w:rsid w:val="00080343"/>
    <w:rsid w:val="00080575"/>
    <w:rsid w:val="000809E3"/>
    <w:rsid w:val="00081054"/>
    <w:rsid w:val="00081643"/>
    <w:rsid w:val="00081707"/>
    <w:rsid w:val="00081A62"/>
    <w:rsid w:val="00082167"/>
    <w:rsid w:val="0008246E"/>
    <w:rsid w:val="000824B6"/>
    <w:rsid w:val="0008293B"/>
    <w:rsid w:val="00082EAB"/>
    <w:rsid w:val="000831AE"/>
    <w:rsid w:val="00083719"/>
    <w:rsid w:val="000839C5"/>
    <w:rsid w:val="000841E1"/>
    <w:rsid w:val="00084C1C"/>
    <w:rsid w:val="00084D95"/>
    <w:rsid w:val="0008551A"/>
    <w:rsid w:val="000857A3"/>
    <w:rsid w:val="00085BCD"/>
    <w:rsid w:val="00085F26"/>
    <w:rsid w:val="00086152"/>
    <w:rsid w:val="00086348"/>
    <w:rsid w:val="00086BE0"/>
    <w:rsid w:val="000872D9"/>
    <w:rsid w:val="0008786C"/>
    <w:rsid w:val="00087874"/>
    <w:rsid w:val="0008787C"/>
    <w:rsid w:val="00087A2B"/>
    <w:rsid w:val="000908BA"/>
    <w:rsid w:val="0009114D"/>
    <w:rsid w:val="00091341"/>
    <w:rsid w:val="00091B41"/>
    <w:rsid w:val="00091C6A"/>
    <w:rsid w:val="00091E93"/>
    <w:rsid w:val="00092082"/>
    <w:rsid w:val="00092947"/>
    <w:rsid w:val="00092D46"/>
    <w:rsid w:val="000932C7"/>
    <w:rsid w:val="000937D8"/>
    <w:rsid w:val="00093B37"/>
    <w:rsid w:val="00093B61"/>
    <w:rsid w:val="00093DBB"/>
    <w:rsid w:val="00094590"/>
    <w:rsid w:val="0009518B"/>
    <w:rsid w:val="000954BA"/>
    <w:rsid w:val="00095777"/>
    <w:rsid w:val="0009598A"/>
    <w:rsid w:val="000959FB"/>
    <w:rsid w:val="00095A59"/>
    <w:rsid w:val="00095CF8"/>
    <w:rsid w:val="00095D56"/>
    <w:rsid w:val="000960C4"/>
    <w:rsid w:val="0009633B"/>
    <w:rsid w:val="00096378"/>
    <w:rsid w:val="00096BB7"/>
    <w:rsid w:val="000972DD"/>
    <w:rsid w:val="0009746A"/>
    <w:rsid w:val="0009754C"/>
    <w:rsid w:val="0009786F"/>
    <w:rsid w:val="00097993"/>
    <w:rsid w:val="00097A57"/>
    <w:rsid w:val="000A03CF"/>
    <w:rsid w:val="000A0D57"/>
    <w:rsid w:val="000A1E66"/>
    <w:rsid w:val="000A22EB"/>
    <w:rsid w:val="000A22F9"/>
    <w:rsid w:val="000A2356"/>
    <w:rsid w:val="000A2E2F"/>
    <w:rsid w:val="000A2F3E"/>
    <w:rsid w:val="000A337B"/>
    <w:rsid w:val="000A3782"/>
    <w:rsid w:val="000A3D05"/>
    <w:rsid w:val="000A40B1"/>
    <w:rsid w:val="000A4480"/>
    <w:rsid w:val="000A4688"/>
    <w:rsid w:val="000A49B8"/>
    <w:rsid w:val="000A4A23"/>
    <w:rsid w:val="000A4CBB"/>
    <w:rsid w:val="000A4F42"/>
    <w:rsid w:val="000A5181"/>
    <w:rsid w:val="000A5D64"/>
    <w:rsid w:val="000A5D6B"/>
    <w:rsid w:val="000A5D7D"/>
    <w:rsid w:val="000A5EA8"/>
    <w:rsid w:val="000A6299"/>
    <w:rsid w:val="000A66AC"/>
    <w:rsid w:val="000A6FEB"/>
    <w:rsid w:val="000A7CD3"/>
    <w:rsid w:val="000B04F0"/>
    <w:rsid w:val="000B1158"/>
    <w:rsid w:val="000B1378"/>
    <w:rsid w:val="000B187B"/>
    <w:rsid w:val="000B1B4B"/>
    <w:rsid w:val="000B1D74"/>
    <w:rsid w:val="000B1D94"/>
    <w:rsid w:val="000B1E09"/>
    <w:rsid w:val="000B2771"/>
    <w:rsid w:val="000B2921"/>
    <w:rsid w:val="000B322B"/>
    <w:rsid w:val="000B370E"/>
    <w:rsid w:val="000B3879"/>
    <w:rsid w:val="000B3965"/>
    <w:rsid w:val="000B421F"/>
    <w:rsid w:val="000B470E"/>
    <w:rsid w:val="000B48F6"/>
    <w:rsid w:val="000B4C48"/>
    <w:rsid w:val="000B4EB6"/>
    <w:rsid w:val="000B59DD"/>
    <w:rsid w:val="000B5CD7"/>
    <w:rsid w:val="000B5E83"/>
    <w:rsid w:val="000B6498"/>
    <w:rsid w:val="000B6613"/>
    <w:rsid w:val="000B68ED"/>
    <w:rsid w:val="000B6A0F"/>
    <w:rsid w:val="000B7AD9"/>
    <w:rsid w:val="000C023A"/>
    <w:rsid w:val="000C084E"/>
    <w:rsid w:val="000C0CA5"/>
    <w:rsid w:val="000C126A"/>
    <w:rsid w:val="000C12BF"/>
    <w:rsid w:val="000C176D"/>
    <w:rsid w:val="000C1F4A"/>
    <w:rsid w:val="000C200E"/>
    <w:rsid w:val="000C2BA4"/>
    <w:rsid w:val="000C3C8C"/>
    <w:rsid w:val="000C3D50"/>
    <w:rsid w:val="000C406B"/>
    <w:rsid w:val="000C49CC"/>
    <w:rsid w:val="000C52DC"/>
    <w:rsid w:val="000C5B63"/>
    <w:rsid w:val="000C6204"/>
    <w:rsid w:val="000C641E"/>
    <w:rsid w:val="000C7209"/>
    <w:rsid w:val="000C7435"/>
    <w:rsid w:val="000C7890"/>
    <w:rsid w:val="000C7A3A"/>
    <w:rsid w:val="000C7CBB"/>
    <w:rsid w:val="000C7DCC"/>
    <w:rsid w:val="000D0138"/>
    <w:rsid w:val="000D0815"/>
    <w:rsid w:val="000D0872"/>
    <w:rsid w:val="000D08C1"/>
    <w:rsid w:val="000D0901"/>
    <w:rsid w:val="000D101F"/>
    <w:rsid w:val="000D114B"/>
    <w:rsid w:val="000D1528"/>
    <w:rsid w:val="000D1644"/>
    <w:rsid w:val="000D1FF1"/>
    <w:rsid w:val="000D21FA"/>
    <w:rsid w:val="000D28BC"/>
    <w:rsid w:val="000D2939"/>
    <w:rsid w:val="000D2CD6"/>
    <w:rsid w:val="000D2D04"/>
    <w:rsid w:val="000D36A0"/>
    <w:rsid w:val="000D3A22"/>
    <w:rsid w:val="000D464F"/>
    <w:rsid w:val="000D495E"/>
    <w:rsid w:val="000D5074"/>
    <w:rsid w:val="000D53AF"/>
    <w:rsid w:val="000D5562"/>
    <w:rsid w:val="000D59F3"/>
    <w:rsid w:val="000D5D94"/>
    <w:rsid w:val="000D5E70"/>
    <w:rsid w:val="000D6851"/>
    <w:rsid w:val="000D6A20"/>
    <w:rsid w:val="000D6EA4"/>
    <w:rsid w:val="000D71F8"/>
    <w:rsid w:val="000D72A1"/>
    <w:rsid w:val="000D7497"/>
    <w:rsid w:val="000D753D"/>
    <w:rsid w:val="000D75C8"/>
    <w:rsid w:val="000D7779"/>
    <w:rsid w:val="000D7A84"/>
    <w:rsid w:val="000D7FF1"/>
    <w:rsid w:val="000E0605"/>
    <w:rsid w:val="000E0BCB"/>
    <w:rsid w:val="000E167A"/>
    <w:rsid w:val="000E16C6"/>
    <w:rsid w:val="000E19EC"/>
    <w:rsid w:val="000E24EB"/>
    <w:rsid w:val="000E2A39"/>
    <w:rsid w:val="000E2CE3"/>
    <w:rsid w:val="000E2E71"/>
    <w:rsid w:val="000E3364"/>
    <w:rsid w:val="000E33D2"/>
    <w:rsid w:val="000E3BF0"/>
    <w:rsid w:val="000E4457"/>
    <w:rsid w:val="000E452D"/>
    <w:rsid w:val="000E4698"/>
    <w:rsid w:val="000E47BB"/>
    <w:rsid w:val="000E4A84"/>
    <w:rsid w:val="000E4B45"/>
    <w:rsid w:val="000E4BDA"/>
    <w:rsid w:val="000E4DB5"/>
    <w:rsid w:val="000E4E7D"/>
    <w:rsid w:val="000E5149"/>
    <w:rsid w:val="000E553D"/>
    <w:rsid w:val="000E5FCE"/>
    <w:rsid w:val="000E662B"/>
    <w:rsid w:val="000E6C2B"/>
    <w:rsid w:val="000E6EED"/>
    <w:rsid w:val="000E6FC3"/>
    <w:rsid w:val="000E710E"/>
    <w:rsid w:val="000E721A"/>
    <w:rsid w:val="000E7434"/>
    <w:rsid w:val="000E77B0"/>
    <w:rsid w:val="000E7E1C"/>
    <w:rsid w:val="000F004C"/>
    <w:rsid w:val="000F0153"/>
    <w:rsid w:val="000F039E"/>
    <w:rsid w:val="000F05A0"/>
    <w:rsid w:val="000F09C0"/>
    <w:rsid w:val="000F1277"/>
    <w:rsid w:val="000F1310"/>
    <w:rsid w:val="000F16E9"/>
    <w:rsid w:val="000F22C0"/>
    <w:rsid w:val="000F2327"/>
    <w:rsid w:val="000F345D"/>
    <w:rsid w:val="000F36A8"/>
    <w:rsid w:val="000F380F"/>
    <w:rsid w:val="000F3D56"/>
    <w:rsid w:val="000F4143"/>
    <w:rsid w:val="000F4397"/>
    <w:rsid w:val="000F4615"/>
    <w:rsid w:val="000F4C06"/>
    <w:rsid w:val="000F5450"/>
    <w:rsid w:val="000F553D"/>
    <w:rsid w:val="000F5805"/>
    <w:rsid w:val="000F5C43"/>
    <w:rsid w:val="000F5C9E"/>
    <w:rsid w:val="000F6427"/>
    <w:rsid w:val="000F6BFD"/>
    <w:rsid w:val="000F6D84"/>
    <w:rsid w:val="000F6F1B"/>
    <w:rsid w:val="000F6FC3"/>
    <w:rsid w:val="000F75B8"/>
    <w:rsid w:val="000F7D21"/>
    <w:rsid w:val="0010081A"/>
    <w:rsid w:val="00100F08"/>
    <w:rsid w:val="00100F63"/>
    <w:rsid w:val="00101518"/>
    <w:rsid w:val="001017C6"/>
    <w:rsid w:val="001017E7"/>
    <w:rsid w:val="00101995"/>
    <w:rsid w:val="001023B4"/>
    <w:rsid w:val="0010240F"/>
    <w:rsid w:val="00102FC9"/>
    <w:rsid w:val="00103362"/>
    <w:rsid w:val="00103994"/>
    <w:rsid w:val="00103BCE"/>
    <w:rsid w:val="0010405B"/>
    <w:rsid w:val="001042C3"/>
    <w:rsid w:val="00104A84"/>
    <w:rsid w:val="00104B83"/>
    <w:rsid w:val="00104EE1"/>
    <w:rsid w:val="00105A08"/>
    <w:rsid w:val="00105DE6"/>
    <w:rsid w:val="001062AF"/>
    <w:rsid w:val="00106926"/>
    <w:rsid w:val="00106B3C"/>
    <w:rsid w:val="00106C68"/>
    <w:rsid w:val="00106E94"/>
    <w:rsid w:val="001103F8"/>
    <w:rsid w:val="00110A4D"/>
    <w:rsid w:val="00110A7C"/>
    <w:rsid w:val="00110D1C"/>
    <w:rsid w:val="00111104"/>
    <w:rsid w:val="001118B3"/>
    <w:rsid w:val="00111943"/>
    <w:rsid w:val="00111C35"/>
    <w:rsid w:val="001125BA"/>
    <w:rsid w:val="0011308D"/>
    <w:rsid w:val="001134EE"/>
    <w:rsid w:val="00113F31"/>
    <w:rsid w:val="0011462E"/>
    <w:rsid w:val="00114CC2"/>
    <w:rsid w:val="00115F1C"/>
    <w:rsid w:val="001161DE"/>
    <w:rsid w:val="00116277"/>
    <w:rsid w:val="0011689E"/>
    <w:rsid w:val="00116ACA"/>
    <w:rsid w:val="0011717A"/>
    <w:rsid w:val="00117213"/>
    <w:rsid w:val="001179C1"/>
    <w:rsid w:val="00117E42"/>
    <w:rsid w:val="00117E92"/>
    <w:rsid w:val="00117F30"/>
    <w:rsid w:val="0012011E"/>
    <w:rsid w:val="0012042D"/>
    <w:rsid w:val="001204B7"/>
    <w:rsid w:val="00120CDF"/>
    <w:rsid w:val="00120D47"/>
    <w:rsid w:val="00121379"/>
    <w:rsid w:val="0012192F"/>
    <w:rsid w:val="00122155"/>
    <w:rsid w:val="00122B75"/>
    <w:rsid w:val="00123078"/>
    <w:rsid w:val="0012333E"/>
    <w:rsid w:val="0012490B"/>
    <w:rsid w:val="00124C9D"/>
    <w:rsid w:val="00124CE7"/>
    <w:rsid w:val="00125737"/>
    <w:rsid w:val="00126300"/>
    <w:rsid w:val="001266FE"/>
    <w:rsid w:val="00126843"/>
    <w:rsid w:val="00127CE6"/>
    <w:rsid w:val="00130A9B"/>
    <w:rsid w:val="001311F1"/>
    <w:rsid w:val="00131369"/>
    <w:rsid w:val="0013198F"/>
    <w:rsid w:val="00131F50"/>
    <w:rsid w:val="00132014"/>
    <w:rsid w:val="001323B9"/>
    <w:rsid w:val="001328D9"/>
    <w:rsid w:val="00132911"/>
    <w:rsid w:val="001329FF"/>
    <w:rsid w:val="001331D2"/>
    <w:rsid w:val="00133941"/>
    <w:rsid w:val="00133B56"/>
    <w:rsid w:val="00133C94"/>
    <w:rsid w:val="00134C12"/>
    <w:rsid w:val="00135855"/>
    <w:rsid w:val="00135BB1"/>
    <w:rsid w:val="00135E94"/>
    <w:rsid w:val="00135F47"/>
    <w:rsid w:val="001360D5"/>
    <w:rsid w:val="00137091"/>
    <w:rsid w:val="00137913"/>
    <w:rsid w:val="0013792A"/>
    <w:rsid w:val="00137AAF"/>
    <w:rsid w:val="00137C6C"/>
    <w:rsid w:val="00137D0D"/>
    <w:rsid w:val="00137E83"/>
    <w:rsid w:val="0014035B"/>
    <w:rsid w:val="001408E0"/>
    <w:rsid w:val="00140D72"/>
    <w:rsid w:val="0014167A"/>
    <w:rsid w:val="00141CFE"/>
    <w:rsid w:val="00141D61"/>
    <w:rsid w:val="00141D6D"/>
    <w:rsid w:val="001424DB"/>
    <w:rsid w:val="00142501"/>
    <w:rsid w:val="001427F8"/>
    <w:rsid w:val="001429B0"/>
    <w:rsid w:val="00142F81"/>
    <w:rsid w:val="0014351E"/>
    <w:rsid w:val="00143FBD"/>
    <w:rsid w:val="00144141"/>
    <w:rsid w:val="0014470F"/>
    <w:rsid w:val="001447AD"/>
    <w:rsid w:val="00145F49"/>
    <w:rsid w:val="001463A4"/>
    <w:rsid w:val="001471E5"/>
    <w:rsid w:val="00147244"/>
    <w:rsid w:val="001476AF"/>
    <w:rsid w:val="0014772D"/>
    <w:rsid w:val="0014773B"/>
    <w:rsid w:val="00147BD2"/>
    <w:rsid w:val="00147DD9"/>
    <w:rsid w:val="00150D9B"/>
    <w:rsid w:val="001511D3"/>
    <w:rsid w:val="00151E20"/>
    <w:rsid w:val="00151EDB"/>
    <w:rsid w:val="001523DE"/>
    <w:rsid w:val="001525D1"/>
    <w:rsid w:val="00152E4E"/>
    <w:rsid w:val="00153094"/>
    <w:rsid w:val="001533B5"/>
    <w:rsid w:val="00153A10"/>
    <w:rsid w:val="00153D4D"/>
    <w:rsid w:val="0015402B"/>
    <w:rsid w:val="00154329"/>
    <w:rsid w:val="001543B9"/>
    <w:rsid w:val="0015471C"/>
    <w:rsid w:val="00155137"/>
    <w:rsid w:val="001555E5"/>
    <w:rsid w:val="0015595E"/>
    <w:rsid w:val="00155F34"/>
    <w:rsid w:val="00156837"/>
    <w:rsid w:val="0015691D"/>
    <w:rsid w:val="00156BB6"/>
    <w:rsid w:val="00157128"/>
    <w:rsid w:val="0015713C"/>
    <w:rsid w:val="001572CF"/>
    <w:rsid w:val="00160226"/>
    <w:rsid w:val="001602DB"/>
    <w:rsid w:val="00160907"/>
    <w:rsid w:val="001617BA"/>
    <w:rsid w:val="001618D0"/>
    <w:rsid w:val="00161C2E"/>
    <w:rsid w:val="00161DAA"/>
    <w:rsid w:val="00161F31"/>
    <w:rsid w:val="00161F47"/>
    <w:rsid w:val="00162A07"/>
    <w:rsid w:val="00162B20"/>
    <w:rsid w:val="0016468A"/>
    <w:rsid w:val="00164CA2"/>
    <w:rsid w:val="00165352"/>
    <w:rsid w:val="0016554D"/>
    <w:rsid w:val="00165C7F"/>
    <w:rsid w:val="0016640F"/>
    <w:rsid w:val="001664A9"/>
    <w:rsid w:val="00166505"/>
    <w:rsid w:val="00166601"/>
    <w:rsid w:val="0016689C"/>
    <w:rsid w:val="001669E4"/>
    <w:rsid w:val="001669F9"/>
    <w:rsid w:val="00166EF9"/>
    <w:rsid w:val="0016743A"/>
    <w:rsid w:val="00167837"/>
    <w:rsid w:val="00167D7D"/>
    <w:rsid w:val="00170752"/>
    <w:rsid w:val="00170999"/>
    <w:rsid w:val="00171438"/>
    <w:rsid w:val="001716F2"/>
    <w:rsid w:val="00171DEA"/>
    <w:rsid w:val="001722F9"/>
    <w:rsid w:val="00172926"/>
    <w:rsid w:val="00172972"/>
    <w:rsid w:val="00172E8B"/>
    <w:rsid w:val="0017342A"/>
    <w:rsid w:val="001736CF"/>
    <w:rsid w:val="00173D23"/>
    <w:rsid w:val="00173D6F"/>
    <w:rsid w:val="00173EB6"/>
    <w:rsid w:val="00174A5C"/>
    <w:rsid w:val="001755FD"/>
    <w:rsid w:val="0017563C"/>
    <w:rsid w:val="001756EE"/>
    <w:rsid w:val="001758DD"/>
    <w:rsid w:val="001763B1"/>
    <w:rsid w:val="0017641F"/>
    <w:rsid w:val="001765A8"/>
    <w:rsid w:val="001769F1"/>
    <w:rsid w:val="00176DF9"/>
    <w:rsid w:val="00176FB2"/>
    <w:rsid w:val="0017706E"/>
    <w:rsid w:val="001779C2"/>
    <w:rsid w:val="00177DA0"/>
    <w:rsid w:val="0018065C"/>
    <w:rsid w:val="00180767"/>
    <w:rsid w:val="00180C77"/>
    <w:rsid w:val="001812C6"/>
    <w:rsid w:val="00181C58"/>
    <w:rsid w:val="00183F47"/>
    <w:rsid w:val="0018414B"/>
    <w:rsid w:val="0018415A"/>
    <w:rsid w:val="0018447B"/>
    <w:rsid w:val="001847F3"/>
    <w:rsid w:val="00184A5C"/>
    <w:rsid w:val="00184FFE"/>
    <w:rsid w:val="001850C9"/>
    <w:rsid w:val="00185132"/>
    <w:rsid w:val="00185612"/>
    <w:rsid w:val="00185DCD"/>
    <w:rsid w:val="0018604C"/>
    <w:rsid w:val="00186C5A"/>
    <w:rsid w:val="00186FC2"/>
    <w:rsid w:val="0018712F"/>
    <w:rsid w:val="0018736F"/>
    <w:rsid w:val="0018776A"/>
    <w:rsid w:val="00187E22"/>
    <w:rsid w:val="001904AC"/>
    <w:rsid w:val="001906F3"/>
    <w:rsid w:val="0019088C"/>
    <w:rsid w:val="0019184C"/>
    <w:rsid w:val="001918C4"/>
    <w:rsid w:val="00191F8B"/>
    <w:rsid w:val="0019259F"/>
    <w:rsid w:val="00192874"/>
    <w:rsid w:val="001929D8"/>
    <w:rsid w:val="00192D92"/>
    <w:rsid w:val="00192E7D"/>
    <w:rsid w:val="001931E6"/>
    <w:rsid w:val="00193BB1"/>
    <w:rsid w:val="00194703"/>
    <w:rsid w:val="001949D0"/>
    <w:rsid w:val="00194BBB"/>
    <w:rsid w:val="001958C8"/>
    <w:rsid w:val="001959C3"/>
    <w:rsid w:val="00195CA9"/>
    <w:rsid w:val="00196276"/>
    <w:rsid w:val="001964DA"/>
    <w:rsid w:val="00196A68"/>
    <w:rsid w:val="00196B69"/>
    <w:rsid w:val="00196BF9"/>
    <w:rsid w:val="00196EBF"/>
    <w:rsid w:val="00197164"/>
    <w:rsid w:val="001979E7"/>
    <w:rsid w:val="00197D16"/>
    <w:rsid w:val="00197DE0"/>
    <w:rsid w:val="00197F5A"/>
    <w:rsid w:val="00197F63"/>
    <w:rsid w:val="001A01F8"/>
    <w:rsid w:val="001A05B1"/>
    <w:rsid w:val="001A0733"/>
    <w:rsid w:val="001A0923"/>
    <w:rsid w:val="001A0E4A"/>
    <w:rsid w:val="001A148C"/>
    <w:rsid w:val="001A212E"/>
    <w:rsid w:val="001A21E9"/>
    <w:rsid w:val="001A2667"/>
    <w:rsid w:val="001A27DB"/>
    <w:rsid w:val="001A27E6"/>
    <w:rsid w:val="001A2C65"/>
    <w:rsid w:val="001A3B97"/>
    <w:rsid w:val="001A4639"/>
    <w:rsid w:val="001A492C"/>
    <w:rsid w:val="001A51CE"/>
    <w:rsid w:val="001A5AE4"/>
    <w:rsid w:val="001A5EDF"/>
    <w:rsid w:val="001A6416"/>
    <w:rsid w:val="001A6777"/>
    <w:rsid w:val="001A6AE2"/>
    <w:rsid w:val="001A6D5D"/>
    <w:rsid w:val="001A70D5"/>
    <w:rsid w:val="001A73A3"/>
    <w:rsid w:val="001A7714"/>
    <w:rsid w:val="001A7FF5"/>
    <w:rsid w:val="001B0455"/>
    <w:rsid w:val="001B061C"/>
    <w:rsid w:val="001B0AA5"/>
    <w:rsid w:val="001B1437"/>
    <w:rsid w:val="001B147C"/>
    <w:rsid w:val="001B1510"/>
    <w:rsid w:val="001B1604"/>
    <w:rsid w:val="001B1B27"/>
    <w:rsid w:val="001B24A3"/>
    <w:rsid w:val="001B29F6"/>
    <w:rsid w:val="001B2A6B"/>
    <w:rsid w:val="001B2BF1"/>
    <w:rsid w:val="001B384F"/>
    <w:rsid w:val="001B39CE"/>
    <w:rsid w:val="001B3C57"/>
    <w:rsid w:val="001B408E"/>
    <w:rsid w:val="001B4A9B"/>
    <w:rsid w:val="001B6094"/>
    <w:rsid w:val="001B6EB1"/>
    <w:rsid w:val="001B6F00"/>
    <w:rsid w:val="001B7152"/>
    <w:rsid w:val="001B7910"/>
    <w:rsid w:val="001B794E"/>
    <w:rsid w:val="001B7CF4"/>
    <w:rsid w:val="001C04C0"/>
    <w:rsid w:val="001C0601"/>
    <w:rsid w:val="001C07DC"/>
    <w:rsid w:val="001C0888"/>
    <w:rsid w:val="001C0AEA"/>
    <w:rsid w:val="001C0B8F"/>
    <w:rsid w:val="001C18D5"/>
    <w:rsid w:val="001C19F8"/>
    <w:rsid w:val="001C2128"/>
    <w:rsid w:val="001C22C8"/>
    <w:rsid w:val="001C2563"/>
    <w:rsid w:val="001C25FA"/>
    <w:rsid w:val="001C36AF"/>
    <w:rsid w:val="001C3EC6"/>
    <w:rsid w:val="001C3FC6"/>
    <w:rsid w:val="001C4389"/>
    <w:rsid w:val="001C4DC3"/>
    <w:rsid w:val="001C5007"/>
    <w:rsid w:val="001C5453"/>
    <w:rsid w:val="001C5660"/>
    <w:rsid w:val="001C5E9D"/>
    <w:rsid w:val="001C5F75"/>
    <w:rsid w:val="001C5F85"/>
    <w:rsid w:val="001C625E"/>
    <w:rsid w:val="001C66F8"/>
    <w:rsid w:val="001C6B95"/>
    <w:rsid w:val="001C788E"/>
    <w:rsid w:val="001C7A33"/>
    <w:rsid w:val="001C7C03"/>
    <w:rsid w:val="001C7EA4"/>
    <w:rsid w:val="001D07D5"/>
    <w:rsid w:val="001D0C1E"/>
    <w:rsid w:val="001D0DAB"/>
    <w:rsid w:val="001D1142"/>
    <w:rsid w:val="001D220C"/>
    <w:rsid w:val="001D26CD"/>
    <w:rsid w:val="001D2963"/>
    <w:rsid w:val="001D3EB4"/>
    <w:rsid w:val="001D3F9B"/>
    <w:rsid w:val="001D48A9"/>
    <w:rsid w:val="001D51A1"/>
    <w:rsid w:val="001D59DB"/>
    <w:rsid w:val="001D5AC8"/>
    <w:rsid w:val="001D5CD4"/>
    <w:rsid w:val="001D65B8"/>
    <w:rsid w:val="001D6948"/>
    <w:rsid w:val="001D6F34"/>
    <w:rsid w:val="001D6F36"/>
    <w:rsid w:val="001D6F41"/>
    <w:rsid w:val="001D729A"/>
    <w:rsid w:val="001D750E"/>
    <w:rsid w:val="001D771A"/>
    <w:rsid w:val="001E06E7"/>
    <w:rsid w:val="001E0CBF"/>
    <w:rsid w:val="001E1487"/>
    <w:rsid w:val="001E14AF"/>
    <w:rsid w:val="001E1B8F"/>
    <w:rsid w:val="001E1D9F"/>
    <w:rsid w:val="001E1DC2"/>
    <w:rsid w:val="001E1E43"/>
    <w:rsid w:val="001E2A50"/>
    <w:rsid w:val="001E382D"/>
    <w:rsid w:val="001E38B6"/>
    <w:rsid w:val="001E3DA7"/>
    <w:rsid w:val="001E4302"/>
    <w:rsid w:val="001E4A14"/>
    <w:rsid w:val="001E4E04"/>
    <w:rsid w:val="001E5266"/>
    <w:rsid w:val="001E528E"/>
    <w:rsid w:val="001E5554"/>
    <w:rsid w:val="001E57C8"/>
    <w:rsid w:val="001E58ED"/>
    <w:rsid w:val="001E5EE1"/>
    <w:rsid w:val="001E6129"/>
    <w:rsid w:val="001E6244"/>
    <w:rsid w:val="001E630C"/>
    <w:rsid w:val="001E6444"/>
    <w:rsid w:val="001E6D21"/>
    <w:rsid w:val="001E6E55"/>
    <w:rsid w:val="001E6F06"/>
    <w:rsid w:val="001E749A"/>
    <w:rsid w:val="001E74AC"/>
    <w:rsid w:val="001F01D7"/>
    <w:rsid w:val="001F04A5"/>
    <w:rsid w:val="001F0A4F"/>
    <w:rsid w:val="001F0EE9"/>
    <w:rsid w:val="001F1120"/>
    <w:rsid w:val="001F1D5F"/>
    <w:rsid w:val="001F22E0"/>
    <w:rsid w:val="001F2395"/>
    <w:rsid w:val="001F2B2B"/>
    <w:rsid w:val="001F3032"/>
    <w:rsid w:val="001F3074"/>
    <w:rsid w:val="001F33FB"/>
    <w:rsid w:val="001F3665"/>
    <w:rsid w:val="001F3AB7"/>
    <w:rsid w:val="001F3E2F"/>
    <w:rsid w:val="001F4000"/>
    <w:rsid w:val="001F408D"/>
    <w:rsid w:val="001F5B91"/>
    <w:rsid w:val="001F5DD8"/>
    <w:rsid w:val="001F6855"/>
    <w:rsid w:val="001F6879"/>
    <w:rsid w:val="001F7277"/>
    <w:rsid w:val="001F7483"/>
    <w:rsid w:val="001F77B6"/>
    <w:rsid w:val="001F7A3D"/>
    <w:rsid w:val="001F7BC7"/>
    <w:rsid w:val="001F7C0A"/>
    <w:rsid w:val="001F7E21"/>
    <w:rsid w:val="0020055B"/>
    <w:rsid w:val="002017A4"/>
    <w:rsid w:val="00201A20"/>
    <w:rsid w:val="0020222A"/>
    <w:rsid w:val="00202ADB"/>
    <w:rsid w:val="00202F83"/>
    <w:rsid w:val="00202FB7"/>
    <w:rsid w:val="002032F2"/>
    <w:rsid w:val="00203548"/>
    <w:rsid w:val="00203971"/>
    <w:rsid w:val="00204006"/>
    <w:rsid w:val="0020464B"/>
    <w:rsid w:val="002047A7"/>
    <w:rsid w:val="00204BA6"/>
    <w:rsid w:val="00204C00"/>
    <w:rsid w:val="002050A8"/>
    <w:rsid w:val="002050C0"/>
    <w:rsid w:val="00205E21"/>
    <w:rsid w:val="0020616C"/>
    <w:rsid w:val="002068E9"/>
    <w:rsid w:val="00206A34"/>
    <w:rsid w:val="00207496"/>
    <w:rsid w:val="00207AE0"/>
    <w:rsid w:val="00207AE2"/>
    <w:rsid w:val="0021036E"/>
    <w:rsid w:val="00210D2C"/>
    <w:rsid w:val="00211139"/>
    <w:rsid w:val="0021186A"/>
    <w:rsid w:val="002120F4"/>
    <w:rsid w:val="00212457"/>
    <w:rsid w:val="0021290E"/>
    <w:rsid w:val="00212F1E"/>
    <w:rsid w:val="002130E6"/>
    <w:rsid w:val="00213CAA"/>
    <w:rsid w:val="00213CB3"/>
    <w:rsid w:val="002141EE"/>
    <w:rsid w:val="002149FB"/>
    <w:rsid w:val="00214B09"/>
    <w:rsid w:val="00214C78"/>
    <w:rsid w:val="00214E7C"/>
    <w:rsid w:val="00215198"/>
    <w:rsid w:val="00215AC2"/>
    <w:rsid w:val="00216805"/>
    <w:rsid w:val="00216A05"/>
    <w:rsid w:val="00216EDE"/>
    <w:rsid w:val="00217400"/>
    <w:rsid w:val="00217736"/>
    <w:rsid w:val="0021784E"/>
    <w:rsid w:val="00217FAF"/>
    <w:rsid w:val="00217FBC"/>
    <w:rsid w:val="00217FE0"/>
    <w:rsid w:val="00220599"/>
    <w:rsid w:val="0022061F"/>
    <w:rsid w:val="0022085C"/>
    <w:rsid w:val="00220A47"/>
    <w:rsid w:val="00220A56"/>
    <w:rsid w:val="00220E07"/>
    <w:rsid w:val="00220E76"/>
    <w:rsid w:val="00221082"/>
    <w:rsid w:val="0022112B"/>
    <w:rsid w:val="00221454"/>
    <w:rsid w:val="002215A6"/>
    <w:rsid w:val="00221643"/>
    <w:rsid w:val="00221922"/>
    <w:rsid w:val="00221C9A"/>
    <w:rsid w:val="00221DF5"/>
    <w:rsid w:val="00221E62"/>
    <w:rsid w:val="002220DB"/>
    <w:rsid w:val="002229E5"/>
    <w:rsid w:val="00223D21"/>
    <w:rsid w:val="00223F75"/>
    <w:rsid w:val="002249FE"/>
    <w:rsid w:val="00224AC3"/>
    <w:rsid w:val="002258A7"/>
    <w:rsid w:val="00225C37"/>
    <w:rsid w:val="00225DCD"/>
    <w:rsid w:val="00226EA0"/>
    <w:rsid w:val="00227197"/>
    <w:rsid w:val="00227744"/>
    <w:rsid w:val="00227B7A"/>
    <w:rsid w:val="00227C1A"/>
    <w:rsid w:val="00227EB2"/>
    <w:rsid w:val="00227F7F"/>
    <w:rsid w:val="00230B2A"/>
    <w:rsid w:val="00230E6A"/>
    <w:rsid w:val="002314E4"/>
    <w:rsid w:val="00231F37"/>
    <w:rsid w:val="00232492"/>
    <w:rsid w:val="00232789"/>
    <w:rsid w:val="002327A8"/>
    <w:rsid w:val="002328B1"/>
    <w:rsid w:val="00232B68"/>
    <w:rsid w:val="00232BD0"/>
    <w:rsid w:val="00232F03"/>
    <w:rsid w:val="0023301B"/>
    <w:rsid w:val="002331A5"/>
    <w:rsid w:val="002333E8"/>
    <w:rsid w:val="00233586"/>
    <w:rsid w:val="0023388D"/>
    <w:rsid w:val="0023391D"/>
    <w:rsid w:val="00233BC5"/>
    <w:rsid w:val="00233D52"/>
    <w:rsid w:val="00233DF0"/>
    <w:rsid w:val="00234088"/>
    <w:rsid w:val="002340CF"/>
    <w:rsid w:val="00234479"/>
    <w:rsid w:val="00234511"/>
    <w:rsid w:val="00234512"/>
    <w:rsid w:val="00234522"/>
    <w:rsid w:val="00234BD5"/>
    <w:rsid w:val="00234F44"/>
    <w:rsid w:val="0023554A"/>
    <w:rsid w:val="00236C95"/>
    <w:rsid w:val="00236D6F"/>
    <w:rsid w:val="0023745C"/>
    <w:rsid w:val="00237C0A"/>
    <w:rsid w:val="00237DA8"/>
    <w:rsid w:val="0024033C"/>
    <w:rsid w:val="00240A8C"/>
    <w:rsid w:val="00241949"/>
    <w:rsid w:val="00241B70"/>
    <w:rsid w:val="00241F45"/>
    <w:rsid w:val="002421C2"/>
    <w:rsid w:val="002441CD"/>
    <w:rsid w:val="00244422"/>
    <w:rsid w:val="002447CF"/>
    <w:rsid w:val="00244821"/>
    <w:rsid w:val="002451DE"/>
    <w:rsid w:val="0024528C"/>
    <w:rsid w:val="00245373"/>
    <w:rsid w:val="00245A0F"/>
    <w:rsid w:val="00245BCF"/>
    <w:rsid w:val="00245E47"/>
    <w:rsid w:val="0024630E"/>
    <w:rsid w:val="002469D2"/>
    <w:rsid w:val="00246A66"/>
    <w:rsid w:val="002471CD"/>
    <w:rsid w:val="002471F7"/>
    <w:rsid w:val="0024724A"/>
    <w:rsid w:val="00247961"/>
    <w:rsid w:val="00247981"/>
    <w:rsid w:val="00247E5F"/>
    <w:rsid w:val="00250589"/>
    <w:rsid w:val="00250D86"/>
    <w:rsid w:val="00251072"/>
    <w:rsid w:val="0025109B"/>
    <w:rsid w:val="00251B1D"/>
    <w:rsid w:val="002525D1"/>
    <w:rsid w:val="00252A19"/>
    <w:rsid w:val="00253201"/>
    <w:rsid w:val="002534AD"/>
    <w:rsid w:val="00253726"/>
    <w:rsid w:val="00253BEC"/>
    <w:rsid w:val="0025444A"/>
    <w:rsid w:val="002544C2"/>
    <w:rsid w:val="00254562"/>
    <w:rsid w:val="00254571"/>
    <w:rsid w:val="0025458C"/>
    <w:rsid w:val="002546CC"/>
    <w:rsid w:val="002547A3"/>
    <w:rsid w:val="00254D89"/>
    <w:rsid w:val="00254F4E"/>
    <w:rsid w:val="0025512C"/>
    <w:rsid w:val="002556DA"/>
    <w:rsid w:val="002557E2"/>
    <w:rsid w:val="00255A96"/>
    <w:rsid w:val="00256A68"/>
    <w:rsid w:val="00256A94"/>
    <w:rsid w:val="00257118"/>
    <w:rsid w:val="00257504"/>
    <w:rsid w:val="002603B2"/>
    <w:rsid w:val="00260848"/>
    <w:rsid w:val="00260AFB"/>
    <w:rsid w:val="00261A9D"/>
    <w:rsid w:val="00261B9C"/>
    <w:rsid w:val="00261C31"/>
    <w:rsid w:val="00261C53"/>
    <w:rsid w:val="002622AF"/>
    <w:rsid w:val="002623A4"/>
    <w:rsid w:val="002630AE"/>
    <w:rsid w:val="00263129"/>
    <w:rsid w:val="002632C7"/>
    <w:rsid w:val="00263537"/>
    <w:rsid w:val="00263D15"/>
    <w:rsid w:val="002641E8"/>
    <w:rsid w:val="0026445E"/>
    <w:rsid w:val="002647DB"/>
    <w:rsid w:val="0026580B"/>
    <w:rsid w:val="00265EC3"/>
    <w:rsid w:val="00266036"/>
    <w:rsid w:val="00266B44"/>
    <w:rsid w:val="002670C2"/>
    <w:rsid w:val="0026717C"/>
    <w:rsid w:val="002674AC"/>
    <w:rsid w:val="002679BD"/>
    <w:rsid w:val="0027014A"/>
    <w:rsid w:val="002701C7"/>
    <w:rsid w:val="00270D7B"/>
    <w:rsid w:val="002714BB"/>
    <w:rsid w:val="0027153A"/>
    <w:rsid w:val="002717A0"/>
    <w:rsid w:val="00272499"/>
    <w:rsid w:val="00272927"/>
    <w:rsid w:val="00272A12"/>
    <w:rsid w:val="00272B68"/>
    <w:rsid w:val="00272F6E"/>
    <w:rsid w:val="00273597"/>
    <w:rsid w:val="002742B0"/>
    <w:rsid w:val="00274A5C"/>
    <w:rsid w:val="00275263"/>
    <w:rsid w:val="00275FC0"/>
    <w:rsid w:val="00276303"/>
    <w:rsid w:val="002766C7"/>
    <w:rsid w:val="002770E2"/>
    <w:rsid w:val="0027723C"/>
    <w:rsid w:val="002779BC"/>
    <w:rsid w:val="00277FC6"/>
    <w:rsid w:val="0028025D"/>
    <w:rsid w:val="00280C21"/>
    <w:rsid w:val="00281836"/>
    <w:rsid w:val="00281F12"/>
    <w:rsid w:val="00281FE1"/>
    <w:rsid w:val="002821D8"/>
    <w:rsid w:val="00282585"/>
    <w:rsid w:val="00282CDB"/>
    <w:rsid w:val="002837DE"/>
    <w:rsid w:val="002840CB"/>
    <w:rsid w:val="00284472"/>
    <w:rsid w:val="0028467B"/>
    <w:rsid w:val="0028471B"/>
    <w:rsid w:val="00284A41"/>
    <w:rsid w:val="00285857"/>
    <w:rsid w:val="002860CE"/>
    <w:rsid w:val="002865AE"/>
    <w:rsid w:val="00286F4F"/>
    <w:rsid w:val="0028704E"/>
    <w:rsid w:val="00287728"/>
    <w:rsid w:val="00287C85"/>
    <w:rsid w:val="00287EBE"/>
    <w:rsid w:val="00287F2A"/>
    <w:rsid w:val="0029046B"/>
    <w:rsid w:val="00290809"/>
    <w:rsid w:val="00290A90"/>
    <w:rsid w:val="002910AE"/>
    <w:rsid w:val="00291357"/>
    <w:rsid w:val="002915E0"/>
    <w:rsid w:val="002919EE"/>
    <w:rsid w:val="00291FCA"/>
    <w:rsid w:val="0029273A"/>
    <w:rsid w:val="00292ABE"/>
    <w:rsid w:val="00292D7F"/>
    <w:rsid w:val="002938A9"/>
    <w:rsid w:val="00293E8C"/>
    <w:rsid w:val="002944B1"/>
    <w:rsid w:val="002945C9"/>
    <w:rsid w:val="00294BCC"/>
    <w:rsid w:val="00294F34"/>
    <w:rsid w:val="00295101"/>
    <w:rsid w:val="002951C3"/>
    <w:rsid w:val="002951D8"/>
    <w:rsid w:val="002953D3"/>
    <w:rsid w:val="0029560D"/>
    <w:rsid w:val="00295818"/>
    <w:rsid w:val="00295AE7"/>
    <w:rsid w:val="00296B55"/>
    <w:rsid w:val="00296C36"/>
    <w:rsid w:val="00296D71"/>
    <w:rsid w:val="00296EE9"/>
    <w:rsid w:val="002973C7"/>
    <w:rsid w:val="002973E9"/>
    <w:rsid w:val="002974A7"/>
    <w:rsid w:val="0029752B"/>
    <w:rsid w:val="002976DB"/>
    <w:rsid w:val="002A05EB"/>
    <w:rsid w:val="002A064C"/>
    <w:rsid w:val="002A066D"/>
    <w:rsid w:val="002A06B0"/>
    <w:rsid w:val="002A08B2"/>
    <w:rsid w:val="002A0B58"/>
    <w:rsid w:val="002A0E7C"/>
    <w:rsid w:val="002A0F3E"/>
    <w:rsid w:val="002A0FA3"/>
    <w:rsid w:val="002A128C"/>
    <w:rsid w:val="002A1A22"/>
    <w:rsid w:val="002A1D15"/>
    <w:rsid w:val="002A1FAC"/>
    <w:rsid w:val="002A1FAE"/>
    <w:rsid w:val="002A2322"/>
    <w:rsid w:val="002A23A0"/>
    <w:rsid w:val="002A2913"/>
    <w:rsid w:val="002A35CE"/>
    <w:rsid w:val="002A3765"/>
    <w:rsid w:val="002A4250"/>
    <w:rsid w:val="002A46DE"/>
    <w:rsid w:val="002A476A"/>
    <w:rsid w:val="002A4DC4"/>
    <w:rsid w:val="002A4DD0"/>
    <w:rsid w:val="002A53B7"/>
    <w:rsid w:val="002A5494"/>
    <w:rsid w:val="002A58A3"/>
    <w:rsid w:val="002A64B8"/>
    <w:rsid w:val="002A692B"/>
    <w:rsid w:val="002A6F22"/>
    <w:rsid w:val="002A73EC"/>
    <w:rsid w:val="002A74AE"/>
    <w:rsid w:val="002B048A"/>
    <w:rsid w:val="002B079D"/>
    <w:rsid w:val="002B07C9"/>
    <w:rsid w:val="002B0B58"/>
    <w:rsid w:val="002B0DD5"/>
    <w:rsid w:val="002B11C9"/>
    <w:rsid w:val="002B1318"/>
    <w:rsid w:val="002B13A6"/>
    <w:rsid w:val="002B215A"/>
    <w:rsid w:val="002B256A"/>
    <w:rsid w:val="002B2CBC"/>
    <w:rsid w:val="002B352E"/>
    <w:rsid w:val="002B3EB1"/>
    <w:rsid w:val="002B3F9E"/>
    <w:rsid w:val="002B4397"/>
    <w:rsid w:val="002B48C0"/>
    <w:rsid w:val="002B4EA1"/>
    <w:rsid w:val="002B54D1"/>
    <w:rsid w:val="002B58E9"/>
    <w:rsid w:val="002B59D8"/>
    <w:rsid w:val="002B59F1"/>
    <w:rsid w:val="002B5BA1"/>
    <w:rsid w:val="002B6629"/>
    <w:rsid w:val="002B6932"/>
    <w:rsid w:val="002B6A5C"/>
    <w:rsid w:val="002B6C06"/>
    <w:rsid w:val="002B7249"/>
    <w:rsid w:val="002B7846"/>
    <w:rsid w:val="002B7A23"/>
    <w:rsid w:val="002C03D8"/>
    <w:rsid w:val="002C20BB"/>
    <w:rsid w:val="002C3E12"/>
    <w:rsid w:val="002C5132"/>
    <w:rsid w:val="002C5320"/>
    <w:rsid w:val="002C5A1E"/>
    <w:rsid w:val="002C5C17"/>
    <w:rsid w:val="002C5DB1"/>
    <w:rsid w:val="002C5EE5"/>
    <w:rsid w:val="002C601E"/>
    <w:rsid w:val="002C73CE"/>
    <w:rsid w:val="002C7734"/>
    <w:rsid w:val="002C78AD"/>
    <w:rsid w:val="002C7928"/>
    <w:rsid w:val="002C7DE2"/>
    <w:rsid w:val="002C7E19"/>
    <w:rsid w:val="002D0183"/>
    <w:rsid w:val="002D0410"/>
    <w:rsid w:val="002D1758"/>
    <w:rsid w:val="002D1AA6"/>
    <w:rsid w:val="002D1FEC"/>
    <w:rsid w:val="002D2134"/>
    <w:rsid w:val="002D2862"/>
    <w:rsid w:val="002D2A53"/>
    <w:rsid w:val="002D2FE9"/>
    <w:rsid w:val="002D31DF"/>
    <w:rsid w:val="002D3589"/>
    <w:rsid w:val="002D3EFA"/>
    <w:rsid w:val="002D3FB9"/>
    <w:rsid w:val="002D41E4"/>
    <w:rsid w:val="002D4690"/>
    <w:rsid w:val="002D48BF"/>
    <w:rsid w:val="002D5096"/>
    <w:rsid w:val="002D5611"/>
    <w:rsid w:val="002D679D"/>
    <w:rsid w:val="002D6AAC"/>
    <w:rsid w:val="002D6C1F"/>
    <w:rsid w:val="002D6FD2"/>
    <w:rsid w:val="002D762F"/>
    <w:rsid w:val="002D78B9"/>
    <w:rsid w:val="002D7B68"/>
    <w:rsid w:val="002E0DDF"/>
    <w:rsid w:val="002E151B"/>
    <w:rsid w:val="002E1BB4"/>
    <w:rsid w:val="002E2B68"/>
    <w:rsid w:val="002E2CB3"/>
    <w:rsid w:val="002E300D"/>
    <w:rsid w:val="002E36D3"/>
    <w:rsid w:val="002E46C3"/>
    <w:rsid w:val="002E50E8"/>
    <w:rsid w:val="002E522A"/>
    <w:rsid w:val="002E547D"/>
    <w:rsid w:val="002E5794"/>
    <w:rsid w:val="002E59AD"/>
    <w:rsid w:val="002E5A8F"/>
    <w:rsid w:val="002E5A92"/>
    <w:rsid w:val="002E5AF2"/>
    <w:rsid w:val="002E5DB0"/>
    <w:rsid w:val="002E6541"/>
    <w:rsid w:val="002E662C"/>
    <w:rsid w:val="002E674A"/>
    <w:rsid w:val="002E6AB2"/>
    <w:rsid w:val="002E6BC0"/>
    <w:rsid w:val="002E6C7E"/>
    <w:rsid w:val="002E6F73"/>
    <w:rsid w:val="002E7066"/>
    <w:rsid w:val="002E7263"/>
    <w:rsid w:val="002E72D7"/>
    <w:rsid w:val="002E737F"/>
    <w:rsid w:val="002E74DE"/>
    <w:rsid w:val="002E75AF"/>
    <w:rsid w:val="002E7797"/>
    <w:rsid w:val="002E7C8E"/>
    <w:rsid w:val="002F0242"/>
    <w:rsid w:val="002F06EF"/>
    <w:rsid w:val="002F0898"/>
    <w:rsid w:val="002F0AEA"/>
    <w:rsid w:val="002F11AE"/>
    <w:rsid w:val="002F146C"/>
    <w:rsid w:val="002F151A"/>
    <w:rsid w:val="002F18E1"/>
    <w:rsid w:val="002F2173"/>
    <w:rsid w:val="002F2367"/>
    <w:rsid w:val="002F2512"/>
    <w:rsid w:val="002F2A85"/>
    <w:rsid w:val="002F2FC5"/>
    <w:rsid w:val="002F3610"/>
    <w:rsid w:val="002F368A"/>
    <w:rsid w:val="002F396B"/>
    <w:rsid w:val="002F4325"/>
    <w:rsid w:val="002F6004"/>
    <w:rsid w:val="002F665C"/>
    <w:rsid w:val="002F68BF"/>
    <w:rsid w:val="002F692F"/>
    <w:rsid w:val="002F6A7B"/>
    <w:rsid w:val="002F757C"/>
    <w:rsid w:val="002F78EE"/>
    <w:rsid w:val="002F79B8"/>
    <w:rsid w:val="002F7D99"/>
    <w:rsid w:val="003004FB"/>
    <w:rsid w:val="00300875"/>
    <w:rsid w:val="003008B9"/>
    <w:rsid w:val="003017C6"/>
    <w:rsid w:val="003023CE"/>
    <w:rsid w:val="003025A5"/>
    <w:rsid w:val="00302C00"/>
    <w:rsid w:val="00303962"/>
    <w:rsid w:val="003046DA"/>
    <w:rsid w:val="0030472E"/>
    <w:rsid w:val="00304A76"/>
    <w:rsid w:val="00304CEE"/>
    <w:rsid w:val="00304D52"/>
    <w:rsid w:val="00305999"/>
    <w:rsid w:val="00305B26"/>
    <w:rsid w:val="00305B7C"/>
    <w:rsid w:val="00306406"/>
    <w:rsid w:val="003070D5"/>
    <w:rsid w:val="003071D1"/>
    <w:rsid w:val="00307725"/>
    <w:rsid w:val="00307A05"/>
    <w:rsid w:val="00307A71"/>
    <w:rsid w:val="00307CD1"/>
    <w:rsid w:val="00310290"/>
    <w:rsid w:val="0031038E"/>
    <w:rsid w:val="003103E0"/>
    <w:rsid w:val="003103EE"/>
    <w:rsid w:val="003115B7"/>
    <w:rsid w:val="00311668"/>
    <w:rsid w:val="00311731"/>
    <w:rsid w:val="00311B65"/>
    <w:rsid w:val="00312111"/>
    <w:rsid w:val="00312FF8"/>
    <w:rsid w:val="00313108"/>
    <w:rsid w:val="00313434"/>
    <w:rsid w:val="0031344E"/>
    <w:rsid w:val="0031369E"/>
    <w:rsid w:val="00314021"/>
    <w:rsid w:val="00314291"/>
    <w:rsid w:val="003142D9"/>
    <w:rsid w:val="00314C13"/>
    <w:rsid w:val="003156A0"/>
    <w:rsid w:val="0031618D"/>
    <w:rsid w:val="00316562"/>
    <w:rsid w:val="0031666A"/>
    <w:rsid w:val="003172CC"/>
    <w:rsid w:val="003173A2"/>
    <w:rsid w:val="0031744A"/>
    <w:rsid w:val="00317480"/>
    <w:rsid w:val="003174C3"/>
    <w:rsid w:val="0031794B"/>
    <w:rsid w:val="00317F34"/>
    <w:rsid w:val="003200AE"/>
    <w:rsid w:val="003201EF"/>
    <w:rsid w:val="00320D86"/>
    <w:rsid w:val="00320E52"/>
    <w:rsid w:val="00321600"/>
    <w:rsid w:val="00322536"/>
    <w:rsid w:val="00322B2B"/>
    <w:rsid w:val="00322BF6"/>
    <w:rsid w:val="003234BC"/>
    <w:rsid w:val="00323E38"/>
    <w:rsid w:val="00324241"/>
    <w:rsid w:val="00324A6C"/>
    <w:rsid w:val="00325FEE"/>
    <w:rsid w:val="00326C54"/>
    <w:rsid w:val="003275B1"/>
    <w:rsid w:val="003275DD"/>
    <w:rsid w:val="00327AB0"/>
    <w:rsid w:val="003303EA"/>
    <w:rsid w:val="00330801"/>
    <w:rsid w:val="0033093F"/>
    <w:rsid w:val="00330B0E"/>
    <w:rsid w:val="00330CD4"/>
    <w:rsid w:val="003319FA"/>
    <w:rsid w:val="00332584"/>
    <w:rsid w:val="00332CA9"/>
    <w:rsid w:val="00332DF1"/>
    <w:rsid w:val="00332E93"/>
    <w:rsid w:val="00333313"/>
    <w:rsid w:val="00333565"/>
    <w:rsid w:val="00333588"/>
    <w:rsid w:val="003335A4"/>
    <w:rsid w:val="0033377C"/>
    <w:rsid w:val="0033387E"/>
    <w:rsid w:val="00333C3B"/>
    <w:rsid w:val="00333CF8"/>
    <w:rsid w:val="00333D66"/>
    <w:rsid w:val="0033402F"/>
    <w:rsid w:val="00334442"/>
    <w:rsid w:val="00334EFD"/>
    <w:rsid w:val="0033568C"/>
    <w:rsid w:val="003356BF"/>
    <w:rsid w:val="00335708"/>
    <w:rsid w:val="003357E8"/>
    <w:rsid w:val="00335CE5"/>
    <w:rsid w:val="00336286"/>
    <w:rsid w:val="003363AA"/>
    <w:rsid w:val="00336A21"/>
    <w:rsid w:val="00336AF4"/>
    <w:rsid w:val="00337112"/>
    <w:rsid w:val="0033728A"/>
    <w:rsid w:val="003373D4"/>
    <w:rsid w:val="00337BF8"/>
    <w:rsid w:val="0034075B"/>
    <w:rsid w:val="003408FB"/>
    <w:rsid w:val="00340E8A"/>
    <w:rsid w:val="003412F2"/>
    <w:rsid w:val="003414D9"/>
    <w:rsid w:val="003416CF"/>
    <w:rsid w:val="00341E04"/>
    <w:rsid w:val="00342782"/>
    <w:rsid w:val="00343025"/>
    <w:rsid w:val="0034315A"/>
    <w:rsid w:val="00343890"/>
    <w:rsid w:val="00344397"/>
    <w:rsid w:val="003446D4"/>
    <w:rsid w:val="003448C5"/>
    <w:rsid w:val="00344BCF"/>
    <w:rsid w:val="003450AC"/>
    <w:rsid w:val="00345321"/>
    <w:rsid w:val="003456F8"/>
    <w:rsid w:val="00345C20"/>
    <w:rsid w:val="00345E09"/>
    <w:rsid w:val="003468A5"/>
    <w:rsid w:val="00346A21"/>
    <w:rsid w:val="003474A9"/>
    <w:rsid w:val="0034753D"/>
    <w:rsid w:val="00347567"/>
    <w:rsid w:val="00347686"/>
    <w:rsid w:val="00347873"/>
    <w:rsid w:val="00347C44"/>
    <w:rsid w:val="00347E12"/>
    <w:rsid w:val="003501DB"/>
    <w:rsid w:val="00350319"/>
    <w:rsid w:val="003504FA"/>
    <w:rsid w:val="003510B0"/>
    <w:rsid w:val="003511E2"/>
    <w:rsid w:val="00351238"/>
    <w:rsid w:val="00351F1F"/>
    <w:rsid w:val="003521B2"/>
    <w:rsid w:val="00353AE6"/>
    <w:rsid w:val="00354133"/>
    <w:rsid w:val="00354179"/>
    <w:rsid w:val="003543ED"/>
    <w:rsid w:val="00354561"/>
    <w:rsid w:val="00355030"/>
    <w:rsid w:val="00355480"/>
    <w:rsid w:val="003555ED"/>
    <w:rsid w:val="00355BBF"/>
    <w:rsid w:val="00355E33"/>
    <w:rsid w:val="003561A7"/>
    <w:rsid w:val="003565E9"/>
    <w:rsid w:val="00356C27"/>
    <w:rsid w:val="003573E8"/>
    <w:rsid w:val="00357763"/>
    <w:rsid w:val="00357CF0"/>
    <w:rsid w:val="00357D3D"/>
    <w:rsid w:val="00360019"/>
    <w:rsid w:val="0036013C"/>
    <w:rsid w:val="00360192"/>
    <w:rsid w:val="0036027D"/>
    <w:rsid w:val="00360427"/>
    <w:rsid w:val="0036049A"/>
    <w:rsid w:val="00360590"/>
    <w:rsid w:val="00360C14"/>
    <w:rsid w:val="00360C95"/>
    <w:rsid w:val="00360E61"/>
    <w:rsid w:val="00361EDB"/>
    <w:rsid w:val="00362A0B"/>
    <w:rsid w:val="00363089"/>
    <w:rsid w:val="003632C1"/>
    <w:rsid w:val="00363802"/>
    <w:rsid w:val="00363950"/>
    <w:rsid w:val="00364933"/>
    <w:rsid w:val="00364A4A"/>
    <w:rsid w:val="00364DB5"/>
    <w:rsid w:val="00364FB1"/>
    <w:rsid w:val="003650B8"/>
    <w:rsid w:val="003655F5"/>
    <w:rsid w:val="00365642"/>
    <w:rsid w:val="00365878"/>
    <w:rsid w:val="00365CCF"/>
    <w:rsid w:val="00365EB6"/>
    <w:rsid w:val="00366288"/>
    <w:rsid w:val="00366291"/>
    <w:rsid w:val="00366450"/>
    <w:rsid w:val="0036700D"/>
    <w:rsid w:val="003671C9"/>
    <w:rsid w:val="00367CD6"/>
    <w:rsid w:val="00370391"/>
    <w:rsid w:val="00370A83"/>
    <w:rsid w:val="0037128E"/>
    <w:rsid w:val="00371A9D"/>
    <w:rsid w:val="00371D38"/>
    <w:rsid w:val="0037241E"/>
    <w:rsid w:val="0037396A"/>
    <w:rsid w:val="00373BDC"/>
    <w:rsid w:val="00374BA1"/>
    <w:rsid w:val="00374F44"/>
    <w:rsid w:val="0037602D"/>
    <w:rsid w:val="003763EA"/>
    <w:rsid w:val="00376E97"/>
    <w:rsid w:val="00377D37"/>
    <w:rsid w:val="00377D93"/>
    <w:rsid w:val="00380C6F"/>
    <w:rsid w:val="00381B65"/>
    <w:rsid w:val="00381BAA"/>
    <w:rsid w:val="00381CFD"/>
    <w:rsid w:val="00382093"/>
    <w:rsid w:val="0038246C"/>
    <w:rsid w:val="003824ED"/>
    <w:rsid w:val="00382DC2"/>
    <w:rsid w:val="00382ED7"/>
    <w:rsid w:val="00383230"/>
    <w:rsid w:val="00383252"/>
    <w:rsid w:val="00384130"/>
    <w:rsid w:val="0038443E"/>
    <w:rsid w:val="003846BC"/>
    <w:rsid w:val="00384713"/>
    <w:rsid w:val="00384A92"/>
    <w:rsid w:val="00384B90"/>
    <w:rsid w:val="00384D06"/>
    <w:rsid w:val="00386162"/>
    <w:rsid w:val="003861D0"/>
    <w:rsid w:val="003869D4"/>
    <w:rsid w:val="003877D1"/>
    <w:rsid w:val="003878D0"/>
    <w:rsid w:val="003878D1"/>
    <w:rsid w:val="00387D62"/>
    <w:rsid w:val="00387DE5"/>
    <w:rsid w:val="00390409"/>
    <w:rsid w:val="00390B27"/>
    <w:rsid w:val="00390CF2"/>
    <w:rsid w:val="00390F87"/>
    <w:rsid w:val="0039109E"/>
    <w:rsid w:val="00391CD0"/>
    <w:rsid w:val="0039214C"/>
    <w:rsid w:val="00392374"/>
    <w:rsid w:val="00392412"/>
    <w:rsid w:val="003926E9"/>
    <w:rsid w:val="00392D41"/>
    <w:rsid w:val="003936E0"/>
    <w:rsid w:val="00393AAC"/>
    <w:rsid w:val="00393B94"/>
    <w:rsid w:val="00393C5E"/>
    <w:rsid w:val="00393CE8"/>
    <w:rsid w:val="003957F6"/>
    <w:rsid w:val="00395FDA"/>
    <w:rsid w:val="0039623C"/>
    <w:rsid w:val="003964DC"/>
    <w:rsid w:val="00396C27"/>
    <w:rsid w:val="00396F35"/>
    <w:rsid w:val="003970F9"/>
    <w:rsid w:val="00397620"/>
    <w:rsid w:val="0039790F"/>
    <w:rsid w:val="003A0828"/>
    <w:rsid w:val="003A0DB1"/>
    <w:rsid w:val="003A15D1"/>
    <w:rsid w:val="003A164C"/>
    <w:rsid w:val="003A18EA"/>
    <w:rsid w:val="003A19DF"/>
    <w:rsid w:val="003A1BA9"/>
    <w:rsid w:val="003A1BC5"/>
    <w:rsid w:val="003A1D3A"/>
    <w:rsid w:val="003A2165"/>
    <w:rsid w:val="003A21BF"/>
    <w:rsid w:val="003A2A45"/>
    <w:rsid w:val="003A2A60"/>
    <w:rsid w:val="003A2B89"/>
    <w:rsid w:val="003A2DF7"/>
    <w:rsid w:val="003A2E18"/>
    <w:rsid w:val="003A2FA4"/>
    <w:rsid w:val="003A36E9"/>
    <w:rsid w:val="003A4E8F"/>
    <w:rsid w:val="003A4F1C"/>
    <w:rsid w:val="003A518B"/>
    <w:rsid w:val="003A51AF"/>
    <w:rsid w:val="003A54B4"/>
    <w:rsid w:val="003A56ED"/>
    <w:rsid w:val="003A5754"/>
    <w:rsid w:val="003A59AD"/>
    <w:rsid w:val="003A5E16"/>
    <w:rsid w:val="003A70BD"/>
    <w:rsid w:val="003A72DA"/>
    <w:rsid w:val="003A76FE"/>
    <w:rsid w:val="003A7A1B"/>
    <w:rsid w:val="003A7ACA"/>
    <w:rsid w:val="003B06FA"/>
    <w:rsid w:val="003B06FB"/>
    <w:rsid w:val="003B0F56"/>
    <w:rsid w:val="003B100C"/>
    <w:rsid w:val="003B131B"/>
    <w:rsid w:val="003B16B1"/>
    <w:rsid w:val="003B17A9"/>
    <w:rsid w:val="003B248E"/>
    <w:rsid w:val="003B28FF"/>
    <w:rsid w:val="003B2923"/>
    <w:rsid w:val="003B29DC"/>
    <w:rsid w:val="003B34D4"/>
    <w:rsid w:val="003B398E"/>
    <w:rsid w:val="003B406C"/>
    <w:rsid w:val="003B4239"/>
    <w:rsid w:val="003B4798"/>
    <w:rsid w:val="003B5103"/>
    <w:rsid w:val="003B59AD"/>
    <w:rsid w:val="003B6130"/>
    <w:rsid w:val="003B632B"/>
    <w:rsid w:val="003B69C6"/>
    <w:rsid w:val="003B6BF8"/>
    <w:rsid w:val="003B6C38"/>
    <w:rsid w:val="003B6D76"/>
    <w:rsid w:val="003B7142"/>
    <w:rsid w:val="003B71C6"/>
    <w:rsid w:val="003B71E7"/>
    <w:rsid w:val="003B771B"/>
    <w:rsid w:val="003B7B7E"/>
    <w:rsid w:val="003B7C9C"/>
    <w:rsid w:val="003C02C2"/>
    <w:rsid w:val="003C0F16"/>
    <w:rsid w:val="003C1018"/>
    <w:rsid w:val="003C179B"/>
    <w:rsid w:val="003C18D6"/>
    <w:rsid w:val="003C1909"/>
    <w:rsid w:val="003C1A32"/>
    <w:rsid w:val="003C20CF"/>
    <w:rsid w:val="003C26A0"/>
    <w:rsid w:val="003C2CAD"/>
    <w:rsid w:val="003C2D72"/>
    <w:rsid w:val="003C2E08"/>
    <w:rsid w:val="003C33A8"/>
    <w:rsid w:val="003C34D9"/>
    <w:rsid w:val="003C394A"/>
    <w:rsid w:val="003C3A64"/>
    <w:rsid w:val="003C3C04"/>
    <w:rsid w:val="003C456F"/>
    <w:rsid w:val="003C4BDB"/>
    <w:rsid w:val="003C580A"/>
    <w:rsid w:val="003C73C3"/>
    <w:rsid w:val="003C79F2"/>
    <w:rsid w:val="003D0241"/>
    <w:rsid w:val="003D0652"/>
    <w:rsid w:val="003D19DD"/>
    <w:rsid w:val="003D2300"/>
    <w:rsid w:val="003D254F"/>
    <w:rsid w:val="003D2F16"/>
    <w:rsid w:val="003D35C1"/>
    <w:rsid w:val="003D3D9C"/>
    <w:rsid w:val="003D492A"/>
    <w:rsid w:val="003D4B3B"/>
    <w:rsid w:val="003D5155"/>
    <w:rsid w:val="003D54A2"/>
    <w:rsid w:val="003D60E6"/>
    <w:rsid w:val="003D62E6"/>
    <w:rsid w:val="003D6579"/>
    <w:rsid w:val="003D6996"/>
    <w:rsid w:val="003D699E"/>
    <w:rsid w:val="003D70E3"/>
    <w:rsid w:val="003D7216"/>
    <w:rsid w:val="003D792E"/>
    <w:rsid w:val="003D7AE8"/>
    <w:rsid w:val="003E0942"/>
    <w:rsid w:val="003E0A44"/>
    <w:rsid w:val="003E0CA2"/>
    <w:rsid w:val="003E0E2D"/>
    <w:rsid w:val="003E1955"/>
    <w:rsid w:val="003E1A85"/>
    <w:rsid w:val="003E1D43"/>
    <w:rsid w:val="003E2172"/>
    <w:rsid w:val="003E21C1"/>
    <w:rsid w:val="003E226E"/>
    <w:rsid w:val="003E23B0"/>
    <w:rsid w:val="003E346F"/>
    <w:rsid w:val="003E3773"/>
    <w:rsid w:val="003E3941"/>
    <w:rsid w:val="003E3DE6"/>
    <w:rsid w:val="003E517D"/>
    <w:rsid w:val="003E5835"/>
    <w:rsid w:val="003E58EF"/>
    <w:rsid w:val="003E597E"/>
    <w:rsid w:val="003E5CE4"/>
    <w:rsid w:val="003E6759"/>
    <w:rsid w:val="003E745C"/>
    <w:rsid w:val="003E7798"/>
    <w:rsid w:val="003E7CE1"/>
    <w:rsid w:val="003F0047"/>
    <w:rsid w:val="003F0076"/>
    <w:rsid w:val="003F0982"/>
    <w:rsid w:val="003F0DEF"/>
    <w:rsid w:val="003F107E"/>
    <w:rsid w:val="003F1737"/>
    <w:rsid w:val="003F1FC4"/>
    <w:rsid w:val="003F2219"/>
    <w:rsid w:val="003F23BB"/>
    <w:rsid w:val="003F2776"/>
    <w:rsid w:val="003F282F"/>
    <w:rsid w:val="003F2C8B"/>
    <w:rsid w:val="003F2CBE"/>
    <w:rsid w:val="003F3C8C"/>
    <w:rsid w:val="003F4486"/>
    <w:rsid w:val="003F46C5"/>
    <w:rsid w:val="003F4E95"/>
    <w:rsid w:val="003F551A"/>
    <w:rsid w:val="003F5969"/>
    <w:rsid w:val="003F5B52"/>
    <w:rsid w:val="003F5DF8"/>
    <w:rsid w:val="003F6118"/>
    <w:rsid w:val="003F7029"/>
    <w:rsid w:val="003F7749"/>
    <w:rsid w:val="003F779F"/>
    <w:rsid w:val="003F7FEC"/>
    <w:rsid w:val="004002E0"/>
    <w:rsid w:val="0040086C"/>
    <w:rsid w:val="0040097B"/>
    <w:rsid w:val="00400AB2"/>
    <w:rsid w:val="00400BFB"/>
    <w:rsid w:val="0040209A"/>
    <w:rsid w:val="004023EF"/>
    <w:rsid w:val="004026B8"/>
    <w:rsid w:val="004029B7"/>
    <w:rsid w:val="00402B8F"/>
    <w:rsid w:val="004034C5"/>
    <w:rsid w:val="00403607"/>
    <w:rsid w:val="004038E0"/>
    <w:rsid w:val="00403D6A"/>
    <w:rsid w:val="004040CC"/>
    <w:rsid w:val="0040419C"/>
    <w:rsid w:val="004051A5"/>
    <w:rsid w:val="0040525F"/>
    <w:rsid w:val="00405381"/>
    <w:rsid w:val="004061FE"/>
    <w:rsid w:val="004064A3"/>
    <w:rsid w:val="00406C51"/>
    <w:rsid w:val="00406F3E"/>
    <w:rsid w:val="00407098"/>
    <w:rsid w:val="004078CF"/>
    <w:rsid w:val="00407CD4"/>
    <w:rsid w:val="00407E3E"/>
    <w:rsid w:val="00410310"/>
    <w:rsid w:val="004111D9"/>
    <w:rsid w:val="004116BA"/>
    <w:rsid w:val="00411788"/>
    <w:rsid w:val="00411914"/>
    <w:rsid w:val="00412285"/>
    <w:rsid w:val="004122C2"/>
    <w:rsid w:val="0041238B"/>
    <w:rsid w:val="00412FAF"/>
    <w:rsid w:val="00413CFF"/>
    <w:rsid w:val="00413E79"/>
    <w:rsid w:val="00413F67"/>
    <w:rsid w:val="004143FF"/>
    <w:rsid w:val="00414CF3"/>
    <w:rsid w:val="00414F20"/>
    <w:rsid w:val="00414FE0"/>
    <w:rsid w:val="00415048"/>
    <w:rsid w:val="00415102"/>
    <w:rsid w:val="00415444"/>
    <w:rsid w:val="00415AC2"/>
    <w:rsid w:val="00416DB2"/>
    <w:rsid w:val="00416E93"/>
    <w:rsid w:val="004172ED"/>
    <w:rsid w:val="00417E3E"/>
    <w:rsid w:val="00417E9B"/>
    <w:rsid w:val="00420409"/>
    <w:rsid w:val="004208F5"/>
    <w:rsid w:val="00420965"/>
    <w:rsid w:val="00421161"/>
    <w:rsid w:val="00421477"/>
    <w:rsid w:val="0042198A"/>
    <w:rsid w:val="004219CB"/>
    <w:rsid w:val="0042274F"/>
    <w:rsid w:val="00422946"/>
    <w:rsid w:val="00422CFF"/>
    <w:rsid w:val="00422F04"/>
    <w:rsid w:val="00423660"/>
    <w:rsid w:val="00423BD9"/>
    <w:rsid w:val="00423DED"/>
    <w:rsid w:val="00423DF6"/>
    <w:rsid w:val="0042404F"/>
    <w:rsid w:val="004242E5"/>
    <w:rsid w:val="0042484D"/>
    <w:rsid w:val="00425414"/>
    <w:rsid w:val="0042564F"/>
    <w:rsid w:val="00425844"/>
    <w:rsid w:val="00425B5A"/>
    <w:rsid w:val="00425BD8"/>
    <w:rsid w:val="004262E9"/>
    <w:rsid w:val="00426347"/>
    <w:rsid w:val="00426E64"/>
    <w:rsid w:val="00427625"/>
    <w:rsid w:val="004302E9"/>
    <w:rsid w:val="00430EA9"/>
    <w:rsid w:val="00430FF9"/>
    <w:rsid w:val="0043137C"/>
    <w:rsid w:val="0043168C"/>
    <w:rsid w:val="004316B6"/>
    <w:rsid w:val="00431E07"/>
    <w:rsid w:val="00432064"/>
    <w:rsid w:val="00432C6B"/>
    <w:rsid w:val="004330BC"/>
    <w:rsid w:val="004337E2"/>
    <w:rsid w:val="0043381D"/>
    <w:rsid w:val="00433D4F"/>
    <w:rsid w:val="00434885"/>
    <w:rsid w:val="00434AB8"/>
    <w:rsid w:val="0043528F"/>
    <w:rsid w:val="004352D3"/>
    <w:rsid w:val="00435418"/>
    <w:rsid w:val="004357AB"/>
    <w:rsid w:val="004357CD"/>
    <w:rsid w:val="0043593C"/>
    <w:rsid w:val="00435E52"/>
    <w:rsid w:val="00436A27"/>
    <w:rsid w:val="00436A76"/>
    <w:rsid w:val="00436CC5"/>
    <w:rsid w:val="00436F45"/>
    <w:rsid w:val="00437B1E"/>
    <w:rsid w:val="00437BF8"/>
    <w:rsid w:val="00437D42"/>
    <w:rsid w:val="004401BD"/>
    <w:rsid w:val="00440236"/>
    <w:rsid w:val="00440BC7"/>
    <w:rsid w:val="00441166"/>
    <w:rsid w:val="004419A8"/>
    <w:rsid w:val="00441E09"/>
    <w:rsid w:val="00441F17"/>
    <w:rsid w:val="0044205D"/>
    <w:rsid w:val="004428BA"/>
    <w:rsid w:val="00442B48"/>
    <w:rsid w:val="0044350E"/>
    <w:rsid w:val="00444389"/>
    <w:rsid w:val="0044460E"/>
    <w:rsid w:val="0044485B"/>
    <w:rsid w:val="00444B23"/>
    <w:rsid w:val="00444C57"/>
    <w:rsid w:val="00444DC3"/>
    <w:rsid w:val="00444F1F"/>
    <w:rsid w:val="00445761"/>
    <w:rsid w:val="00445A96"/>
    <w:rsid w:val="0044606C"/>
    <w:rsid w:val="004462E0"/>
    <w:rsid w:val="004465AC"/>
    <w:rsid w:val="00446734"/>
    <w:rsid w:val="004468E1"/>
    <w:rsid w:val="00446920"/>
    <w:rsid w:val="00446A65"/>
    <w:rsid w:val="00446C0A"/>
    <w:rsid w:val="00446FC8"/>
    <w:rsid w:val="004470CC"/>
    <w:rsid w:val="004474A7"/>
    <w:rsid w:val="00447537"/>
    <w:rsid w:val="00447A38"/>
    <w:rsid w:val="00447CFB"/>
    <w:rsid w:val="00450057"/>
    <w:rsid w:val="004508E1"/>
    <w:rsid w:val="004513F9"/>
    <w:rsid w:val="004513FD"/>
    <w:rsid w:val="0045187D"/>
    <w:rsid w:val="00451962"/>
    <w:rsid w:val="00451F84"/>
    <w:rsid w:val="0045277E"/>
    <w:rsid w:val="00452808"/>
    <w:rsid w:val="00452911"/>
    <w:rsid w:val="00452F25"/>
    <w:rsid w:val="00453081"/>
    <w:rsid w:val="00453564"/>
    <w:rsid w:val="004537A2"/>
    <w:rsid w:val="0045418A"/>
    <w:rsid w:val="004542E3"/>
    <w:rsid w:val="004545C0"/>
    <w:rsid w:val="00454627"/>
    <w:rsid w:val="004548D0"/>
    <w:rsid w:val="00454D9D"/>
    <w:rsid w:val="004550F6"/>
    <w:rsid w:val="00455271"/>
    <w:rsid w:val="0045545E"/>
    <w:rsid w:val="0045559B"/>
    <w:rsid w:val="004556EA"/>
    <w:rsid w:val="00455DC3"/>
    <w:rsid w:val="0045679E"/>
    <w:rsid w:val="004567AE"/>
    <w:rsid w:val="00456B90"/>
    <w:rsid w:val="00456E06"/>
    <w:rsid w:val="00456FF9"/>
    <w:rsid w:val="00457078"/>
    <w:rsid w:val="00457498"/>
    <w:rsid w:val="00460281"/>
    <w:rsid w:val="00460468"/>
    <w:rsid w:val="00460BB0"/>
    <w:rsid w:val="00460DB8"/>
    <w:rsid w:val="00461636"/>
    <w:rsid w:val="00461B4D"/>
    <w:rsid w:val="004624EC"/>
    <w:rsid w:val="00462545"/>
    <w:rsid w:val="00462B12"/>
    <w:rsid w:val="00462B29"/>
    <w:rsid w:val="004631D7"/>
    <w:rsid w:val="004632D0"/>
    <w:rsid w:val="00463524"/>
    <w:rsid w:val="004639D7"/>
    <w:rsid w:val="00463A3E"/>
    <w:rsid w:val="00463E19"/>
    <w:rsid w:val="00463F87"/>
    <w:rsid w:val="0046465C"/>
    <w:rsid w:val="0046468A"/>
    <w:rsid w:val="004648AF"/>
    <w:rsid w:val="00464DF1"/>
    <w:rsid w:val="00465580"/>
    <w:rsid w:val="0046574E"/>
    <w:rsid w:val="00465840"/>
    <w:rsid w:val="00465A45"/>
    <w:rsid w:val="00465C90"/>
    <w:rsid w:val="00465D50"/>
    <w:rsid w:val="0046625D"/>
    <w:rsid w:val="0046628C"/>
    <w:rsid w:val="00466885"/>
    <w:rsid w:val="004668EF"/>
    <w:rsid w:val="00466C75"/>
    <w:rsid w:val="004701CE"/>
    <w:rsid w:val="0047072C"/>
    <w:rsid w:val="004707CD"/>
    <w:rsid w:val="00470928"/>
    <w:rsid w:val="00470CDF"/>
    <w:rsid w:val="0047112A"/>
    <w:rsid w:val="00471298"/>
    <w:rsid w:val="00471302"/>
    <w:rsid w:val="00471DBA"/>
    <w:rsid w:val="00471DEB"/>
    <w:rsid w:val="00471EE2"/>
    <w:rsid w:val="00471EEC"/>
    <w:rsid w:val="004722E8"/>
    <w:rsid w:val="004723C3"/>
    <w:rsid w:val="004730FD"/>
    <w:rsid w:val="00473271"/>
    <w:rsid w:val="004732E8"/>
    <w:rsid w:val="00474974"/>
    <w:rsid w:val="004750BD"/>
    <w:rsid w:val="0047642E"/>
    <w:rsid w:val="004770A8"/>
    <w:rsid w:val="004775E0"/>
    <w:rsid w:val="00477647"/>
    <w:rsid w:val="00477820"/>
    <w:rsid w:val="00477BC8"/>
    <w:rsid w:val="00477E73"/>
    <w:rsid w:val="004801C6"/>
    <w:rsid w:val="004816CD"/>
    <w:rsid w:val="00481831"/>
    <w:rsid w:val="004818D5"/>
    <w:rsid w:val="00481E89"/>
    <w:rsid w:val="00482016"/>
    <w:rsid w:val="00483140"/>
    <w:rsid w:val="004831E3"/>
    <w:rsid w:val="004839C1"/>
    <w:rsid w:val="00483A48"/>
    <w:rsid w:val="00483A90"/>
    <w:rsid w:val="00483B2B"/>
    <w:rsid w:val="00483D1C"/>
    <w:rsid w:val="00483D49"/>
    <w:rsid w:val="00483F31"/>
    <w:rsid w:val="00483F90"/>
    <w:rsid w:val="004840C8"/>
    <w:rsid w:val="004843FE"/>
    <w:rsid w:val="00484CD0"/>
    <w:rsid w:val="0048507A"/>
    <w:rsid w:val="004852B3"/>
    <w:rsid w:val="00485459"/>
    <w:rsid w:val="004856F5"/>
    <w:rsid w:val="00485986"/>
    <w:rsid w:val="00485A51"/>
    <w:rsid w:val="00485E14"/>
    <w:rsid w:val="00485ED0"/>
    <w:rsid w:val="00486405"/>
    <w:rsid w:val="004869D3"/>
    <w:rsid w:val="00486D9C"/>
    <w:rsid w:val="00486F4A"/>
    <w:rsid w:val="00486FAC"/>
    <w:rsid w:val="004876F8"/>
    <w:rsid w:val="004879DE"/>
    <w:rsid w:val="00487C58"/>
    <w:rsid w:val="00487F1E"/>
    <w:rsid w:val="00490251"/>
    <w:rsid w:val="00490771"/>
    <w:rsid w:val="00490A63"/>
    <w:rsid w:val="00490E0B"/>
    <w:rsid w:val="0049160C"/>
    <w:rsid w:val="00491C38"/>
    <w:rsid w:val="00491D93"/>
    <w:rsid w:val="00491DB1"/>
    <w:rsid w:val="004932D6"/>
    <w:rsid w:val="0049336A"/>
    <w:rsid w:val="004938C8"/>
    <w:rsid w:val="00494438"/>
    <w:rsid w:val="00494A10"/>
    <w:rsid w:val="00495752"/>
    <w:rsid w:val="00495A17"/>
    <w:rsid w:val="0049608C"/>
    <w:rsid w:val="00496504"/>
    <w:rsid w:val="00496600"/>
    <w:rsid w:val="00496801"/>
    <w:rsid w:val="00496944"/>
    <w:rsid w:val="00496ED4"/>
    <w:rsid w:val="004975C2"/>
    <w:rsid w:val="0049785A"/>
    <w:rsid w:val="0049794D"/>
    <w:rsid w:val="00497C32"/>
    <w:rsid w:val="004A00E7"/>
    <w:rsid w:val="004A05F3"/>
    <w:rsid w:val="004A0D52"/>
    <w:rsid w:val="004A0E02"/>
    <w:rsid w:val="004A0EDE"/>
    <w:rsid w:val="004A186C"/>
    <w:rsid w:val="004A1F89"/>
    <w:rsid w:val="004A2513"/>
    <w:rsid w:val="004A2533"/>
    <w:rsid w:val="004A2AD4"/>
    <w:rsid w:val="004A3364"/>
    <w:rsid w:val="004A338E"/>
    <w:rsid w:val="004A33AC"/>
    <w:rsid w:val="004A3486"/>
    <w:rsid w:val="004A4202"/>
    <w:rsid w:val="004A4778"/>
    <w:rsid w:val="004A50C3"/>
    <w:rsid w:val="004A50D1"/>
    <w:rsid w:val="004A525E"/>
    <w:rsid w:val="004A5420"/>
    <w:rsid w:val="004A5CAF"/>
    <w:rsid w:val="004A6031"/>
    <w:rsid w:val="004A64B5"/>
    <w:rsid w:val="004A6699"/>
    <w:rsid w:val="004A6C9F"/>
    <w:rsid w:val="004A6DC2"/>
    <w:rsid w:val="004A7122"/>
    <w:rsid w:val="004A7233"/>
    <w:rsid w:val="004A7790"/>
    <w:rsid w:val="004A7833"/>
    <w:rsid w:val="004A788E"/>
    <w:rsid w:val="004A78E9"/>
    <w:rsid w:val="004A7A66"/>
    <w:rsid w:val="004A7AB5"/>
    <w:rsid w:val="004A7BD8"/>
    <w:rsid w:val="004B002F"/>
    <w:rsid w:val="004B0403"/>
    <w:rsid w:val="004B1465"/>
    <w:rsid w:val="004B15BF"/>
    <w:rsid w:val="004B1B4D"/>
    <w:rsid w:val="004B252D"/>
    <w:rsid w:val="004B2563"/>
    <w:rsid w:val="004B2D4A"/>
    <w:rsid w:val="004B36BD"/>
    <w:rsid w:val="004B3897"/>
    <w:rsid w:val="004B3AD2"/>
    <w:rsid w:val="004B4036"/>
    <w:rsid w:val="004B40AC"/>
    <w:rsid w:val="004B5933"/>
    <w:rsid w:val="004B5FBA"/>
    <w:rsid w:val="004B6B4C"/>
    <w:rsid w:val="004B6B5E"/>
    <w:rsid w:val="004B6EC2"/>
    <w:rsid w:val="004B708C"/>
    <w:rsid w:val="004C02F0"/>
    <w:rsid w:val="004C03A0"/>
    <w:rsid w:val="004C1311"/>
    <w:rsid w:val="004C139F"/>
    <w:rsid w:val="004C14E7"/>
    <w:rsid w:val="004C16AD"/>
    <w:rsid w:val="004C19BA"/>
    <w:rsid w:val="004C1EF4"/>
    <w:rsid w:val="004C25BE"/>
    <w:rsid w:val="004C2AD9"/>
    <w:rsid w:val="004C2DD5"/>
    <w:rsid w:val="004C2EF8"/>
    <w:rsid w:val="004C35A8"/>
    <w:rsid w:val="004C3BF0"/>
    <w:rsid w:val="004C486C"/>
    <w:rsid w:val="004C4AB4"/>
    <w:rsid w:val="004C4CE2"/>
    <w:rsid w:val="004C4D9F"/>
    <w:rsid w:val="004C5D60"/>
    <w:rsid w:val="004C5DD2"/>
    <w:rsid w:val="004C618F"/>
    <w:rsid w:val="004C6D26"/>
    <w:rsid w:val="004C6E25"/>
    <w:rsid w:val="004C76A4"/>
    <w:rsid w:val="004C7885"/>
    <w:rsid w:val="004C7BB6"/>
    <w:rsid w:val="004C7C5D"/>
    <w:rsid w:val="004C7EF0"/>
    <w:rsid w:val="004D0403"/>
    <w:rsid w:val="004D06B1"/>
    <w:rsid w:val="004D06C3"/>
    <w:rsid w:val="004D079A"/>
    <w:rsid w:val="004D11D3"/>
    <w:rsid w:val="004D1390"/>
    <w:rsid w:val="004D1611"/>
    <w:rsid w:val="004D1730"/>
    <w:rsid w:val="004D1C3F"/>
    <w:rsid w:val="004D2065"/>
    <w:rsid w:val="004D2335"/>
    <w:rsid w:val="004D2394"/>
    <w:rsid w:val="004D3C17"/>
    <w:rsid w:val="004D3E88"/>
    <w:rsid w:val="004D4000"/>
    <w:rsid w:val="004D4077"/>
    <w:rsid w:val="004D4387"/>
    <w:rsid w:val="004D4607"/>
    <w:rsid w:val="004D48BE"/>
    <w:rsid w:val="004D48F0"/>
    <w:rsid w:val="004D4E41"/>
    <w:rsid w:val="004D501D"/>
    <w:rsid w:val="004D5318"/>
    <w:rsid w:val="004D5BE1"/>
    <w:rsid w:val="004D5EA2"/>
    <w:rsid w:val="004D615F"/>
    <w:rsid w:val="004D6204"/>
    <w:rsid w:val="004D6525"/>
    <w:rsid w:val="004D666A"/>
    <w:rsid w:val="004D68EB"/>
    <w:rsid w:val="004D696B"/>
    <w:rsid w:val="004D6E89"/>
    <w:rsid w:val="004D7AC5"/>
    <w:rsid w:val="004E005D"/>
    <w:rsid w:val="004E008E"/>
    <w:rsid w:val="004E012D"/>
    <w:rsid w:val="004E0223"/>
    <w:rsid w:val="004E0635"/>
    <w:rsid w:val="004E0A3D"/>
    <w:rsid w:val="004E0C66"/>
    <w:rsid w:val="004E0DFE"/>
    <w:rsid w:val="004E0EA5"/>
    <w:rsid w:val="004E11C4"/>
    <w:rsid w:val="004E15AA"/>
    <w:rsid w:val="004E1CB0"/>
    <w:rsid w:val="004E2097"/>
    <w:rsid w:val="004E232E"/>
    <w:rsid w:val="004E2BB3"/>
    <w:rsid w:val="004E2DAD"/>
    <w:rsid w:val="004E2DC5"/>
    <w:rsid w:val="004E300E"/>
    <w:rsid w:val="004E3323"/>
    <w:rsid w:val="004E37A5"/>
    <w:rsid w:val="004E39D3"/>
    <w:rsid w:val="004E3A70"/>
    <w:rsid w:val="004E3F6A"/>
    <w:rsid w:val="004E3FE6"/>
    <w:rsid w:val="004E41A3"/>
    <w:rsid w:val="004E4246"/>
    <w:rsid w:val="004E47B9"/>
    <w:rsid w:val="004E499A"/>
    <w:rsid w:val="004E5048"/>
    <w:rsid w:val="004E57F9"/>
    <w:rsid w:val="004E5908"/>
    <w:rsid w:val="004E5C19"/>
    <w:rsid w:val="004E5D94"/>
    <w:rsid w:val="004E63CF"/>
    <w:rsid w:val="004E64F6"/>
    <w:rsid w:val="004E6631"/>
    <w:rsid w:val="004E6967"/>
    <w:rsid w:val="004E6DC3"/>
    <w:rsid w:val="004E6E8E"/>
    <w:rsid w:val="004E7851"/>
    <w:rsid w:val="004E7C02"/>
    <w:rsid w:val="004E7CF8"/>
    <w:rsid w:val="004E7DD4"/>
    <w:rsid w:val="004F00D6"/>
    <w:rsid w:val="004F02E1"/>
    <w:rsid w:val="004F04CD"/>
    <w:rsid w:val="004F07DA"/>
    <w:rsid w:val="004F0A92"/>
    <w:rsid w:val="004F0DE6"/>
    <w:rsid w:val="004F113D"/>
    <w:rsid w:val="004F1862"/>
    <w:rsid w:val="004F229E"/>
    <w:rsid w:val="004F2663"/>
    <w:rsid w:val="004F267A"/>
    <w:rsid w:val="004F2CA0"/>
    <w:rsid w:val="004F2FC2"/>
    <w:rsid w:val="004F3529"/>
    <w:rsid w:val="004F3A3D"/>
    <w:rsid w:val="004F414B"/>
    <w:rsid w:val="004F4397"/>
    <w:rsid w:val="004F47DE"/>
    <w:rsid w:val="004F509F"/>
    <w:rsid w:val="004F5A35"/>
    <w:rsid w:val="004F639E"/>
    <w:rsid w:val="004F6506"/>
    <w:rsid w:val="004F6552"/>
    <w:rsid w:val="004F662E"/>
    <w:rsid w:val="0050011E"/>
    <w:rsid w:val="005003A4"/>
    <w:rsid w:val="005009ED"/>
    <w:rsid w:val="00500AFE"/>
    <w:rsid w:val="00500EFF"/>
    <w:rsid w:val="0050104B"/>
    <w:rsid w:val="005014B3"/>
    <w:rsid w:val="00501AE1"/>
    <w:rsid w:val="00501CDF"/>
    <w:rsid w:val="00501FED"/>
    <w:rsid w:val="005020B2"/>
    <w:rsid w:val="0050227E"/>
    <w:rsid w:val="00502408"/>
    <w:rsid w:val="005025F8"/>
    <w:rsid w:val="00502CE1"/>
    <w:rsid w:val="00502E3C"/>
    <w:rsid w:val="00502F20"/>
    <w:rsid w:val="005038F1"/>
    <w:rsid w:val="00504322"/>
    <w:rsid w:val="0050436C"/>
    <w:rsid w:val="0050470C"/>
    <w:rsid w:val="00504CCF"/>
    <w:rsid w:val="00504F08"/>
    <w:rsid w:val="005050F1"/>
    <w:rsid w:val="0050540D"/>
    <w:rsid w:val="005054A8"/>
    <w:rsid w:val="0050586C"/>
    <w:rsid w:val="00505974"/>
    <w:rsid w:val="0050599C"/>
    <w:rsid w:val="0050616C"/>
    <w:rsid w:val="00506190"/>
    <w:rsid w:val="005063E2"/>
    <w:rsid w:val="0050689B"/>
    <w:rsid w:val="00506A91"/>
    <w:rsid w:val="005072B4"/>
    <w:rsid w:val="0050765B"/>
    <w:rsid w:val="00507D54"/>
    <w:rsid w:val="0051016D"/>
    <w:rsid w:val="005102E6"/>
    <w:rsid w:val="005104AA"/>
    <w:rsid w:val="00510D2C"/>
    <w:rsid w:val="005112A4"/>
    <w:rsid w:val="00511332"/>
    <w:rsid w:val="00511548"/>
    <w:rsid w:val="0051195A"/>
    <w:rsid w:val="00511C2B"/>
    <w:rsid w:val="00511C7C"/>
    <w:rsid w:val="0051203C"/>
    <w:rsid w:val="005126C9"/>
    <w:rsid w:val="005129A6"/>
    <w:rsid w:val="00512B33"/>
    <w:rsid w:val="00513850"/>
    <w:rsid w:val="00513FD5"/>
    <w:rsid w:val="0051449B"/>
    <w:rsid w:val="0051459B"/>
    <w:rsid w:val="00514D4D"/>
    <w:rsid w:val="00514EFF"/>
    <w:rsid w:val="005152EC"/>
    <w:rsid w:val="00515376"/>
    <w:rsid w:val="00515AB4"/>
    <w:rsid w:val="00515BDD"/>
    <w:rsid w:val="00515D4F"/>
    <w:rsid w:val="005163B1"/>
    <w:rsid w:val="00516845"/>
    <w:rsid w:val="005168C0"/>
    <w:rsid w:val="005169CD"/>
    <w:rsid w:val="00516F20"/>
    <w:rsid w:val="00516FC0"/>
    <w:rsid w:val="005175B5"/>
    <w:rsid w:val="0051784A"/>
    <w:rsid w:val="00517950"/>
    <w:rsid w:val="00517BAD"/>
    <w:rsid w:val="00517CF7"/>
    <w:rsid w:val="00517FC1"/>
    <w:rsid w:val="0052011A"/>
    <w:rsid w:val="005203DD"/>
    <w:rsid w:val="00520580"/>
    <w:rsid w:val="00520847"/>
    <w:rsid w:val="00520C04"/>
    <w:rsid w:val="00521BCF"/>
    <w:rsid w:val="00521D61"/>
    <w:rsid w:val="005220EF"/>
    <w:rsid w:val="0052276F"/>
    <w:rsid w:val="00522EB7"/>
    <w:rsid w:val="005236BA"/>
    <w:rsid w:val="00523980"/>
    <w:rsid w:val="00523F39"/>
    <w:rsid w:val="00523FF6"/>
    <w:rsid w:val="005240C7"/>
    <w:rsid w:val="00524286"/>
    <w:rsid w:val="00524470"/>
    <w:rsid w:val="0052472F"/>
    <w:rsid w:val="00524B90"/>
    <w:rsid w:val="005253FB"/>
    <w:rsid w:val="0052549A"/>
    <w:rsid w:val="0052550F"/>
    <w:rsid w:val="005257B5"/>
    <w:rsid w:val="0052591A"/>
    <w:rsid w:val="0052591D"/>
    <w:rsid w:val="00525D79"/>
    <w:rsid w:val="00525E87"/>
    <w:rsid w:val="005262D7"/>
    <w:rsid w:val="0052645D"/>
    <w:rsid w:val="0052735F"/>
    <w:rsid w:val="00527B31"/>
    <w:rsid w:val="00527DDC"/>
    <w:rsid w:val="0053064B"/>
    <w:rsid w:val="00530A95"/>
    <w:rsid w:val="00530BF3"/>
    <w:rsid w:val="00531072"/>
    <w:rsid w:val="005312F7"/>
    <w:rsid w:val="00531EE1"/>
    <w:rsid w:val="00532201"/>
    <w:rsid w:val="00532208"/>
    <w:rsid w:val="00532373"/>
    <w:rsid w:val="00533096"/>
    <w:rsid w:val="005334A3"/>
    <w:rsid w:val="005343F9"/>
    <w:rsid w:val="00534536"/>
    <w:rsid w:val="0053464C"/>
    <w:rsid w:val="00534C88"/>
    <w:rsid w:val="00535020"/>
    <w:rsid w:val="005350CE"/>
    <w:rsid w:val="0053519C"/>
    <w:rsid w:val="005351DC"/>
    <w:rsid w:val="005357B2"/>
    <w:rsid w:val="005358F4"/>
    <w:rsid w:val="0053591B"/>
    <w:rsid w:val="00535B4B"/>
    <w:rsid w:val="00535D9E"/>
    <w:rsid w:val="00536029"/>
    <w:rsid w:val="00536723"/>
    <w:rsid w:val="00536F15"/>
    <w:rsid w:val="00537229"/>
    <w:rsid w:val="00537884"/>
    <w:rsid w:val="00537EC6"/>
    <w:rsid w:val="005408DA"/>
    <w:rsid w:val="00540A7F"/>
    <w:rsid w:val="005419F0"/>
    <w:rsid w:val="00541CFC"/>
    <w:rsid w:val="00542572"/>
    <w:rsid w:val="00542896"/>
    <w:rsid w:val="00542E1E"/>
    <w:rsid w:val="005431BE"/>
    <w:rsid w:val="00543FA3"/>
    <w:rsid w:val="00544B6A"/>
    <w:rsid w:val="00545147"/>
    <w:rsid w:val="0054588D"/>
    <w:rsid w:val="005460D5"/>
    <w:rsid w:val="005461E2"/>
    <w:rsid w:val="005464AD"/>
    <w:rsid w:val="00546C3C"/>
    <w:rsid w:val="00546CF4"/>
    <w:rsid w:val="00546D52"/>
    <w:rsid w:val="00546EBA"/>
    <w:rsid w:val="00547511"/>
    <w:rsid w:val="005503D7"/>
    <w:rsid w:val="0055040D"/>
    <w:rsid w:val="00550A90"/>
    <w:rsid w:val="00550C65"/>
    <w:rsid w:val="00550D98"/>
    <w:rsid w:val="005512DF"/>
    <w:rsid w:val="005513CF"/>
    <w:rsid w:val="00551984"/>
    <w:rsid w:val="00551D74"/>
    <w:rsid w:val="00552196"/>
    <w:rsid w:val="005528AC"/>
    <w:rsid w:val="005529B3"/>
    <w:rsid w:val="00552C04"/>
    <w:rsid w:val="00552D1F"/>
    <w:rsid w:val="00553272"/>
    <w:rsid w:val="005538A7"/>
    <w:rsid w:val="00553C37"/>
    <w:rsid w:val="00553CFD"/>
    <w:rsid w:val="00553D4D"/>
    <w:rsid w:val="005540CC"/>
    <w:rsid w:val="005548BE"/>
    <w:rsid w:val="00554BA5"/>
    <w:rsid w:val="00554EEE"/>
    <w:rsid w:val="005559A5"/>
    <w:rsid w:val="0055627E"/>
    <w:rsid w:val="005566CF"/>
    <w:rsid w:val="00556736"/>
    <w:rsid w:val="00556D1C"/>
    <w:rsid w:val="00556F2C"/>
    <w:rsid w:val="005570A4"/>
    <w:rsid w:val="00557529"/>
    <w:rsid w:val="00557A6E"/>
    <w:rsid w:val="005608B0"/>
    <w:rsid w:val="005608D4"/>
    <w:rsid w:val="0056104E"/>
    <w:rsid w:val="00561326"/>
    <w:rsid w:val="00561B00"/>
    <w:rsid w:val="00562CC8"/>
    <w:rsid w:val="005643EF"/>
    <w:rsid w:val="005645D0"/>
    <w:rsid w:val="00564BD8"/>
    <w:rsid w:val="00565008"/>
    <w:rsid w:val="00565729"/>
    <w:rsid w:val="0056581A"/>
    <w:rsid w:val="00565F85"/>
    <w:rsid w:val="00566506"/>
    <w:rsid w:val="0056669A"/>
    <w:rsid w:val="00566839"/>
    <w:rsid w:val="00566853"/>
    <w:rsid w:val="00566FBC"/>
    <w:rsid w:val="005674F7"/>
    <w:rsid w:val="00567867"/>
    <w:rsid w:val="00567D63"/>
    <w:rsid w:val="0057001B"/>
    <w:rsid w:val="00570306"/>
    <w:rsid w:val="005706A0"/>
    <w:rsid w:val="00571076"/>
    <w:rsid w:val="00571239"/>
    <w:rsid w:val="005714B8"/>
    <w:rsid w:val="00572691"/>
    <w:rsid w:val="00572B71"/>
    <w:rsid w:val="00572C64"/>
    <w:rsid w:val="00572C73"/>
    <w:rsid w:val="00572D1C"/>
    <w:rsid w:val="00573338"/>
    <w:rsid w:val="0057346A"/>
    <w:rsid w:val="005736DB"/>
    <w:rsid w:val="005737F4"/>
    <w:rsid w:val="00573B89"/>
    <w:rsid w:val="00573DBB"/>
    <w:rsid w:val="0057428A"/>
    <w:rsid w:val="00574318"/>
    <w:rsid w:val="0057449E"/>
    <w:rsid w:val="00574920"/>
    <w:rsid w:val="005749DE"/>
    <w:rsid w:val="00574D33"/>
    <w:rsid w:val="00574E79"/>
    <w:rsid w:val="00575347"/>
    <w:rsid w:val="00575784"/>
    <w:rsid w:val="00575CC8"/>
    <w:rsid w:val="00575F02"/>
    <w:rsid w:val="005763B1"/>
    <w:rsid w:val="005763FF"/>
    <w:rsid w:val="005773CB"/>
    <w:rsid w:val="00577605"/>
    <w:rsid w:val="00577CF3"/>
    <w:rsid w:val="0058008B"/>
    <w:rsid w:val="005806FA"/>
    <w:rsid w:val="005807FD"/>
    <w:rsid w:val="005808A7"/>
    <w:rsid w:val="00580B40"/>
    <w:rsid w:val="00581AC2"/>
    <w:rsid w:val="00581D43"/>
    <w:rsid w:val="00581EC6"/>
    <w:rsid w:val="0058208F"/>
    <w:rsid w:val="0058218E"/>
    <w:rsid w:val="00582756"/>
    <w:rsid w:val="00582886"/>
    <w:rsid w:val="005830C7"/>
    <w:rsid w:val="00583388"/>
    <w:rsid w:val="0058338B"/>
    <w:rsid w:val="00583B4B"/>
    <w:rsid w:val="00583B95"/>
    <w:rsid w:val="00583CF3"/>
    <w:rsid w:val="00583DAE"/>
    <w:rsid w:val="005841B8"/>
    <w:rsid w:val="00584951"/>
    <w:rsid w:val="00584D86"/>
    <w:rsid w:val="00585A98"/>
    <w:rsid w:val="0058614F"/>
    <w:rsid w:val="00586327"/>
    <w:rsid w:val="0058676B"/>
    <w:rsid w:val="00586956"/>
    <w:rsid w:val="00586A9A"/>
    <w:rsid w:val="00586F82"/>
    <w:rsid w:val="0058794D"/>
    <w:rsid w:val="005903A9"/>
    <w:rsid w:val="00590524"/>
    <w:rsid w:val="00590763"/>
    <w:rsid w:val="00590C1E"/>
    <w:rsid w:val="00590EA6"/>
    <w:rsid w:val="00590FFD"/>
    <w:rsid w:val="00592321"/>
    <w:rsid w:val="00592A67"/>
    <w:rsid w:val="00593174"/>
    <w:rsid w:val="005931A4"/>
    <w:rsid w:val="00593507"/>
    <w:rsid w:val="00593884"/>
    <w:rsid w:val="00593904"/>
    <w:rsid w:val="00593A04"/>
    <w:rsid w:val="00593C99"/>
    <w:rsid w:val="00593CFD"/>
    <w:rsid w:val="00593F42"/>
    <w:rsid w:val="005941E6"/>
    <w:rsid w:val="005949B8"/>
    <w:rsid w:val="00594C51"/>
    <w:rsid w:val="00594DC4"/>
    <w:rsid w:val="00595251"/>
    <w:rsid w:val="0059565D"/>
    <w:rsid w:val="005957C8"/>
    <w:rsid w:val="0059590A"/>
    <w:rsid w:val="00595C7B"/>
    <w:rsid w:val="00595D91"/>
    <w:rsid w:val="00596104"/>
    <w:rsid w:val="005961BD"/>
    <w:rsid w:val="00596814"/>
    <w:rsid w:val="00596925"/>
    <w:rsid w:val="00596991"/>
    <w:rsid w:val="00597190"/>
    <w:rsid w:val="00597617"/>
    <w:rsid w:val="005979B0"/>
    <w:rsid w:val="00597D50"/>
    <w:rsid w:val="00597E1F"/>
    <w:rsid w:val="00597E6F"/>
    <w:rsid w:val="00597FAB"/>
    <w:rsid w:val="005A05DA"/>
    <w:rsid w:val="005A0982"/>
    <w:rsid w:val="005A0D45"/>
    <w:rsid w:val="005A1575"/>
    <w:rsid w:val="005A18DF"/>
    <w:rsid w:val="005A1BCC"/>
    <w:rsid w:val="005A1BD8"/>
    <w:rsid w:val="005A2183"/>
    <w:rsid w:val="005A25A0"/>
    <w:rsid w:val="005A3093"/>
    <w:rsid w:val="005A33F8"/>
    <w:rsid w:val="005A35AE"/>
    <w:rsid w:val="005A41D1"/>
    <w:rsid w:val="005A422F"/>
    <w:rsid w:val="005A4340"/>
    <w:rsid w:val="005A438C"/>
    <w:rsid w:val="005A4467"/>
    <w:rsid w:val="005A5272"/>
    <w:rsid w:val="005A5569"/>
    <w:rsid w:val="005A5965"/>
    <w:rsid w:val="005A67F2"/>
    <w:rsid w:val="005A76D6"/>
    <w:rsid w:val="005A7940"/>
    <w:rsid w:val="005B0022"/>
    <w:rsid w:val="005B15DF"/>
    <w:rsid w:val="005B1B4E"/>
    <w:rsid w:val="005B249F"/>
    <w:rsid w:val="005B2618"/>
    <w:rsid w:val="005B2D94"/>
    <w:rsid w:val="005B2FBA"/>
    <w:rsid w:val="005B333B"/>
    <w:rsid w:val="005B3808"/>
    <w:rsid w:val="005B380D"/>
    <w:rsid w:val="005B3A23"/>
    <w:rsid w:val="005B3BD0"/>
    <w:rsid w:val="005B3EA8"/>
    <w:rsid w:val="005B4146"/>
    <w:rsid w:val="005B4197"/>
    <w:rsid w:val="005B41EE"/>
    <w:rsid w:val="005B4297"/>
    <w:rsid w:val="005B5260"/>
    <w:rsid w:val="005B58E8"/>
    <w:rsid w:val="005B5AD6"/>
    <w:rsid w:val="005B5E53"/>
    <w:rsid w:val="005B5F5B"/>
    <w:rsid w:val="005B6408"/>
    <w:rsid w:val="005B6BE2"/>
    <w:rsid w:val="005B7C66"/>
    <w:rsid w:val="005C015B"/>
    <w:rsid w:val="005C046F"/>
    <w:rsid w:val="005C068B"/>
    <w:rsid w:val="005C0972"/>
    <w:rsid w:val="005C0E44"/>
    <w:rsid w:val="005C121E"/>
    <w:rsid w:val="005C1532"/>
    <w:rsid w:val="005C1A5D"/>
    <w:rsid w:val="005C1A6B"/>
    <w:rsid w:val="005C1F7B"/>
    <w:rsid w:val="005C238F"/>
    <w:rsid w:val="005C26D8"/>
    <w:rsid w:val="005C286A"/>
    <w:rsid w:val="005C2C2D"/>
    <w:rsid w:val="005C37B7"/>
    <w:rsid w:val="005C3894"/>
    <w:rsid w:val="005C3FB5"/>
    <w:rsid w:val="005C456D"/>
    <w:rsid w:val="005C4B87"/>
    <w:rsid w:val="005C5277"/>
    <w:rsid w:val="005C5CE1"/>
    <w:rsid w:val="005C5E33"/>
    <w:rsid w:val="005C6161"/>
    <w:rsid w:val="005C67FE"/>
    <w:rsid w:val="005C6D1D"/>
    <w:rsid w:val="005D049A"/>
    <w:rsid w:val="005D0BC2"/>
    <w:rsid w:val="005D168E"/>
    <w:rsid w:val="005D1775"/>
    <w:rsid w:val="005D18D3"/>
    <w:rsid w:val="005D25F9"/>
    <w:rsid w:val="005D2686"/>
    <w:rsid w:val="005D27EF"/>
    <w:rsid w:val="005D2E67"/>
    <w:rsid w:val="005D2EC6"/>
    <w:rsid w:val="005D32F8"/>
    <w:rsid w:val="005D3326"/>
    <w:rsid w:val="005D36DF"/>
    <w:rsid w:val="005D3750"/>
    <w:rsid w:val="005D3C31"/>
    <w:rsid w:val="005D3E75"/>
    <w:rsid w:val="005D3ED0"/>
    <w:rsid w:val="005D4308"/>
    <w:rsid w:val="005D4634"/>
    <w:rsid w:val="005D4921"/>
    <w:rsid w:val="005D4CEF"/>
    <w:rsid w:val="005D4DF7"/>
    <w:rsid w:val="005D50C7"/>
    <w:rsid w:val="005D5BD8"/>
    <w:rsid w:val="005D5F84"/>
    <w:rsid w:val="005D66BB"/>
    <w:rsid w:val="005D6D64"/>
    <w:rsid w:val="005D6E0F"/>
    <w:rsid w:val="005D71E0"/>
    <w:rsid w:val="005D75B5"/>
    <w:rsid w:val="005D7745"/>
    <w:rsid w:val="005D7FB6"/>
    <w:rsid w:val="005E0458"/>
    <w:rsid w:val="005E05EA"/>
    <w:rsid w:val="005E1101"/>
    <w:rsid w:val="005E1B2C"/>
    <w:rsid w:val="005E1C06"/>
    <w:rsid w:val="005E1D55"/>
    <w:rsid w:val="005E2242"/>
    <w:rsid w:val="005E2E2F"/>
    <w:rsid w:val="005E3C8A"/>
    <w:rsid w:val="005E40C5"/>
    <w:rsid w:val="005E4487"/>
    <w:rsid w:val="005E44E8"/>
    <w:rsid w:val="005E45CB"/>
    <w:rsid w:val="005E4A7D"/>
    <w:rsid w:val="005E4BAB"/>
    <w:rsid w:val="005E4D65"/>
    <w:rsid w:val="005E502B"/>
    <w:rsid w:val="005E56BD"/>
    <w:rsid w:val="005E5A80"/>
    <w:rsid w:val="005E5B3B"/>
    <w:rsid w:val="005E5FD9"/>
    <w:rsid w:val="005E6000"/>
    <w:rsid w:val="005E6BEC"/>
    <w:rsid w:val="005E7844"/>
    <w:rsid w:val="005E7A60"/>
    <w:rsid w:val="005F095E"/>
    <w:rsid w:val="005F0CB9"/>
    <w:rsid w:val="005F0F69"/>
    <w:rsid w:val="005F109E"/>
    <w:rsid w:val="005F1503"/>
    <w:rsid w:val="005F2189"/>
    <w:rsid w:val="005F2F2E"/>
    <w:rsid w:val="005F382C"/>
    <w:rsid w:val="005F3C40"/>
    <w:rsid w:val="005F4383"/>
    <w:rsid w:val="005F46CB"/>
    <w:rsid w:val="005F4874"/>
    <w:rsid w:val="005F4AD8"/>
    <w:rsid w:val="005F4D3B"/>
    <w:rsid w:val="005F4EF2"/>
    <w:rsid w:val="005F5E53"/>
    <w:rsid w:val="005F6758"/>
    <w:rsid w:val="005F67E5"/>
    <w:rsid w:val="005F6A90"/>
    <w:rsid w:val="005F6E51"/>
    <w:rsid w:val="005F7CAA"/>
    <w:rsid w:val="005F7D0B"/>
    <w:rsid w:val="005F7DB3"/>
    <w:rsid w:val="00600B9C"/>
    <w:rsid w:val="00600C81"/>
    <w:rsid w:val="006014C9"/>
    <w:rsid w:val="00601620"/>
    <w:rsid w:val="006016C3"/>
    <w:rsid w:val="00601B55"/>
    <w:rsid w:val="00601C6C"/>
    <w:rsid w:val="0060231A"/>
    <w:rsid w:val="00602863"/>
    <w:rsid w:val="006028E3"/>
    <w:rsid w:val="006034B3"/>
    <w:rsid w:val="0060478B"/>
    <w:rsid w:val="006047ED"/>
    <w:rsid w:val="006050C0"/>
    <w:rsid w:val="0060676E"/>
    <w:rsid w:val="00606846"/>
    <w:rsid w:val="0060684C"/>
    <w:rsid w:val="0060715D"/>
    <w:rsid w:val="00607304"/>
    <w:rsid w:val="0060794D"/>
    <w:rsid w:val="00607CA1"/>
    <w:rsid w:val="00607F4A"/>
    <w:rsid w:val="006104C3"/>
    <w:rsid w:val="0061216B"/>
    <w:rsid w:val="00612637"/>
    <w:rsid w:val="00612B4E"/>
    <w:rsid w:val="006132C4"/>
    <w:rsid w:val="00614047"/>
    <w:rsid w:val="006156B4"/>
    <w:rsid w:val="006159C4"/>
    <w:rsid w:val="00615A00"/>
    <w:rsid w:val="00615AD2"/>
    <w:rsid w:val="00615C0E"/>
    <w:rsid w:val="00615FA5"/>
    <w:rsid w:val="00616C89"/>
    <w:rsid w:val="00616C8A"/>
    <w:rsid w:val="00617A93"/>
    <w:rsid w:val="00617B4F"/>
    <w:rsid w:val="00617EE0"/>
    <w:rsid w:val="0062042F"/>
    <w:rsid w:val="00620C79"/>
    <w:rsid w:val="00621126"/>
    <w:rsid w:val="006213F6"/>
    <w:rsid w:val="00621440"/>
    <w:rsid w:val="00621A9F"/>
    <w:rsid w:val="00621C8A"/>
    <w:rsid w:val="00621CD4"/>
    <w:rsid w:val="006224B7"/>
    <w:rsid w:val="00622799"/>
    <w:rsid w:val="0062289E"/>
    <w:rsid w:val="00622A7B"/>
    <w:rsid w:val="00623142"/>
    <w:rsid w:val="006232C5"/>
    <w:rsid w:val="00623640"/>
    <w:rsid w:val="00623C82"/>
    <w:rsid w:val="00623CA6"/>
    <w:rsid w:val="0062402F"/>
    <w:rsid w:val="006241BA"/>
    <w:rsid w:val="00624B04"/>
    <w:rsid w:val="006252D0"/>
    <w:rsid w:val="006259F7"/>
    <w:rsid w:val="00626297"/>
    <w:rsid w:val="006262FE"/>
    <w:rsid w:val="00626460"/>
    <w:rsid w:val="0062654C"/>
    <w:rsid w:val="00626AC4"/>
    <w:rsid w:val="00626B57"/>
    <w:rsid w:val="00626FB4"/>
    <w:rsid w:val="0062766F"/>
    <w:rsid w:val="00627839"/>
    <w:rsid w:val="00627D39"/>
    <w:rsid w:val="00627D54"/>
    <w:rsid w:val="00627ECE"/>
    <w:rsid w:val="00627F64"/>
    <w:rsid w:val="006302A0"/>
    <w:rsid w:val="006309C0"/>
    <w:rsid w:val="006309EE"/>
    <w:rsid w:val="00630B79"/>
    <w:rsid w:val="00630C6E"/>
    <w:rsid w:val="00630EC3"/>
    <w:rsid w:val="006310BA"/>
    <w:rsid w:val="0063148D"/>
    <w:rsid w:val="006316BD"/>
    <w:rsid w:val="00631791"/>
    <w:rsid w:val="00632119"/>
    <w:rsid w:val="006321B3"/>
    <w:rsid w:val="006327D7"/>
    <w:rsid w:val="00632A8B"/>
    <w:rsid w:val="00632C6E"/>
    <w:rsid w:val="00632DB6"/>
    <w:rsid w:val="0063303B"/>
    <w:rsid w:val="0063368B"/>
    <w:rsid w:val="00633994"/>
    <w:rsid w:val="00633DFD"/>
    <w:rsid w:val="00634044"/>
    <w:rsid w:val="006340E3"/>
    <w:rsid w:val="00634321"/>
    <w:rsid w:val="00634449"/>
    <w:rsid w:val="00635A9D"/>
    <w:rsid w:val="0063608C"/>
    <w:rsid w:val="00636252"/>
    <w:rsid w:val="006367D3"/>
    <w:rsid w:val="00636AAC"/>
    <w:rsid w:val="00636E76"/>
    <w:rsid w:val="006378C1"/>
    <w:rsid w:val="0063798C"/>
    <w:rsid w:val="00637D40"/>
    <w:rsid w:val="00640420"/>
    <w:rsid w:val="006406DB"/>
    <w:rsid w:val="00640ED6"/>
    <w:rsid w:val="0064138D"/>
    <w:rsid w:val="006417E5"/>
    <w:rsid w:val="00641AA6"/>
    <w:rsid w:val="00641F1B"/>
    <w:rsid w:val="0064246C"/>
    <w:rsid w:val="00642AB1"/>
    <w:rsid w:val="006434C5"/>
    <w:rsid w:val="0064350F"/>
    <w:rsid w:val="00643AC9"/>
    <w:rsid w:val="00643EC6"/>
    <w:rsid w:val="006448C5"/>
    <w:rsid w:val="00644B45"/>
    <w:rsid w:val="00644F85"/>
    <w:rsid w:val="006453CB"/>
    <w:rsid w:val="00645B37"/>
    <w:rsid w:val="00645BAC"/>
    <w:rsid w:val="00645C1F"/>
    <w:rsid w:val="00645C75"/>
    <w:rsid w:val="00646202"/>
    <w:rsid w:val="00646462"/>
    <w:rsid w:val="00646D9E"/>
    <w:rsid w:val="00647382"/>
    <w:rsid w:val="00647D22"/>
    <w:rsid w:val="0065008D"/>
    <w:rsid w:val="0065031E"/>
    <w:rsid w:val="006504E5"/>
    <w:rsid w:val="006508F7"/>
    <w:rsid w:val="00650CCA"/>
    <w:rsid w:val="00650F1E"/>
    <w:rsid w:val="0065193F"/>
    <w:rsid w:val="00652167"/>
    <w:rsid w:val="00652328"/>
    <w:rsid w:val="006533D8"/>
    <w:rsid w:val="006534C9"/>
    <w:rsid w:val="00653674"/>
    <w:rsid w:val="006536B7"/>
    <w:rsid w:val="00653734"/>
    <w:rsid w:val="00654158"/>
    <w:rsid w:val="0065468A"/>
    <w:rsid w:val="00654AC3"/>
    <w:rsid w:val="00654B9E"/>
    <w:rsid w:val="00654E22"/>
    <w:rsid w:val="00654EEE"/>
    <w:rsid w:val="00654F3C"/>
    <w:rsid w:val="006554A5"/>
    <w:rsid w:val="006557EA"/>
    <w:rsid w:val="006563A5"/>
    <w:rsid w:val="0065641B"/>
    <w:rsid w:val="00656699"/>
    <w:rsid w:val="00656CDF"/>
    <w:rsid w:val="00656E18"/>
    <w:rsid w:val="00656EE0"/>
    <w:rsid w:val="00657120"/>
    <w:rsid w:val="006576C8"/>
    <w:rsid w:val="0065786C"/>
    <w:rsid w:val="00657969"/>
    <w:rsid w:val="00657DAC"/>
    <w:rsid w:val="006604E4"/>
    <w:rsid w:val="0066083B"/>
    <w:rsid w:val="00660C1F"/>
    <w:rsid w:val="00660D7E"/>
    <w:rsid w:val="0066173A"/>
    <w:rsid w:val="00662012"/>
    <w:rsid w:val="006626C7"/>
    <w:rsid w:val="0066275D"/>
    <w:rsid w:val="00662AFB"/>
    <w:rsid w:val="00663143"/>
    <w:rsid w:val="006631A7"/>
    <w:rsid w:val="00663EC6"/>
    <w:rsid w:val="0066442C"/>
    <w:rsid w:val="00664748"/>
    <w:rsid w:val="00664C18"/>
    <w:rsid w:val="00664D92"/>
    <w:rsid w:val="0066542D"/>
    <w:rsid w:val="0066565F"/>
    <w:rsid w:val="00665A64"/>
    <w:rsid w:val="0066628F"/>
    <w:rsid w:val="006663E5"/>
    <w:rsid w:val="00666E7B"/>
    <w:rsid w:val="00667515"/>
    <w:rsid w:val="006677D2"/>
    <w:rsid w:val="00667A6A"/>
    <w:rsid w:val="0067081F"/>
    <w:rsid w:val="0067099F"/>
    <w:rsid w:val="00671453"/>
    <w:rsid w:val="00671739"/>
    <w:rsid w:val="00671C01"/>
    <w:rsid w:val="0067242C"/>
    <w:rsid w:val="0067290C"/>
    <w:rsid w:val="006729E6"/>
    <w:rsid w:val="00673221"/>
    <w:rsid w:val="006737B9"/>
    <w:rsid w:val="006741D6"/>
    <w:rsid w:val="00674475"/>
    <w:rsid w:val="0067468D"/>
    <w:rsid w:val="006752F1"/>
    <w:rsid w:val="006752FA"/>
    <w:rsid w:val="00675B99"/>
    <w:rsid w:val="00676207"/>
    <w:rsid w:val="00676384"/>
    <w:rsid w:val="006764DD"/>
    <w:rsid w:val="00676E27"/>
    <w:rsid w:val="0067703B"/>
    <w:rsid w:val="006771F6"/>
    <w:rsid w:val="0067722F"/>
    <w:rsid w:val="006776A7"/>
    <w:rsid w:val="00677748"/>
    <w:rsid w:val="006777F7"/>
    <w:rsid w:val="00677D9A"/>
    <w:rsid w:val="00677DA4"/>
    <w:rsid w:val="00680557"/>
    <w:rsid w:val="006805C6"/>
    <w:rsid w:val="00680D25"/>
    <w:rsid w:val="00680D80"/>
    <w:rsid w:val="00680FCF"/>
    <w:rsid w:val="00681768"/>
    <w:rsid w:val="0068178C"/>
    <w:rsid w:val="00681CCC"/>
    <w:rsid w:val="00681D05"/>
    <w:rsid w:val="00681E59"/>
    <w:rsid w:val="0068237C"/>
    <w:rsid w:val="006824BA"/>
    <w:rsid w:val="006827EA"/>
    <w:rsid w:val="00683498"/>
    <w:rsid w:val="00683A67"/>
    <w:rsid w:val="00683CA1"/>
    <w:rsid w:val="00684746"/>
    <w:rsid w:val="0068523F"/>
    <w:rsid w:val="00685E72"/>
    <w:rsid w:val="00685E97"/>
    <w:rsid w:val="00686AAD"/>
    <w:rsid w:val="00686B3B"/>
    <w:rsid w:val="006874BF"/>
    <w:rsid w:val="0068771C"/>
    <w:rsid w:val="00687891"/>
    <w:rsid w:val="006902C3"/>
    <w:rsid w:val="00690557"/>
    <w:rsid w:val="00690611"/>
    <w:rsid w:val="00690C2A"/>
    <w:rsid w:val="00690E88"/>
    <w:rsid w:val="00690F55"/>
    <w:rsid w:val="00691B61"/>
    <w:rsid w:val="00691D5E"/>
    <w:rsid w:val="006924A4"/>
    <w:rsid w:val="00692557"/>
    <w:rsid w:val="00692F50"/>
    <w:rsid w:val="006931C1"/>
    <w:rsid w:val="006936F3"/>
    <w:rsid w:val="006958E1"/>
    <w:rsid w:val="00695E24"/>
    <w:rsid w:val="00696047"/>
    <w:rsid w:val="00696134"/>
    <w:rsid w:val="0069629F"/>
    <w:rsid w:val="006965B8"/>
    <w:rsid w:val="00696B4F"/>
    <w:rsid w:val="00697030"/>
    <w:rsid w:val="00697AA1"/>
    <w:rsid w:val="00697BBF"/>
    <w:rsid w:val="00697F26"/>
    <w:rsid w:val="006A00C5"/>
    <w:rsid w:val="006A0602"/>
    <w:rsid w:val="006A070E"/>
    <w:rsid w:val="006A0870"/>
    <w:rsid w:val="006A0C5B"/>
    <w:rsid w:val="006A1463"/>
    <w:rsid w:val="006A1477"/>
    <w:rsid w:val="006A1694"/>
    <w:rsid w:val="006A1A93"/>
    <w:rsid w:val="006A1B31"/>
    <w:rsid w:val="006A23CE"/>
    <w:rsid w:val="006A2BDF"/>
    <w:rsid w:val="006A2C82"/>
    <w:rsid w:val="006A2CBE"/>
    <w:rsid w:val="006A3107"/>
    <w:rsid w:val="006A3858"/>
    <w:rsid w:val="006A394A"/>
    <w:rsid w:val="006A3CB1"/>
    <w:rsid w:val="006A3D09"/>
    <w:rsid w:val="006A48A4"/>
    <w:rsid w:val="006A4B14"/>
    <w:rsid w:val="006A4BE3"/>
    <w:rsid w:val="006A52D1"/>
    <w:rsid w:val="006A5842"/>
    <w:rsid w:val="006A59FD"/>
    <w:rsid w:val="006A5F84"/>
    <w:rsid w:val="006A666C"/>
    <w:rsid w:val="006A6CD0"/>
    <w:rsid w:val="006A6E4E"/>
    <w:rsid w:val="006A6ED2"/>
    <w:rsid w:val="006A7519"/>
    <w:rsid w:val="006A7ACD"/>
    <w:rsid w:val="006A7FBA"/>
    <w:rsid w:val="006B001A"/>
    <w:rsid w:val="006B0104"/>
    <w:rsid w:val="006B1174"/>
    <w:rsid w:val="006B1509"/>
    <w:rsid w:val="006B1B46"/>
    <w:rsid w:val="006B1C69"/>
    <w:rsid w:val="006B22CA"/>
    <w:rsid w:val="006B24EC"/>
    <w:rsid w:val="006B2E50"/>
    <w:rsid w:val="006B35A7"/>
    <w:rsid w:val="006B3C84"/>
    <w:rsid w:val="006B3C8E"/>
    <w:rsid w:val="006B3FB5"/>
    <w:rsid w:val="006B437C"/>
    <w:rsid w:val="006B449B"/>
    <w:rsid w:val="006B4698"/>
    <w:rsid w:val="006B4B33"/>
    <w:rsid w:val="006B4C7A"/>
    <w:rsid w:val="006B4E0F"/>
    <w:rsid w:val="006B4FF4"/>
    <w:rsid w:val="006B512B"/>
    <w:rsid w:val="006B529F"/>
    <w:rsid w:val="006B5424"/>
    <w:rsid w:val="006B5A91"/>
    <w:rsid w:val="006B5F42"/>
    <w:rsid w:val="006B65BE"/>
    <w:rsid w:val="006B6E3A"/>
    <w:rsid w:val="006B71A6"/>
    <w:rsid w:val="006B7467"/>
    <w:rsid w:val="006B75FD"/>
    <w:rsid w:val="006B7670"/>
    <w:rsid w:val="006B7F6E"/>
    <w:rsid w:val="006C00CC"/>
    <w:rsid w:val="006C02C7"/>
    <w:rsid w:val="006C118B"/>
    <w:rsid w:val="006C11A4"/>
    <w:rsid w:val="006C1E0E"/>
    <w:rsid w:val="006C26A2"/>
    <w:rsid w:val="006C3A4F"/>
    <w:rsid w:val="006C3B4B"/>
    <w:rsid w:val="006C3C6A"/>
    <w:rsid w:val="006C3D5F"/>
    <w:rsid w:val="006C4325"/>
    <w:rsid w:val="006C462A"/>
    <w:rsid w:val="006C5EC7"/>
    <w:rsid w:val="006C6578"/>
    <w:rsid w:val="006C6914"/>
    <w:rsid w:val="006C6A3E"/>
    <w:rsid w:val="006C6F8A"/>
    <w:rsid w:val="006C7CB1"/>
    <w:rsid w:val="006D04F2"/>
    <w:rsid w:val="006D0657"/>
    <w:rsid w:val="006D0DDC"/>
    <w:rsid w:val="006D1335"/>
    <w:rsid w:val="006D1598"/>
    <w:rsid w:val="006D1C54"/>
    <w:rsid w:val="006D1FC1"/>
    <w:rsid w:val="006D250A"/>
    <w:rsid w:val="006D2733"/>
    <w:rsid w:val="006D2F4E"/>
    <w:rsid w:val="006D39ED"/>
    <w:rsid w:val="006D3A86"/>
    <w:rsid w:val="006D3F43"/>
    <w:rsid w:val="006D400C"/>
    <w:rsid w:val="006D4C54"/>
    <w:rsid w:val="006D512D"/>
    <w:rsid w:val="006D5A67"/>
    <w:rsid w:val="006D5A6F"/>
    <w:rsid w:val="006D5CFE"/>
    <w:rsid w:val="006D6688"/>
    <w:rsid w:val="006D6C5D"/>
    <w:rsid w:val="006D71AB"/>
    <w:rsid w:val="006D72DA"/>
    <w:rsid w:val="006E0188"/>
    <w:rsid w:val="006E0523"/>
    <w:rsid w:val="006E07E2"/>
    <w:rsid w:val="006E0C7F"/>
    <w:rsid w:val="006E0E0B"/>
    <w:rsid w:val="006E128F"/>
    <w:rsid w:val="006E1604"/>
    <w:rsid w:val="006E2267"/>
    <w:rsid w:val="006E2727"/>
    <w:rsid w:val="006E2996"/>
    <w:rsid w:val="006E3387"/>
    <w:rsid w:val="006E483A"/>
    <w:rsid w:val="006E4847"/>
    <w:rsid w:val="006E4A91"/>
    <w:rsid w:val="006E5079"/>
    <w:rsid w:val="006E50AF"/>
    <w:rsid w:val="006E52E5"/>
    <w:rsid w:val="006E5541"/>
    <w:rsid w:val="006E559C"/>
    <w:rsid w:val="006E5F96"/>
    <w:rsid w:val="006E6235"/>
    <w:rsid w:val="006E63C9"/>
    <w:rsid w:val="006E6590"/>
    <w:rsid w:val="006E6F50"/>
    <w:rsid w:val="006E7187"/>
    <w:rsid w:val="006E736A"/>
    <w:rsid w:val="006E7376"/>
    <w:rsid w:val="006E74C4"/>
    <w:rsid w:val="006F0106"/>
    <w:rsid w:val="006F030A"/>
    <w:rsid w:val="006F0B02"/>
    <w:rsid w:val="006F119B"/>
    <w:rsid w:val="006F11CE"/>
    <w:rsid w:val="006F13F3"/>
    <w:rsid w:val="006F1499"/>
    <w:rsid w:val="006F1544"/>
    <w:rsid w:val="006F1798"/>
    <w:rsid w:val="006F1A35"/>
    <w:rsid w:val="006F1FBF"/>
    <w:rsid w:val="006F22A3"/>
    <w:rsid w:val="006F2619"/>
    <w:rsid w:val="006F28F8"/>
    <w:rsid w:val="006F301E"/>
    <w:rsid w:val="006F37AD"/>
    <w:rsid w:val="006F3A8C"/>
    <w:rsid w:val="006F3AA4"/>
    <w:rsid w:val="006F3E9B"/>
    <w:rsid w:val="006F41A6"/>
    <w:rsid w:val="006F456A"/>
    <w:rsid w:val="006F45EF"/>
    <w:rsid w:val="006F525F"/>
    <w:rsid w:val="006F52E1"/>
    <w:rsid w:val="006F575E"/>
    <w:rsid w:val="006F5C84"/>
    <w:rsid w:val="006F5F28"/>
    <w:rsid w:val="006F6538"/>
    <w:rsid w:val="006F7DDA"/>
    <w:rsid w:val="007004B5"/>
    <w:rsid w:val="007008BB"/>
    <w:rsid w:val="00700913"/>
    <w:rsid w:val="00700E6E"/>
    <w:rsid w:val="007012F9"/>
    <w:rsid w:val="0070132E"/>
    <w:rsid w:val="007016A2"/>
    <w:rsid w:val="00701C2C"/>
    <w:rsid w:val="00701EC3"/>
    <w:rsid w:val="00701FFE"/>
    <w:rsid w:val="00702244"/>
    <w:rsid w:val="007022C6"/>
    <w:rsid w:val="007022F4"/>
    <w:rsid w:val="007028E4"/>
    <w:rsid w:val="00702FCD"/>
    <w:rsid w:val="0070379C"/>
    <w:rsid w:val="00703856"/>
    <w:rsid w:val="007038D4"/>
    <w:rsid w:val="00703EB2"/>
    <w:rsid w:val="0070469E"/>
    <w:rsid w:val="0070483F"/>
    <w:rsid w:val="0070489D"/>
    <w:rsid w:val="00704DDF"/>
    <w:rsid w:val="0070502D"/>
    <w:rsid w:val="00705063"/>
    <w:rsid w:val="00705A94"/>
    <w:rsid w:val="00705C3C"/>
    <w:rsid w:val="007060E7"/>
    <w:rsid w:val="007064C9"/>
    <w:rsid w:val="007066FF"/>
    <w:rsid w:val="0070677F"/>
    <w:rsid w:val="00706872"/>
    <w:rsid w:val="00706F62"/>
    <w:rsid w:val="007074AE"/>
    <w:rsid w:val="00707905"/>
    <w:rsid w:val="0071028B"/>
    <w:rsid w:val="00710310"/>
    <w:rsid w:val="007109D2"/>
    <w:rsid w:val="007109DD"/>
    <w:rsid w:val="00710D9C"/>
    <w:rsid w:val="00711776"/>
    <w:rsid w:val="00711F25"/>
    <w:rsid w:val="00711FB3"/>
    <w:rsid w:val="007128C5"/>
    <w:rsid w:val="00712D4D"/>
    <w:rsid w:val="00712F84"/>
    <w:rsid w:val="00713CC0"/>
    <w:rsid w:val="00714140"/>
    <w:rsid w:val="007144F2"/>
    <w:rsid w:val="00714FA3"/>
    <w:rsid w:val="007150E6"/>
    <w:rsid w:val="007154AE"/>
    <w:rsid w:val="007157A4"/>
    <w:rsid w:val="00715CCE"/>
    <w:rsid w:val="00716458"/>
    <w:rsid w:val="00716503"/>
    <w:rsid w:val="007168A5"/>
    <w:rsid w:val="00716946"/>
    <w:rsid w:val="0071715C"/>
    <w:rsid w:val="007173EB"/>
    <w:rsid w:val="00717B66"/>
    <w:rsid w:val="00720255"/>
    <w:rsid w:val="00720307"/>
    <w:rsid w:val="00720759"/>
    <w:rsid w:val="00720AB3"/>
    <w:rsid w:val="007210F5"/>
    <w:rsid w:val="0072131A"/>
    <w:rsid w:val="0072132B"/>
    <w:rsid w:val="0072224D"/>
    <w:rsid w:val="007228CC"/>
    <w:rsid w:val="00722AE7"/>
    <w:rsid w:val="00722FE3"/>
    <w:rsid w:val="007234DD"/>
    <w:rsid w:val="00723866"/>
    <w:rsid w:val="0072421F"/>
    <w:rsid w:val="0072427B"/>
    <w:rsid w:val="00724360"/>
    <w:rsid w:val="007248C1"/>
    <w:rsid w:val="00725566"/>
    <w:rsid w:val="0072595E"/>
    <w:rsid w:val="00725965"/>
    <w:rsid w:val="00725B41"/>
    <w:rsid w:val="0072632B"/>
    <w:rsid w:val="0072670F"/>
    <w:rsid w:val="00726937"/>
    <w:rsid w:val="0072710B"/>
    <w:rsid w:val="00727F56"/>
    <w:rsid w:val="0073042F"/>
    <w:rsid w:val="00730A68"/>
    <w:rsid w:val="00730DE3"/>
    <w:rsid w:val="00730E85"/>
    <w:rsid w:val="0073138E"/>
    <w:rsid w:val="007315A2"/>
    <w:rsid w:val="0073175A"/>
    <w:rsid w:val="00731DD0"/>
    <w:rsid w:val="007323A1"/>
    <w:rsid w:val="00732486"/>
    <w:rsid w:val="00732AF7"/>
    <w:rsid w:val="00732C3E"/>
    <w:rsid w:val="00733624"/>
    <w:rsid w:val="00733DEA"/>
    <w:rsid w:val="007349BB"/>
    <w:rsid w:val="00734ED4"/>
    <w:rsid w:val="00735745"/>
    <w:rsid w:val="00735882"/>
    <w:rsid w:val="00736195"/>
    <w:rsid w:val="00736754"/>
    <w:rsid w:val="00736B66"/>
    <w:rsid w:val="00736F90"/>
    <w:rsid w:val="00737121"/>
    <w:rsid w:val="007375A5"/>
    <w:rsid w:val="0073774C"/>
    <w:rsid w:val="00737C0D"/>
    <w:rsid w:val="007405AB"/>
    <w:rsid w:val="00740BC0"/>
    <w:rsid w:val="00740D01"/>
    <w:rsid w:val="00740D6D"/>
    <w:rsid w:val="007411DC"/>
    <w:rsid w:val="00741F29"/>
    <w:rsid w:val="00743496"/>
    <w:rsid w:val="00743519"/>
    <w:rsid w:val="0074366F"/>
    <w:rsid w:val="007440A5"/>
    <w:rsid w:val="007450E8"/>
    <w:rsid w:val="00745523"/>
    <w:rsid w:val="007457EB"/>
    <w:rsid w:val="00745A7D"/>
    <w:rsid w:val="00745C13"/>
    <w:rsid w:val="00745F69"/>
    <w:rsid w:val="00746036"/>
    <w:rsid w:val="00746A93"/>
    <w:rsid w:val="007476C3"/>
    <w:rsid w:val="007479F8"/>
    <w:rsid w:val="00747A7C"/>
    <w:rsid w:val="00747BAF"/>
    <w:rsid w:val="00750A3A"/>
    <w:rsid w:val="00750BC8"/>
    <w:rsid w:val="00750BCB"/>
    <w:rsid w:val="00750D2D"/>
    <w:rsid w:val="00750D4F"/>
    <w:rsid w:val="0075166F"/>
    <w:rsid w:val="00751C38"/>
    <w:rsid w:val="00751D24"/>
    <w:rsid w:val="00751FE2"/>
    <w:rsid w:val="00752548"/>
    <w:rsid w:val="00753C00"/>
    <w:rsid w:val="0075444D"/>
    <w:rsid w:val="0075459B"/>
    <w:rsid w:val="007548CD"/>
    <w:rsid w:val="00754B6D"/>
    <w:rsid w:val="00755642"/>
    <w:rsid w:val="007559AF"/>
    <w:rsid w:val="00755B63"/>
    <w:rsid w:val="00755DF7"/>
    <w:rsid w:val="00756C80"/>
    <w:rsid w:val="00756C87"/>
    <w:rsid w:val="00757B08"/>
    <w:rsid w:val="00757C94"/>
    <w:rsid w:val="0076071E"/>
    <w:rsid w:val="00760A88"/>
    <w:rsid w:val="00761453"/>
    <w:rsid w:val="0076191C"/>
    <w:rsid w:val="00761B03"/>
    <w:rsid w:val="00761E6B"/>
    <w:rsid w:val="007621AC"/>
    <w:rsid w:val="00762629"/>
    <w:rsid w:val="00762639"/>
    <w:rsid w:val="00762A6F"/>
    <w:rsid w:val="00763553"/>
    <w:rsid w:val="007636A3"/>
    <w:rsid w:val="0076387E"/>
    <w:rsid w:val="00763B29"/>
    <w:rsid w:val="00763C78"/>
    <w:rsid w:val="00763F93"/>
    <w:rsid w:val="00764024"/>
    <w:rsid w:val="00764472"/>
    <w:rsid w:val="007648F2"/>
    <w:rsid w:val="00764EC4"/>
    <w:rsid w:val="007651A6"/>
    <w:rsid w:val="007651C8"/>
    <w:rsid w:val="00765E76"/>
    <w:rsid w:val="0076633A"/>
    <w:rsid w:val="00766E87"/>
    <w:rsid w:val="007671B6"/>
    <w:rsid w:val="0076763D"/>
    <w:rsid w:val="007703D7"/>
    <w:rsid w:val="00770998"/>
    <w:rsid w:val="00770E26"/>
    <w:rsid w:val="007711C8"/>
    <w:rsid w:val="00771413"/>
    <w:rsid w:val="007716CC"/>
    <w:rsid w:val="00772175"/>
    <w:rsid w:val="007722D9"/>
    <w:rsid w:val="007723E7"/>
    <w:rsid w:val="00773470"/>
    <w:rsid w:val="007734BC"/>
    <w:rsid w:val="00773846"/>
    <w:rsid w:val="00773DCD"/>
    <w:rsid w:val="007744BA"/>
    <w:rsid w:val="00774778"/>
    <w:rsid w:val="00774E38"/>
    <w:rsid w:val="00775206"/>
    <w:rsid w:val="00775223"/>
    <w:rsid w:val="00775CCB"/>
    <w:rsid w:val="00775E7A"/>
    <w:rsid w:val="00776DEE"/>
    <w:rsid w:val="007771AD"/>
    <w:rsid w:val="007779C7"/>
    <w:rsid w:val="00780816"/>
    <w:rsid w:val="00780A71"/>
    <w:rsid w:val="00780A90"/>
    <w:rsid w:val="00780C25"/>
    <w:rsid w:val="00780CEB"/>
    <w:rsid w:val="00780DF9"/>
    <w:rsid w:val="00780F14"/>
    <w:rsid w:val="00781DA7"/>
    <w:rsid w:val="00782D2D"/>
    <w:rsid w:val="00782D7D"/>
    <w:rsid w:val="007834A2"/>
    <w:rsid w:val="00783594"/>
    <w:rsid w:val="00783982"/>
    <w:rsid w:val="00783BF0"/>
    <w:rsid w:val="007845FC"/>
    <w:rsid w:val="0078470A"/>
    <w:rsid w:val="00784D70"/>
    <w:rsid w:val="007859B8"/>
    <w:rsid w:val="00785BB0"/>
    <w:rsid w:val="00785C3D"/>
    <w:rsid w:val="00785F5C"/>
    <w:rsid w:val="0078644A"/>
    <w:rsid w:val="007869FC"/>
    <w:rsid w:val="00786B12"/>
    <w:rsid w:val="00786BC9"/>
    <w:rsid w:val="00786F6C"/>
    <w:rsid w:val="00787080"/>
    <w:rsid w:val="007871F3"/>
    <w:rsid w:val="00787F0E"/>
    <w:rsid w:val="00790090"/>
    <w:rsid w:val="00790485"/>
    <w:rsid w:val="00790B18"/>
    <w:rsid w:val="00790C15"/>
    <w:rsid w:val="00790CF7"/>
    <w:rsid w:val="00790F8C"/>
    <w:rsid w:val="00791102"/>
    <w:rsid w:val="007912C2"/>
    <w:rsid w:val="00791C46"/>
    <w:rsid w:val="00791C8C"/>
    <w:rsid w:val="007922DE"/>
    <w:rsid w:val="0079254B"/>
    <w:rsid w:val="00792CA5"/>
    <w:rsid w:val="00793048"/>
    <w:rsid w:val="0079383B"/>
    <w:rsid w:val="00793BC7"/>
    <w:rsid w:val="00793F89"/>
    <w:rsid w:val="007943E7"/>
    <w:rsid w:val="00794427"/>
    <w:rsid w:val="007945AC"/>
    <w:rsid w:val="00794656"/>
    <w:rsid w:val="007948E8"/>
    <w:rsid w:val="00794928"/>
    <w:rsid w:val="00794A53"/>
    <w:rsid w:val="0079511F"/>
    <w:rsid w:val="0079518D"/>
    <w:rsid w:val="0079541D"/>
    <w:rsid w:val="00795673"/>
    <w:rsid w:val="007959D2"/>
    <w:rsid w:val="00795DA5"/>
    <w:rsid w:val="00796027"/>
    <w:rsid w:val="00796233"/>
    <w:rsid w:val="00796449"/>
    <w:rsid w:val="00796F83"/>
    <w:rsid w:val="00797AA9"/>
    <w:rsid w:val="007A015E"/>
    <w:rsid w:val="007A038E"/>
    <w:rsid w:val="007A0730"/>
    <w:rsid w:val="007A08AF"/>
    <w:rsid w:val="007A1106"/>
    <w:rsid w:val="007A1414"/>
    <w:rsid w:val="007A1A61"/>
    <w:rsid w:val="007A21BD"/>
    <w:rsid w:val="007A238C"/>
    <w:rsid w:val="007A27F2"/>
    <w:rsid w:val="007A2B0B"/>
    <w:rsid w:val="007A2DE6"/>
    <w:rsid w:val="007A2F37"/>
    <w:rsid w:val="007A2F6D"/>
    <w:rsid w:val="007A49EA"/>
    <w:rsid w:val="007A4DC4"/>
    <w:rsid w:val="007A5037"/>
    <w:rsid w:val="007A5428"/>
    <w:rsid w:val="007A5761"/>
    <w:rsid w:val="007A5EAD"/>
    <w:rsid w:val="007A62C2"/>
    <w:rsid w:val="007A62EF"/>
    <w:rsid w:val="007A7609"/>
    <w:rsid w:val="007A784B"/>
    <w:rsid w:val="007B0072"/>
    <w:rsid w:val="007B05DF"/>
    <w:rsid w:val="007B0804"/>
    <w:rsid w:val="007B09A7"/>
    <w:rsid w:val="007B0EA2"/>
    <w:rsid w:val="007B1FBF"/>
    <w:rsid w:val="007B20CF"/>
    <w:rsid w:val="007B2708"/>
    <w:rsid w:val="007B3683"/>
    <w:rsid w:val="007B3B2C"/>
    <w:rsid w:val="007B3D41"/>
    <w:rsid w:val="007B4455"/>
    <w:rsid w:val="007B4659"/>
    <w:rsid w:val="007B4D87"/>
    <w:rsid w:val="007B4DAE"/>
    <w:rsid w:val="007B69B1"/>
    <w:rsid w:val="007B75EC"/>
    <w:rsid w:val="007B7689"/>
    <w:rsid w:val="007B7870"/>
    <w:rsid w:val="007C0239"/>
    <w:rsid w:val="007C051B"/>
    <w:rsid w:val="007C068A"/>
    <w:rsid w:val="007C0693"/>
    <w:rsid w:val="007C1734"/>
    <w:rsid w:val="007C239D"/>
    <w:rsid w:val="007C2C98"/>
    <w:rsid w:val="007C3061"/>
    <w:rsid w:val="007C3172"/>
    <w:rsid w:val="007C3422"/>
    <w:rsid w:val="007C4164"/>
    <w:rsid w:val="007C4229"/>
    <w:rsid w:val="007C474B"/>
    <w:rsid w:val="007C530A"/>
    <w:rsid w:val="007C5E8A"/>
    <w:rsid w:val="007C6069"/>
    <w:rsid w:val="007C611C"/>
    <w:rsid w:val="007C62CC"/>
    <w:rsid w:val="007C6309"/>
    <w:rsid w:val="007C780E"/>
    <w:rsid w:val="007C7D5B"/>
    <w:rsid w:val="007D0856"/>
    <w:rsid w:val="007D0CF1"/>
    <w:rsid w:val="007D16EE"/>
    <w:rsid w:val="007D1CF7"/>
    <w:rsid w:val="007D2168"/>
    <w:rsid w:val="007D27C3"/>
    <w:rsid w:val="007D29D2"/>
    <w:rsid w:val="007D2D48"/>
    <w:rsid w:val="007D2E4F"/>
    <w:rsid w:val="007D3601"/>
    <w:rsid w:val="007D3668"/>
    <w:rsid w:val="007D393D"/>
    <w:rsid w:val="007D3F57"/>
    <w:rsid w:val="007D41F7"/>
    <w:rsid w:val="007D43F7"/>
    <w:rsid w:val="007D4A6C"/>
    <w:rsid w:val="007D4D7E"/>
    <w:rsid w:val="007D5768"/>
    <w:rsid w:val="007D633E"/>
    <w:rsid w:val="007D6994"/>
    <w:rsid w:val="007D797A"/>
    <w:rsid w:val="007D7A15"/>
    <w:rsid w:val="007E04AF"/>
    <w:rsid w:val="007E0B48"/>
    <w:rsid w:val="007E0CAA"/>
    <w:rsid w:val="007E1E45"/>
    <w:rsid w:val="007E1EB9"/>
    <w:rsid w:val="007E1EBC"/>
    <w:rsid w:val="007E2274"/>
    <w:rsid w:val="007E26E3"/>
    <w:rsid w:val="007E340B"/>
    <w:rsid w:val="007E387A"/>
    <w:rsid w:val="007E3C59"/>
    <w:rsid w:val="007E4436"/>
    <w:rsid w:val="007E4AD4"/>
    <w:rsid w:val="007E4D87"/>
    <w:rsid w:val="007E5258"/>
    <w:rsid w:val="007E5644"/>
    <w:rsid w:val="007E5A36"/>
    <w:rsid w:val="007E5CDE"/>
    <w:rsid w:val="007E6327"/>
    <w:rsid w:val="007E6371"/>
    <w:rsid w:val="007E649D"/>
    <w:rsid w:val="007E65CB"/>
    <w:rsid w:val="007E6860"/>
    <w:rsid w:val="007E6888"/>
    <w:rsid w:val="007E68A7"/>
    <w:rsid w:val="007E6FB6"/>
    <w:rsid w:val="007E78A5"/>
    <w:rsid w:val="007E7AA8"/>
    <w:rsid w:val="007E7ACB"/>
    <w:rsid w:val="007F0B45"/>
    <w:rsid w:val="007F0EC5"/>
    <w:rsid w:val="007F14C8"/>
    <w:rsid w:val="007F164D"/>
    <w:rsid w:val="007F1EB7"/>
    <w:rsid w:val="007F281E"/>
    <w:rsid w:val="007F2865"/>
    <w:rsid w:val="007F2C03"/>
    <w:rsid w:val="007F357C"/>
    <w:rsid w:val="007F3EB9"/>
    <w:rsid w:val="007F4329"/>
    <w:rsid w:val="007F442D"/>
    <w:rsid w:val="007F4442"/>
    <w:rsid w:val="007F44E3"/>
    <w:rsid w:val="007F4B20"/>
    <w:rsid w:val="007F4E3F"/>
    <w:rsid w:val="007F568D"/>
    <w:rsid w:val="007F5691"/>
    <w:rsid w:val="007F570B"/>
    <w:rsid w:val="007F5AD5"/>
    <w:rsid w:val="007F65AD"/>
    <w:rsid w:val="007F66E4"/>
    <w:rsid w:val="007F697D"/>
    <w:rsid w:val="007F6A53"/>
    <w:rsid w:val="007F7461"/>
    <w:rsid w:val="007F76C3"/>
    <w:rsid w:val="007F77C7"/>
    <w:rsid w:val="007F7885"/>
    <w:rsid w:val="007F7A81"/>
    <w:rsid w:val="008002E8"/>
    <w:rsid w:val="008002EE"/>
    <w:rsid w:val="0080038F"/>
    <w:rsid w:val="0080039F"/>
    <w:rsid w:val="00800567"/>
    <w:rsid w:val="008017E1"/>
    <w:rsid w:val="00801A07"/>
    <w:rsid w:val="00801A75"/>
    <w:rsid w:val="00801BB7"/>
    <w:rsid w:val="00802244"/>
    <w:rsid w:val="00802486"/>
    <w:rsid w:val="008026CA"/>
    <w:rsid w:val="008027FB"/>
    <w:rsid w:val="00802CC2"/>
    <w:rsid w:val="008033A2"/>
    <w:rsid w:val="00803C41"/>
    <w:rsid w:val="00803D98"/>
    <w:rsid w:val="008054CE"/>
    <w:rsid w:val="00805572"/>
    <w:rsid w:val="00805E49"/>
    <w:rsid w:val="0080610F"/>
    <w:rsid w:val="00806424"/>
    <w:rsid w:val="00806AFA"/>
    <w:rsid w:val="00806B90"/>
    <w:rsid w:val="00806DCE"/>
    <w:rsid w:val="0080731E"/>
    <w:rsid w:val="008074EC"/>
    <w:rsid w:val="0080768A"/>
    <w:rsid w:val="0080791A"/>
    <w:rsid w:val="0080792F"/>
    <w:rsid w:val="00810090"/>
    <w:rsid w:val="008102CE"/>
    <w:rsid w:val="008109DB"/>
    <w:rsid w:val="008112E6"/>
    <w:rsid w:val="008113D4"/>
    <w:rsid w:val="00811E21"/>
    <w:rsid w:val="00812298"/>
    <w:rsid w:val="008125F3"/>
    <w:rsid w:val="0081300E"/>
    <w:rsid w:val="008134F4"/>
    <w:rsid w:val="008134F8"/>
    <w:rsid w:val="008135DD"/>
    <w:rsid w:val="00813EF0"/>
    <w:rsid w:val="008140CF"/>
    <w:rsid w:val="00814385"/>
    <w:rsid w:val="008145A8"/>
    <w:rsid w:val="008145B1"/>
    <w:rsid w:val="008148A2"/>
    <w:rsid w:val="00815B8C"/>
    <w:rsid w:val="00815CC4"/>
    <w:rsid w:val="00815EDD"/>
    <w:rsid w:val="008168B7"/>
    <w:rsid w:val="008168DC"/>
    <w:rsid w:val="00816A3B"/>
    <w:rsid w:val="00816C9A"/>
    <w:rsid w:val="00816D5F"/>
    <w:rsid w:val="00816E05"/>
    <w:rsid w:val="00816F26"/>
    <w:rsid w:val="008174BE"/>
    <w:rsid w:val="00817A1C"/>
    <w:rsid w:val="00817A5E"/>
    <w:rsid w:val="00817B94"/>
    <w:rsid w:val="008208EA"/>
    <w:rsid w:val="00820B45"/>
    <w:rsid w:val="0082100E"/>
    <w:rsid w:val="00821B53"/>
    <w:rsid w:val="00822199"/>
    <w:rsid w:val="008226A9"/>
    <w:rsid w:val="00822727"/>
    <w:rsid w:val="00822AED"/>
    <w:rsid w:val="00823067"/>
    <w:rsid w:val="00823274"/>
    <w:rsid w:val="00823490"/>
    <w:rsid w:val="00823566"/>
    <w:rsid w:val="0082370B"/>
    <w:rsid w:val="00823A12"/>
    <w:rsid w:val="0082464B"/>
    <w:rsid w:val="008247D5"/>
    <w:rsid w:val="008247F1"/>
    <w:rsid w:val="00824A49"/>
    <w:rsid w:val="00824C97"/>
    <w:rsid w:val="00825B13"/>
    <w:rsid w:val="00825C27"/>
    <w:rsid w:val="00825DF7"/>
    <w:rsid w:val="00826253"/>
    <w:rsid w:val="0082627B"/>
    <w:rsid w:val="00826856"/>
    <w:rsid w:val="008268B8"/>
    <w:rsid w:val="00826C5E"/>
    <w:rsid w:val="00826E19"/>
    <w:rsid w:val="00827475"/>
    <w:rsid w:val="008277D9"/>
    <w:rsid w:val="0082788F"/>
    <w:rsid w:val="00827907"/>
    <w:rsid w:val="008300E5"/>
    <w:rsid w:val="00830497"/>
    <w:rsid w:val="00830C3E"/>
    <w:rsid w:val="008314DD"/>
    <w:rsid w:val="0083151A"/>
    <w:rsid w:val="008315B7"/>
    <w:rsid w:val="00831F45"/>
    <w:rsid w:val="00832192"/>
    <w:rsid w:val="0083291E"/>
    <w:rsid w:val="00832E9B"/>
    <w:rsid w:val="00833D0F"/>
    <w:rsid w:val="00833DD5"/>
    <w:rsid w:val="00834145"/>
    <w:rsid w:val="008341A0"/>
    <w:rsid w:val="008347FA"/>
    <w:rsid w:val="0083574E"/>
    <w:rsid w:val="0083595F"/>
    <w:rsid w:val="008359B8"/>
    <w:rsid w:val="00835A08"/>
    <w:rsid w:val="00835A0B"/>
    <w:rsid w:val="00836049"/>
    <w:rsid w:val="00836171"/>
    <w:rsid w:val="008362B7"/>
    <w:rsid w:val="008366D6"/>
    <w:rsid w:val="00836722"/>
    <w:rsid w:val="00836873"/>
    <w:rsid w:val="00836949"/>
    <w:rsid w:val="008369BA"/>
    <w:rsid w:val="00836C2D"/>
    <w:rsid w:val="00836D98"/>
    <w:rsid w:val="00837268"/>
    <w:rsid w:val="008374EC"/>
    <w:rsid w:val="00837E89"/>
    <w:rsid w:val="0084013D"/>
    <w:rsid w:val="00840694"/>
    <w:rsid w:val="00840B2B"/>
    <w:rsid w:val="00840C91"/>
    <w:rsid w:val="008411CB"/>
    <w:rsid w:val="008415F4"/>
    <w:rsid w:val="00841750"/>
    <w:rsid w:val="00841E52"/>
    <w:rsid w:val="00842046"/>
    <w:rsid w:val="00842121"/>
    <w:rsid w:val="008422B7"/>
    <w:rsid w:val="00842927"/>
    <w:rsid w:val="00842F0A"/>
    <w:rsid w:val="0084308F"/>
    <w:rsid w:val="008431B8"/>
    <w:rsid w:val="0084320C"/>
    <w:rsid w:val="008434E7"/>
    <w:rsid w:val="00843C18"/>
    <w:rsid w:val="0084401C"/>
    <w:rsid w:val="00844EFA"/>
    <w:rsid w:val="0084510D"/>
    <w:rsid w:val="00845CC9"/>
    <w:rsid w:val="008463DC"/>
    <w:rsid w:val="00846AB3"/>
    <w:rsid w:val="00846C2A"/>
    <w:rsid w:val="00846F7D"/>
    <w:rsid w:val="008473DB"/>
    <w:rsid w:val="008477A6"/>
    <w:rsid w:val="00847A77"/>
    <w:rsid w:val="00847C52"/>
    <w:rsid w:val="00847E20"/>
    <w:rsid w:val="00850170"/>
    <w:rsid w:val="008502FC"/>
    <w:rsid w:val="008504F3"/>
    <w:rsid w:val="00850A04"/>
    <w:rsid w:val="00850A2F"/>
    <w:rsid w:val="00850AA1"/>
    <w:rsid w:val="00850CA2"/>
    <w:rsid w:val="00850E38"/>
    <w:rsid w:val="00851354"/>
    <w:rsid w:val="0085180F"/>
    <w:rsid w:val="008526B2"/>
    <w:rsid w:val="00852FF4"/>
    <w:rsid w:val="008530F2"/>
    <w:rsid w:val="0085346F"/>
    <w:rsid w:val="00853745"/>
    <w:rsid w:val="0085430F"/>
    <w:rsid w:val="00854762"/>
    <w:rsid w:val="008547D1"/>
    <w:rsid w:val="00854D13"/>
    <w:rsid w:val="008556D9"/>
    <w:rsid w:val="00855A31"/>
    <w:rsid w:val="00855C16"/>
    <w:rsid w:val="00855EDD"/>
    <w:rsid w:val="00856132"/>
    <w:rsid w:val="008562F1"/>
    <w:rsid w:val="0085654D"/>
    <w:rsid w:val="00856642"/>
    <w:rsid w:val="0085697E"/>
    <w:rsid w:val="0085772D"/>
    <w:rsid w:val="00857E37"/>
    <w:rsid w:val="008600B1"/>
    <w:rsid w:val="00860270"/>
    <w:rsid w:val="008609CC"/>
    <w:rsid w:val="00861028"/>
    <w:rsid w:val="0086153E"/>
    <w:rsid w:val="00861621"/>
    <w:rsid w:val="0086210D"/>
    <w:rsid w:val="0086223A"/>
    <w:rsid w:val="00862249"/>
    <w:rsid w:val="00862559"/>
    <w:rsid w:val="00862AFD"/>
    <w:rsid w:val="008631D4"/>
    <w:rsid w:val="008636F9"/>
    <w:rsid w:val="00863970"/>
    <w:rsid w:val="00863A79"/>
    <w:rsid w:val="00863D50"/>
    <w:rsid w:val="0086412E"/>
    <w:rsid w:val="008643BF"/>
    <w:rsid w:val="0086448C"/>
    <w:rsid w:val="00864593"/>
    <w:rsid w:val="008649A4"/>
    <w:rsid w:val="00864A5B"/>
    <w:rsid w:val="00864CA6"/>
    <w:rsid w:val="00864D59"/>
    <w:rsid w:val="0086500A"/>
    <w:rsid w:val="008653E4"/>
    <w:rsid w:val="008654EC"/>
    <w:rsid w:val="008655AF"/>
    <w:rsid w:val="008655F2"/>
    <w:rsid w:val="00865802"/>
    <w:rsid w:val="00865AE5"/>
    <w:rsid w:val="00865F8B"/>
    <w:rsid w:val="0086619E"/>
    <w:rsid w:val="00866241"/>
    <w:rsid w:val="00866BDE"/>
    <w:rsid w:val="00867117"/>
    <w:rsid w:val="0086764F"/>
    <w:rsid w:val="00867792"/>
    <w:rsid w:val="008679F3"/>
    <w:rsid w:val="00867FC5"/>
    <w:rsid w:val="0087003F"/>
    <w:rsid w:val="00870434"/>
    <w:rsid w:val="00870624"/>
    <w:rsid w:val="0087073A"/>
    <w:rsid w:val="00870744"/>
    <w:rsid w:val="00871CBC"/>
    <w:rsid w:val="00871FFE"/>
    <w:rsid w:val="00872040"/>
    <w:rsid w:val="00872601"/>
    <w:rsid w:val="0087276F"/>
    <w:rsid w:val="00872E55"/>
    <w:rsid w:val="008733F0"/>
    <w:rsid w:val="00873513"/>
    <w:rsid w:val="00874228"/>
    <w:rsid w:val="008747E4"/>
    <w:rsid w:val="0087481F"/>
    <w:rsid w:val="00874DF3"/>
    <w:rsid w:val="008750DE"/>
    <w:rsid w:val="00875239"/>
    <w:rsid w:val="00875D27"/>
    <w:rsid w:val="008761C4"/>
    <w:rsid w:val="00876360"/>
    <w:rsid w:val="0087690A"/>
    <w:rsid w:val="00876C6D"/>
    <w:rsid w:val="00876CB3"/>
    <w:rsid w:val="008770B1"/>
    <w:rsid w:val="00877427"/>
    <w:rsid w:val="0087747E"/>
    <w:rsid w:val="00877881"/>
    <w:rsid w:val="00877D91"/>
    <w:rsid w:val="00877F3E"/>
    <w:rsid w:val="00880250"/>
    <w:rsid w:val="00880D1C"/>
    <w:rsid w:val="00881054"/>
    <w:rsid w:val="00881491"/>
    <w:rsid w:val="008816C4"/>
    <w:rsid w:val="008820B7"/>
    <w:rsid w:val="00883011"/>
    <w:rsid w:val="0088314C"/>
    <w:rsid w:val="00883A57"/>
    <w:rsid w:val="00883F9B"/>
    <w:rsid w:val="0088400B"/>
    <w:rsid w:val="00884767"/>
    <w:rsid w:val="00884836"/>
    <w:rsid w:val="0088484F"/>
    <w:rsid w:val="008848F0"/>
    <w:rsid w:val="00884980"/>
    <w:rsid w:val="00884E09"/>
    <w:rsid w:val="008851B3"/>
    <w:rsid w:val="00885251"/>
    <w:rsid w:val="0088588B"/>
    <w:rsid w:val="00885A59"/>
    <w:rsid w:val="00885A8A"/>
    <w:rsid w:val="00885BAE"/>
    <w:rsid w:val="0088675F"/>
    <w:rsid w:val="00886934"/>
    <w:rsid w:val="00886E5F"/>
    <w:rsid w:val="00886F9F"/>
    <w:rsid w:val="00887047"/>
    <w:rsid w:val="008873D7"/>
    <w:rsid w:val="008873F4"/>
    <w:rsid w:val="0088782F"/>
    <w:rsid w:val="008879D7"/>
    <w:rsid w:val="00887DC2"/>
    <w:rsid w:val="00887DC7"/>
    <w:rsid w:val="00890468"/>
    <w:rsid w:val="008905B6"/>
    <w:rsid w:val="00890BFC"/>
    <w:rsid w:val="00891033"/>
    <w:rsid w:val="00891781"/>
    <w:rsid w:val="00892574"/>
    <w:rsid w:val="00892651"/>
    <w:rsid w:val="0089291A"/>
    <w:rsid w:val="00892C77"/>
    <w:rsid w:val="0089339C"/>
    <w:rsid w:val="00893413"/>
    <w:rsid w:val="00893520"/>
    <w:rsid w:val="0089368B"/>
    <w:rsid w:val="008943E5"/>
    <w:rsid w:val="00894450"/>
    <w:rsid w:val="0089460B"/>
    <w:rsid w:val="0089485A"/>
    <w:rsid w:val="00894CE5"/>
    <w:rsid w:val="00895221"/>
    <w:rsid w:val="008974F7"/>
    <w:rsid w:val="00897642"/>
    <w:rsid w:val="00897780"/>
    <w:rsid w:val="008A0458"/>
    <w:rsid w:val="008A065C"/>
    <w:rsid w:val="008A06BD"/>
    <w:rsid w:val="008A1089"/>
    <w:rsid w:val="008A2888"/>
    <w:rsid w:val="008A29BD"/>
    <w:rsid w:val="008A2CA9"/>
    <w:rsid w:val="008A337A"/>
    <w:rsid w:val="008A38E4"/>
    <w:rsid w:val="008A38F9"/>
    <w:rsid w:val="008A4516"/>
    <w:rsid w:val="008A53C1"/>
    <w:rsid w:val="008A5979"/>
    <w:rsid w:val="008A5AA0"/>
    <w:rsid w:val="008A5AB7"/>
    <w:rsid w:val="008A5FB6"/>
    <w:rsid w:val="008A60EC"/>
    <w:rsid w:val="008A6BA7"/>
    <w:rsid w:val="008A6C66"/>
    <w:rsid w:val="008A6CEC"/>
    <w:rsid w:val="008A72AE"/>
    <w:rsid w:val="008A7F71"/>
    <w:rsid w:val="008B0337"/>
    <w:rsid w:val="008B0628"/>
    <w:rsid w:val="008B0889"/>
    <w:rsid w:val="008B0AC7"/>
    <w:rsid w:val="008B117C"/>
    <w:rsid w:val="008B1AE2"/>
    <w:rsid w:val="008B21D8"/>
    <w:rsid w:val="008B2311"/>
    <w:rsid w:val="008B2A6D"/>
    <w:rsid w:val="008B3107"/>
    <w:rsid w:val="008B3DDC"/>
    <w:rsid w:val="008B3E8A"/>
    <w:rsid w:val="008B48B9"/>
    <w:rsid w:val="008B48E1"/>
    <w:rsid w:val="008B4F96"/>
    <w:rsid w:val="008B543F"/>
    <w:rsid w:val="008B5C4C"/>
    <w:rsid w:val="008B6135"/>
    <w:rsid w:val="008B69BF"/>
    <w:rsid w:val="008B6B0A"/>
    <w:rsid w:val="008B6B31"/>
    <w:rsid w:val="008B6FA6"/>
    <w:rsid w:val="008B74AE"/>
    <w:rsid w:val="008B7630"/>
    <w:rsid w:val="008B79D5"/>
    <w:rsid w:val="008C019F"/>
    <w:rsid w:val="008C0C05"/>
    <w:rsid w:val="008C1233"/>
    <w:rsid w:val="008C1CB8"/>
    <w:rsid w:val="008C1EC6"/>
    <w:rsid w:val="008C2F82"/>
    <w:rsid w:val="008C3275"/>
    <w:rsid w:val="008C33D6"/>
    <w:rsid w:val="008C4165"/>
    <w:rsid w:val="008C4195"/>
    <w:rsid w:val="008C4A21"/>
    <w:rsid w:val="008C4DED"/>
    <w:rsid w:val="008C5011"/>
    <w:rsid w:val="008C56BB"/>
    <w:rsid w:val="008C598E"/>
    <w:rsid w:val="008C61A0"/>
    <w:rsid w:val="008C6211"/>
    <w:rsid w:val="008C6470"/>
    <w:rsid w:val="008C6950"/>
    <w:rsid w:val="008C6AD9"/>
    <w:rsid w:val="008C6BEB"/>
    <w:rsid w:val="008C6D80"/>
    <w:rsid w:val="008C6F89"/>
    <w:rsid w:val="008C7043"/>
    <w:rsid w:val="008C73A0"/>
    <w:rsid w:val="008C73B7"/>
    <w:rsid w:val="008C7644"/>
    <w:rsid w:val="008C77B0"/>
    <w:rsid w:val="008C7B77"/>
    <w:rsid w:val="008D0DB0"/>
    <w:rsid w:val="008D0EA7"/>
    <w:rsid w:val="008D10C5"/>
    <w:rsid w:val="008D1108"/>
    <w:rsid w:val="008D14E8"/>
    <w:rsid w:val="008D19B4"/>
    <w:rsid w:val="008D1EDC"/>
    <w:rsid w:val="008D20FD"/>
    <w:rsid w:val="008D2176"/>
    <w:rsid w:val="008D24E4"/>
    <w:rsid w:val="008D275B"/>
    <w:rsid w:val="008D2ABC"/>
    <w:rsid w:val="008D4617"/>
    <w:rsid w:val="008D4619"/>
    <w:rsid w:val="008D469F"/>
    <w:rsid w:val="008D4C58"/>
    <w:rsid w:val="008D51C8"/>
    <w:rsid w:val="008D521B"/>
    <w:rsid w:val="008D5C4D"/>
    <w:rsid w:val="008D5FA0"/>
    <w:rsid w:val="008D6104"/>
    <w:rsid w:val="008D66E4"/>
    <w:rsid w:val="008D6850"/>
    <w:rsid w:val="008D695B"/>
    <w:rsid w:val="008D7313"/>
    <w:rsid w:val="008D7493"/>
    <w:rsid w:val="008E03EB"/>
    <w:rsid w:val="008E0454"/>
    <w:rsid w:val="008E063A"/>
    <w:rsid w:val="008E0786"/>
    <w:rsid w:val="008E0FFF"/>
    <w:rsid w:val="008E1557"/>
    <w:rsid w:val="008E16B4"/>
    <w:rsid w:val="008E1A13"/>
    <w:rsid w:val="008E1EF6"/>
    <w:rsid w:val="008E21D5"/>
    <w:rsid w:val="008E24ED"/>
    <w:rsid w:val="008E2629"/>
    <w:rsid w:val="008E2E46"/>
    <w:rsid w:val="008E2EB2"/>
    <w:rsid w:val="008E2ED6"/>
    <w:rsid w:val="008E3867"/>
    <w:rsid w:val="008E3A6B"/>
    <w:rsid w:val="008E3B37"/>
    <w:rsid w:val="008E413B"/>
    <w:rsid w:val="008E4834"/>
    <w:rsid w:val="008E4851"/>
    <w:rsid w:val="008E4B67"/>
    <w:rsid w:val="008E5168"/>
    <w:rsid w:val="008E52ED"/>
    <w:rsid w:val="008E5AC6"/>
    <w:rsid w:val="008E5F41"/>
    <w:rsid w:val="008E620D"/>
    <w:rsid w:val="008E68F3"/>
    <w:rsid w:val="008E6D40"/>
    <w:rsid w:val="008E78E2"/>
    <w:rsid w:val="008F057E"/>
    <w:rsid w:val="008F0636"/>
    <w:rsid w:val="008F1004"/>
    <w:rsid w:val="008F1279"/>
    <w:rsid w:val="008F1CE7"/>
    <w:rsid w:val="008F2233"/>
    <w:rsid w:val="008F2DFE"/>
    <w:rsid w:val="008F2E5E"/>
    <w:rsid w:val="008F3108"/>
    <w:rsid w:val="008F33BF"/>
    <w:rsid w:val="008F34DE"/>
    <w:rsid w:val="008F37C0"/>
    <w:rsid w:val="008F3B41"/>
    <w:rsid w:val="008F3B8E"/>
    <w:rsid w:val="008F44B2"/>
    <w:rsid w:val="008F460E"/>
    <w:rsid w:val="008F4801"/>
    <w:rsid w:val="008F52F1"/>
    <w:rsid w:val="008F5C0D"/>
    <w:rsid w:val="008F5C79"/>
    <w:rsid w:val="008F5DC8"/>
    <w:rsid w:val="008F5DD3"/>
    <w:rsid w:val="008F6118"/>
    <w:rsid w:val="008F61B3"/>
    <w:rsid w:val="008F6446"/>
    <w:rsid w:val="008F6D18"/>
    <w:rsid w:val="008F6D7D"/>
    <w:rsid w:val="008F74A5"/>
    <w:rsid w:val="008F784D"/>
    <w:rsid w:val="009004EC"/>
    <w:rsid w:val="0090055E"/>
    <w:rsid w:val="00900971"/>
    <w:rsid w:val="00900F9A"/>
    <w:rsid w:val="00900FFF"/>
    <w:rsid w:val="0090106C"/>
    <w:rsid w:val="0090113F"/>
    <w:rsid w:val="00901252"/>
    <w:rsid w:val="009018C1"/>
    <w:rsid w:val="00901B21"/>
    <w:rsid w:val="00901BD6"/>
    <w:rsid w:val="00902479"/>
    <w:rsid w:val="00902709"/>
    <w:rsid w:val="00902E09"/>
    <w:rsid w:val="0090345E"/>
    <w:rsid w:val="0090386E"/>
    <w:rsid w:val="00903A91"/>
    <w:rsid w:val="00903EF4"/>
    <w:rsid w:val="009049A5"/>
    <w:rsid w:val="00904E0A"/>
    <w:rsid w:val="00905094"/>
    <w:rsid w:val="00905641"/>
    <w:rsid w:val="00905F5D"/>
    <w:rsid w:val="0090640E"/>
    <w:rsid w:val="00906871"/>
    <w:rsid w:val="00906B7E"/>
    <w:rsid w:val="00906CB7"/>
    <w:rsid w:val="009078FF"/>
    <w:rsid w:val="00910287"/>
    <w:rsid w:val="009103CF"/>
    <w:rsid w:val="00910D47"/>
    <w:rsid w:val="00910E22"/>
    <w:rsid w:val="009113DA"/>
    <w:rsid w:val="009115F1"/>
    <w:rsid w:val="00911636"/>
    <w:rsid w:val="009118A6"/>
    <w:rsid w:val="00911B1A"/>
    <w:rsid w:val="00911C88"/>
    <w:rsid w:val="00912002"/>
    <w:rsid w:val="009121AB"/>
    <w:rsid w:val="00912AF0"/>
    <w:rsid w:val="00912D35"/>
    <w:rsid w:val="009130A1"/>
    <w:rsid w:val="009132D3"/>
    <w:rsid w:val="00913A2B"/>
    <w:rsid w:val="00913E4A"/>
    <w:rsid w:val="00914167"/>
    <w:rsid w:val="009143B9"/>
    <w:rsid w:val="00914902"/>
    <w:rsid w:val="00914D6C"/>
    <w:rsid w:val="00915154"/>
    <w:rsid w:val="0091561F"/>
    <w:rsid w:val="00915827"/>
    <w:rsid w:val="009161FE"/>
    <w:rsid w:val="00916580"/>
    <w:rsid w:val="009165E8"/>
    <w:rsid w:val="009167F6"/>
    <w:rsid w:val="0091692B"/>
    <w:rsid w:val="00916A7D"/>
    <w:rsid w:val="009170F5"/>
    <w:rsid w:val="0091753C"/>
    <w:rsid w:val="00917C0F"/>
    <w:rsid w:val="00920006"/>
    <w:rsid w:val="009206B1"/>
    <w:rsid w:val="009207FA"/>
    <w:rsid w:val="00921007"/>
    <w:rsid w:val="0092197D"/>
    <w:rsid w:val="00921C57"/>
    <w:rsid w:val="00922358"/>
    <w:rsid w:val="0092254A"/>
    <w:rsid w:val="009229DB"/>
    <w:rsid w:val="00922BC3"/>
    <w:rsid w:val="00924226"/>
    <w:rsid w:val="00924566"/>
    <w:rsid w:val="00924F50"/>
    <w:rsid w:val="00924FD0"/>
    <w:rsid w:val="00925020"/>
    <w:rsid w:val="00925330"/>
    <w:rsid w:val="0092545A"/>
    <w:rsid w:val="0092598E"/>
    <w:rsid w:val="00925CD8"/>
    <w:rsid w:val="00925F4B"/>
    <w:rsid w:val="00926638"/>
    <w:rsid w:val="00926E56"/>
    <w:rsid w:val="00927705"/>
    <w:rsid w:val="00927BA4"/>
    <w:rsid w:val="00927BF8"/>
    <w:rsid w:val="00930A45"/>
    <w:rsid w:val="00930DAB"/>
    <w:rsid w:val="0093126B"/>
    <w:rsid w:val="00932DEA"/>
    <w:rsid w:val="00932FFA"/>
    <w:rsid w:val="00933AEF"/>
    <w:rsid w:val="00933C0D"/>
    <w:rsid w:val="00934219"/>
    <w:rsid w:val="0093498F"/>
    <w:rsid w:val="00934C30"/>
    <w:rsid w:val="00935B20"/>
    <w:rsid w:val="00935B5A"/>
    <w:rsid w:val="009364D0"/>
    <w:rsid w:val="00936893"/>
    <w:rsid w:val="009369D1"/>
    <w:rsid w:val="00936BE5"/>
    <w:rsid w:val="009370D2"/>
    <w:rsid w:val="009372AA"/>
    <w:rsid w:val="009374C3"/>
    <w:rsid w:val="00937680"/>
    <w:rsid w:val="0093775F"/>
    <w:rsid w:val="009377AA"/>
    <w:rsid w:val="009377EC"/>
    <w:rsid w:val="009378ED"/>
    <w:rsid w:val="00937B4B"/>
    <w:rsid w:val="00937C25"/>
    <w:rsid w:val="00937D01"/>
    <w:rsid w:val="00937E9D"/>
    <w:rsid w:val="00940669"/>
    <w:rsid w:val="00940A0F"/>
    <w:rsid w:val="00940C93"/>
    <w:rsid w:val="009410F2"/>
    <w:rsid w:val="00941121"/>
    <w:rsid w:val="0094112C"/>
    <w:rsid w:val="009416A8"/>
    <w:rsid w:val="00941860"/>
    <w:rsid w:val="00941FA4"/>
    <w:rsid w:val="0094315C"/>
    <w:rsid w:val="009433ED"/>
    <w:rsid w:val="009434E9"/>
    <w:rsid w:val="00943604"/>
    <w:rsid w:val="00943820"/>
    <w:rsid w:val="0094386F"/>
    <w:rsid w:val="009443B1"/>
    <w:rsid w:val="00944989"/>
    <w:rsid w:val="00944AE5"/>
    <w:rsid w:val="00944D09"/>
    <w:rsid w:val="00945495"/>
    <w:rsid w:val="00945CAF"/>
    <w:rsid w:val="00945F78"/>
    <w:rsid w:val="00946335"/>
    <w:rsid w:val="00946998"/>
    <w:rsid w:val="0094781D"/>
    <w:rsid w:val="0094787C"/>
    <w:rsid w:val="00947A2B"/>
    <w:rsid w:val="00947FAF"/>
    <w:rsid w:val="009503EC"/>
    <w:rsid w:val="009503F5"/>
    <w:rsid w:val="00950AB3"/>
    <w:rsid w:val="00950F44"/>
    <w:rsid w:val="009511CF"/>
    <w:rsid w:val="00951A58"/>
    <w:rsid w:val="00951C9F"/>
    <w:rsid w:val="00951D1B"/>
    <w:rsid w:val="00951F47"/>
    <w:rsid w:val="00951FB7"/>
    <w:rsid w:val="009524BC"/>
    <w:rsid w:val="0095293D"/>
    <w:rsid w:val="00952FAE"/>
    <w:rsid w:val="0095383C"/>
    <w:rsid w:val="00953877"/>
    <w:rsid w:val="00953D9A"/>
    <w:rsid w:val="00953DCE"/>
    <w:rsid w:val="00953F1B"/>
    <w:rsid w:val="00954523"/>
    <w:rsid w:val="009549E8"/>
    <w:rsid w:val="00954CC9"/>
    <w:rsid w:val="00954D64"/>
    <w:rsid w:val="00954DA9"/>
    <w:rsid w:val="00955332"/>
    <w:rsid w:val="00955C71"/>
    <w:rsid w:val="00956CB0"/>
    <w:rsid w:val="00956DFC"/>
    <w:rsid w:val="00956F19"/>
    <w:rsid w:val="00957142"/>
    <w:rsid w:val="0095722F"/>
    <w:rsid w:val="00957354"/>
    <w:rsid w:val="00957781"/>
    <w:rsid w:val="009578A0"/>
    <w:rsid w:val="00960468"/>
    <w:rsid w:val="009605E5"/>
    <w:rsid w:val="00960692"/>
    <w:rsid w:val="00960AEF"/>
    <w:rsid w:val="009610D3"/>
    <w:rsid w:val="00961583"/>
    <w:rsid w:val="009616E1"/>
    <w:rsid w:val="00961859"/>
    <w:rsid w:val="00961910"/>
    <w:rsid w:val="0096213D"/>
    <w:rsid w:val="009623C1"/>
    <w:rsid w:val="0096258F"/>
    <w:rsid w:val="00962CDC"/>
    <w:rsid w:val="009630AE"/>
    <w:rsid w:val="00963CEC"/>
    <w:rsid w:val="00963E29"/>
    <w:rsid w:val="00964733"/>
    <w:rsid w:val="009647E8"/>
    <w:rsid w:val="009649B8"/>
    <w:rsid w:val="00964D6A"/>
    <w:rsid w:val="009650CF"/>
    <w:rsid w:val="009653BA"/>
    <w:rsid w:val="00965E3D"/>
    <w:rsid w:val="00965EF0"/>
    <w:rsid w:val="0096634B"/>
    <w:rsid w:val="00966ED2"/>
    <w:rsid w:val="009671A8"/>
    <w:rsid w:val="009672C8"/>
    <w:rsid w:val="00967EC1"/>
    <w:rsid w:val="009701F2"/>
    <w:rsid w:val="00970E14"/>
    <w:rsid w:val="00971195"/>
    <w:rsid w:val="0097147C"/>
    <w:rsid w:val="009719A3"/>
    <w:rsid w:val="009719B6"/>
    <w:rsid w:val="009719BA"/>
    <w:rsid w:val="00971AA1"/>
    <w:rsid w:val="00971DE5"/>
    <w:rsid w:val="00971E94"/>
    <w:rsid w:val="00972A0B"/>
    <w:rsid w:val="00972D75"/>
    <w:rsid w:val="00972FB3"/>
    <w:rsid w:val="00973096"/>
    <w:rsid w:val="0097332A"/>
    <w:rsid w:val="0097332E"/>
    <w:rsid w:val="00973343"/>
    <w:rsid w:val="009736D6"/>
    <w:rsid w:val="00973AF8"/>
    <w:rsid w:val="009746AE"/>
    <w:rsid w:val="0097479E"/>
    <w:rsid w:val="00974E45"/>
    <w:rsid w:val="00975900"/>
    <w:rsid w:val="00975969"/>
    <w:rsid w:val="00975EFE"/>
    <w:rsid w:val="00975FC6"/>
    <w:rsid w:val="00976072"/>
    <w:rsid w:val="0097618B"/>
    <w:rsid w:val="0097666E"/>
    <w:rsid w:val="009770C7"/>
    <w:rsid w:val="00977690"/>
    <w:rsid w:val="00977DAE"/>
    <w:rsid w:val="00977EE7"/>
    <w:rsid w:val="009807FE"/>
    <w:rsid w:val="00980870"/>
    <w:rsid w:val="00980AE9"/>
    <w:rsid w:val="00980CF1"/>
    <w:rsid w:val="00980D4E"/>
    <w:rsid w:val="00981990"/>
    <w:rsid w:val="0098201C"/>
    <w:rsid w:val="0098228A"/>
    <w:rsid w:val="009822C0"/>
    <w:rsid w:val="0098255C"/>
    <w:rsid w:val="009826C0"/>
    <w:rsid w:val="009826F7"/>
    <w:rsid w:val="009828D4"/>
    <w:rsid w:val="00982EF3"/>
    <w:rsid w:val="009833A4"/>
    <w:rsid w:val="00983429"/>
    <w:rsid w:val="00983764"/>
    <w:rsid w:val="0098395B"/>
    <w:rsid w:val="00983D55"/>
    <w:rsid w:val="00983E2F"/>
    <w:rsid w:val="00984086"/>
    <w:rsid w:val="00984310"/>
    <w:rsid w:val="009845B0"/>
    <w:rsid w:val="00984743"/>
    <w:rsid w:val="00984BDF"/>
    <w:rsid w:val="00984E43"/>
    <w:rsid w:val="00985126"/>
    <w:rsid w:val="00985135"/>
    <w:rsid w:val="00985172"/>
    <w:rsid w:val="009856BF"/>
    <w:rsid w:val="00985BFB"/>
    <w:rsid w:val="00985F5F"/>
    <w:rsid w:val="0098675D"/>
    <w:rsid w:val="0098676D"/>
    <w:rsid w:val="00986B5C"/>
    <w:rsid w:val="009876C9"/>
    <w:rsid w:val="00987C85"/>
    <w:rsid w:val="00987DF0"/>
    <w:rsid w:val="0099062F"/>
    <w:rsid w:val="00991401"/>
    <w:rsid w:val="00991463"/>
    <w:rsid w:val="00991655"/>
    <w:rsid w:val="009921C3"/>
    <w:rsid w:val="00992504"/>
    <w:rsid w:val="009929A4"/>
    <w:rsid w:val="00992FC2"/>
    <w:rsid w:val="009932FB"/>
    <w:rsid w:val="009935C3"/>
    <w:rsid w:val="0099386D"/>
    <w:rsid w:val="0099430A"/>
    <w:rsid w:val="00994672"/>
    <w:rsid w:val="0099480C"/>
    <w:rsid w:val="009949BC"/>
    <w:rsid w:val="00994A34"/>
    <w:rsid w:val="00994EC6"/>
    <w:rsid w:val="00995260"/>
    <w:rsid w:val="009958C6"/>
    <w:rsid w:val="00995CE4"/>
    <w:rsid w:val="00996472"/>
    <w:rsid w:val="0099656E"/>
    <w:rsid w:val="00996603"/>
    <w:rsid w:val="00996B26"/>
    <w:rsid w:val="00997194"/>
    <w:rsid w:val="009978C4"/>
    <w:rsid w:val="00997B78"/>
    <w:rsid w:val="00997C1B"/>
    <w:rsid w:val="009A0416"/>
    <w:rsid w:val="009A0970"/>
    <w:rsid w:val="009A0B3A"/>
    <w:rsid w:val="009A170B"/>
    <w:rsid w:val="009A2026"/>
    <w:rsid w:val="009A248D"/>
    <w:rsid w:val="009A27F6"/>
    <w:rsid w:val="009A2C2B"/>
    <w:rsid w:val="009A2EAC"/>
    <w:rsid w:val="009A323B"/>
    <w:rsid w:val="009A373F"/>
    <w:rsid w:val="009A3EC6"/>
    <w:rsid w:val="009A40B9"/>
    <w:rsid w:val="009A4815"/>
    <w:rsid w:val="009A490F"/>
    <w:rsid w:val="009A4B57"/>
    <w:rsid w:val="009A4CC6"/>
    <w:rsid w:val="009A4E0F"/>
    <w:rsid w:val="009A4E23"/>
    <w:rsid w:val="009A5795"/>
    <w:rsid w:val="009A5CAD"/>
    <w:rsid w:val="009A6250"/>
    <w:rsid w:val="009A7594"/>
    <w:rsid w:val="009A7A3B"/>
    <w:rsid w:val="009A7C63"/>
    <w:rsid w:val="009B0AB9"/>
    <w:rsid w:val="009B0C86"/>
    <w:rsid w:val="009B0D83"/>
    <w:rsid w:val="009B1739"/>
    <w:rsid w:val="009B2448"/>
    <w:rsid w:val="009B280B"/>
    <w:rsid w:val="009B37A4"/>
    <w:rsid w:val="009B37C4"/>
    <w:rsid w:val="009B3E38"/>
    <w:rsid w:val="009B4229"/>
    <w:rsid w:val="009B42F5"/>
    <w:rsid w:val="009B4500"/>
    <w:rsid w:val="009B4807"/>
    <w:rsid w:val="009B4C54"/>
    <w:rsid w:val="009B4EB4"/>
    <w:rsid w:val="009B6048"/>
    <w:rsid w:val="009B6574"/>
    <w:rsid w:val="009B67EB"/>
    <w:rsid w:val="009B73E4"/>
    <w:rsid w:val="009C017E"/>
    <w:rsid w:val="009C0CA3"/>
    <w:rsid w:val="009C10EF"/>
    <w:rsid w:val="009C1A1A"/>
    <w:rsid w:val="009C20B8"/>
    <w:rsid w:val="009C2966"/>
    <w:rsid w:val="009C2A70"/>
    <w:rsid w:val="009C39DA"/>
    <w:rsid w:val="009C3A9E"/>
    <w:rsid w:val="009C3B69"/>
    <w:rsid w:val="009C3CAF"/>
    <w:rsid w:val="009C403A"/>
    <w:rsid w:val="009C4E41"/>
    <w:rsid w:val="009C59BA"/>
    <w:rsid w:val="009C5E12"/>
    <w:rsid w:val="009C6A28"/>
    <w:rsid w:val="009C6CE0"/>
    <w:rsid w:val="009C71F3"/>
    <w:rsid w:val="009C72A3"/>
    <w:rsid w:val="009D0BA1"/>
    <w:rsid w:val="009D0C3A"/>
    <w:rsid w:val="009D0D89"/>
    <w:rsid w:val="009D0E84"/>
    <w:rsid w:val="009D0ECE"/>
    <w:rsid w:val="009D11DC"/>
    <w:rsid w:val="009D1C42"/>
    <w:rsid w:val="009D2617"/>
    <w:rsid w:val="009D2D94"/>
    <w:rsid w:val="009D326F"/>
    <w:rsid w:val="009D342A"/>
    <w:rsid w:val="009D35FC"/>
    <w:rsid w:val="009D3CEE"/>
    <w:rsid w:val="009D3F9D"/>
    <w:rsid w:val="009D48DC"/>
    <w:rsid w:val="009D4D15"/>
    <w:rsid w:val="009D5146"/>
    <w:rsid w:val="009D55A5"/>
    <w:rsid w:val="009D5952"/>
    <w:rsid w:val="009D5A51"/>
    <w:rsid w:val="009D61A0"/>
    <w:rsid w:val="009D65D3"/>
    <w:rsid w:val="009D729A"/>
    <w:rsid w:val="009D7EEC"/>
    <w:rsid w:val="009D7FE4"/>
    <w:rsid w:val="009E01F0"/>
    <w:rsid w:val="009E088B"/>
    <w:rsid w:val="009E0B47"/>
    <w:rsid w:val="009E1237"/>
    <w:rsid w:val="009E1375"/>
    <w:rsid w:val="009E22C3"/>
    <w:rsid w:val="009E2496"/>
    <w:rsid w:val="009E24A6"/>
    <w:rsid w:val="009E24F4"/>
    <w:rsid w:val="009E294D"/>
    <w:rsid w:val="009E2C85"/>
    <w:rsid w:val="009E321A"/>
    <w:rsid w:val="009E321C"/>
    <w:rsid w:val="009E3869"/>
    <w:rsid w:val="009E427A"/>
    <w:rsid w:val="009E42FE"/>
    <w:rsid w:val="009E4699"/>
    <w:rsid w:val="009E47E5"/>
    <w:rsid w:val="009E4AF2"/>
    <w:rsid w:val="009E4DAC"/>
    <w:rsid w:val="009E4FBE"/>
    <w:rsid w:val="009E528E"/>
    <w:rsid w:val="009E5AD6"/>
    <w:rsid w:val="009E6042"/>
    <w:rsid w:val="009E63A1"/>
    <w:rsid w:val="009E7360"/>
    <w:rsid w:val="009E7919"/>
    <w:rsid w:val="009E7B34"/>
    <w:rsid w:val="009E7C24"/>
    <w:rsid w:val="009E7E4B"/>
    <w:rsid w:val="009F023C"/>
    <w:rsid w:val="009F0800"/>
    <w:rsid w:val="009F0B45"/>
    <w:rsid w:val="009F1475"/>
    <w:rsid w:val="009F1809"/>
    <w:rsid w:val="009F1C10"/>
    <w:rsid w:val="009F1D55"/>
    <w:rsid w:val="009F1E4C"/>
    <w:rsid w:val="009F2297"/>
    <w:rsid w:val="009F22D5"/>
    <w:rsid w:val="009F26D8"/>
    <w:rsid w:val="009F3932"/>
    <w:rsid w:val="009F3B62"/>
    <w:rsid w:val="009F402E"/>
    <w:rsid w:val="009F4049"/>
    <w:rsid w:val="009F4128"/>
    <w:rsid w:val="009F4179"/>
    <w:rsid w:val="009F41F3"/>
    <w:rsid w:val="009F45F9"/>
    <w:rsid w:val="009F4F88"/>
    <w:rsid w:val="009F560B"/>
    <w:rsid w:val="009F58B1"/>
    <w:rsid w:val="009F5AA4"/>
    <w:rsid w:val="009F6AE8"/>
    <w:rsid w:val="009F6EE0"/>
    <w:rsid w:val="009F6F08"/>
    <w:rsid w:val="009F7209"/>
    <w:rsid w:val="009F7A6F"/>
    <w:rsid w:val="009F7A94"/>
    <w:rsid w:val="009F7C26"/>
    <w:rsid w:val="00A00129"/>
    <w:rsid w:val="00A00451"/>
    <w:rsid w:val="00A00631"/>
    <w:rsid w:val="00A00665"/>
    <w:rsid w:val="00A00685"/>
    <w:rsid w:val="00A00B8B"/>
    <w:rsid w:val="00A00DF9"/>
    <w:rsid w:val="00A0150C"/>
    <w:rsid w:val="00A0152A"/>
    <w:rsid w:val="00A018E7"/>
    <w:rsid w:val="00A022D9"/>
    <w:rsid w:val="00A0260D"/>
    <w:rsid w:val="00A02CCE"/>
    <w:rsid w:val="00A02F87"/>
    <w:rsid w:val="00A034D5"/>
    <w:rsid w:val="00A03AA3"/>
    <w:rsid w:val="00A04213"/>
    <w:rsid w:val="00A04668"/>
    <w:rsid w:val="00A04787"/>
    <w:rsid w:val="00A04A0C"/>
    <w:rsid w:val="00A051E8"/>
    <w:rsid w:val="00A052A3"/>
    <w:rsid w:val="00A052B8"/>
    <w:rsid w:val="00A05469"/>
    <w:rsid w:val="00A0549F"/>
    <w:rsid w:val="00A0586A"/>
    <w:rsid w:val="00A058E8"/>
    <w:rsid w:val="00A06057"/>
    <w:rsid w:val="00A06F15"/>
    <w:rsid w:val="00A06FDD"/>
    <w:rsid w:val="00A07146"/>
    <w:rsid w:val="00A0726A"/>
    <w:rsid w:val="00A073EF"/>
    <w:rsid w:val="00A07484"/>
    <w:rsid w:val="00A0757B"/>
    <w:rsid w:val="00A07701"/>
    <w:rsid w:val="00A07717"/>
    <w:rsid w:val="00A07A92"/>
    <w:rsid w:val="00A10381"/>
    <w:rsid w:val="00A10720"/>
    <w:rsid w:val="00A108EF"/>
    <w:rsid w:val="00A109FE"/>
    <w:rsid w:val="00A10B34"/>
    <w:rsid w:val="00A10D2B"/>
    <w:rsid w:val="00A11214"/>
    <w:rsid w:val="00A1164B"/>
    <w:rsid w:val="00A12108"/>
    <w:rsid w:val="00A12131"/>
    <w:rsid w:val="00A127A6"/>
    <w:rsid w:val="00A1337E"/>
    <w:rsid w:val="00A1348E"/>
    <w:rsid w:val="00A13736"/>
    <w:rsid w:val="00A13F03"/>
    <w:rsid w:val="00A140DB"/>
    <w:rsid w:val="00A141FE"/>
    <w:rsid w:val="00A14367"/>
    <w:rsid w:val="00A1451E"/>
    <w:rsid w:val="00A14BE0"/>
    <w:rsid w:val="00A14C30"/>
    <w:rsid w:val="00A14C9E"/>
    <w:rsid w:val="00A14F97"/>
    <w:rsid w:val="00A1502A"/>
    <w:rsid w:val="00A1515B"/>
    <w:rsid w:val="00A154D7"/>
    <w:rsid w:val="00A15B6B"/>
    <w:rsid w:val="00A16180"/>
    <w:rsid w:val="00A1669E"/>
    <w:rsid w:val="00A1688E"/>
    <w:rsid w:val="00A16910"/>
    <w:rsid w:val="00A16F2D"/>
    <w:rsid w:val="00A171AF"/>
    <w:rsid w:val="00A171E4"/>
    <w:rsid w:val="00A178E1"/>
    <w:rsid w:val="00A17B28"/>
    <w:rsid w:val="00A17BF4"/>
    <w:rsid w:val="00A17C22"/>
    <w:rsid w:val="00A20548"/>
    <w:rsid w:val="00A212AA"/>
    <w:rsid w:val="00A2169B"/>
    <w:rsid w:val="00A217C1"/>
    <w:rsid w:val="00A21A0B"/>
    <w:rsid w:val="00A21A93"/>
    <w:rsid w:val="00A21BEB"/>
    <w:rsid w:val="00A21C2D"/>
    <w:rsid w:val="00A225B8"/>
    <w:rsid w:val="00A228C2"/>
    <w:rsid w:val="00A22A17"/>
    <w:rsid w:val="00A22F6A"/>
    <w:rsid w:val="00A23AFB"/>
    <w:rsid w:val="00A23CED"/>
    <w:rsid w:val="00A2412A"/>
    <w:rsid w:val="00A24256"/>
    <w:rsid w:val="00A244DA"/>
    <w:rsid w:val="00A246C6"/>
    <w:rsid w:val="00A24AE6"/>
    <w:rsid w:val="00A24C35"/>
    <w:rsid w:val="00A24D39"/>
    <w:rsid w:val="00A24D4E"/>
    <w:rsid w:val="00A24D5C"/>
    <w:rsid w:val="00A251F8"/>
    <w:rsid w:val="00A252C1"/>
    <w:rsid w:val="00A253FE"/>
    <w:rsid w:val="00A25507"/>
    <w:rsid w:val="00A25CD6"/>
    <w:rsid w:val="00A25DAD"/>
    <w:rsid w:val="00A26475"/>
    <w:rsid w:val="00A26775"/>
    <w:rsid w:val="00A30615"/>
    <w:rsid w:val="00A30ACE"/>
    <w:rsid w:val="00A30D1A"/>
    <w:rsid w:val="00A31340"/>
    <w:rsid w:val="00A3191D"/>
    <w:rsid w:val="00A32430"/>
    <w:rsid w:val="00A32846"/>
    <w:rsid w:val="00A3289C"/>
    <w:rsid w:val="00A32C43"/>
    <w:rsid w:val="00A32DA6"/>
    <w:rsid w:val="00A32DDB"/>
    <w:rsid w:val="00A33307"/>
    <w:rsid w:val="00A33581"/>
    <w:rsid w:val="00A33D76"/>
    <w:rsid w:val="00A35937"/>
    <w:rsid w:val="00A36D8C"/>
    <w:rsid w:val="00A37139"/>
    <w:rsid w:val="00A3719F"/>
    <w:rsid w:val="00A3767D"/>
    <w:rsid w:val="00A3796D"/>
    <w:rsid w:val="00A37FAB"/>
    <w:rsid w:val="00A40979"/>
    <w:rsid w:val="00A40FA8"/>
    <w:rsid w:val="00A41926"/>
    <w:rsid w:val="00A41F5D"/>
    <w:rsid w:val="00A42112"/>
    <w:rsid w:val="00A42239"/>
    <w:rsid w:val="00A42729"/>
    <w:rsid w:val="00A427C5"/>
    <w:rsid w:val="00A4288B"/>
    <w:rsid w:val="00A42BEE"/>
    <w:rsid w:val="00A42FA6"/>
    <w:rsid w:val="00A4304E"/>
    <w:rsid w:val="00A430E5"/>
    <w:rsid w:val="00A433B5"/>
    <w:rsid w:val="00A43459"/>
    <w:rsid w:val="00A435F1"/>
    <w:rsid w:val="00A4362E"/>
    <w:rsid w:val="00A43A76"/>
    <w:rsid w:val="00A43B3D"/>
    <w:rsid w:val="00A43D7F"/>
    <w:rsid w:val="00A443D0"/>
    <w:rsid w:val="00A446BF"/>
    <w:rsid w:val="00A4505B"/>
    <w:rsid w:val="00A450E2"/>
    <w:rsid w:val="00A457A0"/>
    <w:rsid w:val="00A459E5"/>
    <w:rsid w:val="00A460FD"/>
    <w:rsid w:val="00A4613C"/>
    <w:rsid w:val="00A47030"/>
    <w:rsid w:val="00A4792A"/>
    <w:rsid w:val="00A47BC7"/>
    <w:rsid w:val="00A47DEB"/>
    <w:rsid w:val="00A501D0"/>
    <w:rsid w:val="00A508C8"/>
    <w:rsid w:val="00A50E6D"/>
    <w:rsid w:val="00A50EE0"/>
    <w:rsid w:val="00A51045"/>
    <w:rsid w:val="00A514F7"/>
    <w:rsid w:val="00A51A71"/>
    <w:rsid w:val="00A51CBB"/>
    <w:rsid w:val="00A5254B"/>
    <w:rsid w:val="00A52A71"/>
    <w:rsid w:val="00A52C0A"/>
    <w:rsid w:val="00A531DC"/>
    <w:rsid w:val="00A533B5"/>
    <w:rsid w:val="00A53F1C"/>
    <w:rsid w:val="00A54A21"/>
    <w:rsid w:val="00A54EE3"/>
    <w:rsid w:val="00A54F8A"/>
    <w:rsid w:val="00A55EF8"/>
    <w:rsid w:val="00A55F15"/>
    <w:rsid w:val="00A5618F"/>
    <w:rsid w:val="00A56B0B"/>
    <w:rsid w:val="00A56B12"/>
    <w:rsid w:val="00A56BCA"/>
    <w:rsid w:val="00A56E6D"/>
    <w:rsid w:val="00A56EEC"/>
    <w:rsid w:val="00A572D5"/>
    <w:rsid w:val="00A57819"/>
    <w:rsid w:val="00A60327"/>
    <w:rsid w:val="00A6151E"/>
    <w:rsid w:val="00A61694"/>
    <w:rsid w:val="00A6247F"/>
    <w:rsid w:val="00A624E6"/>
    <w:rsid w:val="00A6251E"/>
    <w:rsid w:val="00A626D3"/>
    <w:rsid w:val="00A6286E"/>
    <w:rsid w:val="00A62A30"/>
    <w:rsid w:val="00A6330E"/>
    <w:rsid w:val="00A6348E"/>
    <w:rsid w:val="00A6357D"/>
    <w:rsid w:val="00A6381B"/>
    <w:rsid w:val="00A6389D"/>
    <w:rsid w:val="00A63CDA"/>
    <w:rsid w:val="00A64A76"/>
    <w:rsid w:val="00A64E31"/>
    <w:rsid w:val="00A653CF"/>
    <w:rsid w:val="00A65752"/>
    <w:rsid w:val="00A6586A"/>
    <w:rsid w:val="00A65C4C"/>
    <w:rsid w:val="00A65F14"/>
    <w:rsid w:val="00A6607B"/>
    <w:rsid w:val="00A666A5"/>
    <w:rsid w:val="00A66A14"/>
    <w:rsid w:val="00A66CE7"/>
    <w:rsid w:val="00A66E45"/>
    <w:rsid w:val="00A6715C"/>
    <w:rsid w:val="00A6739A"/>
    <w:rsid w:val="00A676EF"/>
    <w:rsid w:val="00A67857"/>
    <w:rsid w:val="00A67D95"/>
    <w:rsid w:val="00A67F10"/>
    <w:rsid w:val="00A70332"/>
    <w:rsid w:val="00A7049C"/>
    <w:rsid w:val="00A704BB"/>
    <w:rsid w:val="00A71400"/>
    <w:rsid w:val="00A71B8E"/>
    <w:rsid w:val="00A71F23"/>
    <w:rsid w:val="00A72277"/>
    <w:rsid w:val="00A725BE"/>
    <w:rsid w:val="00A72647"/>
    <w:rsid w:val="00A72DCB"/>
    <w:rsid w:val="00A73327"/>
    <w:rsid w:val="00A73B77"/>
    <w:rsid w:val="00A73FD2"/>
    <w:rsid w:val="00A7427F"/>
    <w:rsid w:val="00A744A2"/>
    <w:rsid w:val="00A74776"/>
    <w:rsid w:val="00A749CF"/>
    <w:rsid w:val="00A74B6A"/>
    <w:rsid w:val="00A75664"/>
    <w:rsid w:val="00A75CA6"/>
    <w:rsid w:val="00A76CEA"/>
    <w:rsid w:val="00A770F3"/>
    <w:rsid w:val="00A77389"/>
    <w:rsid w:val="00A77864"/>
    <w:rsid w:val="00A77A04"/>
    <w:rsid w:val="00A77B03"/>
    <w:rsid w:val="00A77D9E"/>
    <w:rsid w:val="00A77DBE"/>
    <w:rsid w:val="00A80050"/>
    <w:rsid w:val="00A8026C"/>
    <w:rsid w:val="00A80616"/>
    <w:rsid w:val="00A80C84"/>
    <w:rsid w:val="00A819F3"/>
    <w:rsid w:val="00A81AF9"/>
    <w:rsid w:val="00A81F7A"/>
    <w:rsid w:val="00A820BE"/>
    <w:rsid w:val="00A821DA"/>
    <w:rsid w:val="00A82552"/>
    <w:rsid w:val="00A82C32"/>
    <w:rsid w:val="00A83047"/>
    <w:rsid w:val="00A83166"/>
    <w:rsid w:val="00A84130"/>
    <w:rsid w:val="00A847CD"/>
    <w:rsid w:val="00A847D3"/>
    <w:rsid w:val="00A84B87"/>
    <w:rsid w:val="00A851B1"/>
    <w:rsid w:val="00A85AE9"/>
    <w:rsid w:val="00A86066"/>
    <w:rsid w:val="00A863EE"/>
    <w:rsid w:val="00A866B4"/>
    <w:rsid w:val="00A86DED"/>
    <w:rsid w:val="00A86E83"/>
    <w:rsid w:val="00A86F4A"/>
    <w:rsid w:val="00A87B45"/>
    <w:rsid w:val="00A87E3D"/>
    <w:rsid w:val="00A87EE2"/>
    <w:rsid w:val="00A901F8"/>
    <w:rsid w:val="00A9061C"/>
    <w:rsid w:val="00A90D45"/>
    <w:rsid w:val="00A9133F"/>
    <w:rsid w:val="00A91720"/>
    <w:rsid w:val="00A91DE2"/>
    <w:rsid w:val="00A92DD1"/>
    <w:rsid w:val="00A936FC"/>
    <w:rsid w:val="00A9440A"/>
    <w:rsid w:val="00A94D48"/>
    <w:rsid w:val="00A94EC3"/>
    <w:rsid w:val="00A94F12"/>
    <w:rsid w:val="00A957DA"/>
    <w:rsid w:val="00A9646A"/>
    <w:rsid w:val="00A9685E"/>
    <w:rsid w:val="00A96DDA"/>
    <w:rsid w:val="00A96E62"/>
    <w:rsid w:val="00A973E8"/>
    <w:rsid w:val="00A97435"/>
    <w:rsid w:val="00A97CD4"/>
    <w:rsid w:val="00AA0CA6"/>
    <w:rsid w:val="00AA0F5C"/>
    <w:rsid w:val="00AA1067"/>
    <w:rsid w:val="00AA11D9"/>
    <w:rsid w:val="00AA15FD"/>
    <w:rsid w:val="00AA16FD"/>
    <w:rsid w:val="00AA1961"/>
    <w:rsid w:val="00AA1B75"/>
    <w:rsid w:val="00AA1C61"/>
    <w:rsid w:val="00AA1F01"/>
    <w:rsid w:val="00AA1F18"/>
    <w:rsid w:val="00AA20FB"/>
    <w:rsid w:val="00AA225D"/>
    <w:rsid w:val="00AA27A4"/>
    <w:rsid w:val="00AA2D00"/>
    <w:rsid w:val="00AA2E97"/>
    <w:rsid w:val="00AA2EFB"/>
    <w:rsid w:val="00AA2FD3"/>
    <w:rsid w:val="00AA3530"/>
    <w:rsid w:val="00AA3FDE"/>
    <w:rsid w:val="00AA437F"/>
    <w:rsid w:val="00AA46AB"/>
    <w:rsid w:val="00AA4B53"/>
    <w:rsid w:val="00AA4BA3"/>
    <w:rsid w:val="00AA4D00"/>
    <w:rsid w:val="00AA5310"/>
    <w:rsid w:val="00AA54A8"/>
    <w:rsid w:val="00AA6033"/>
    <w:rsid w:val="00AA6441"/>
    <w:rsid w:val="00AA65D8"/>
    <w:rsid w:val="00AA6667"/>
    <w:rsid w:val="00AA69B8"/>
    <w:rsid w:val="00AA6C4E"/>
    <w:rsid w:val="00AA6CED"/>
    <w:rsid w:val="00AA7208"/>
    <w:rsid w:val="00AA7749"/>
    <w:rsid w:val="00AA79C6"/>
    <w:rsid w:val="00AB02FC"/>
    <w:rsid w:val="00AB0961"/>
    <w:rsid w:val="00AB0CBE"/>
    <w:rsid w:val="00AB0CC3"/>
    <w:rsid w:val="00AB0EDC"/>
    <w:rsid w:val="00AB0EFB"/>
    <w:rsid w:val="00AB0F67"/>
    <w:rsid w:val="00AB189F"/>
    <w:rsid w:val="00AB1B29"/>
    <w:rsid w:val="00AB1F9F"/>
    <w:rsid w:val="00AB20A1"/>
    <w:rsid w:val="00AB24E7"/>
    <w:rsid w:val="00AB258B"/>
    <w:rsid w:val="00AB2713"/>
    <w:rsid w:val="00AB2FD7"/>
    <w:rsid w:val="00AB3C74"/>
    <w:rsid w:val="00AB41F1"/>
    <w:rsid w:val="00AB48AA"/>
    <w:rsid w:val="00AB4D17"/>
    <w:rsid w:val="00AB4D2C"/>
    <w:rsid w:val="00AB4E12"/>
    <w:rsid w:val="00AB4FF5"/>
    <w:rsid w:val="00AB5A56"/>
    <w:rsid w:val="00AB6191"/>
    <w:rsid w:val="00AB6A66"/>
    <w:rsid w:val="00AB6AC7"/>
    <w:rsid w:val="00AB7F19"/>
    <w:rsid w:val="00AB7FDA"/>
    <w:rsid w:val="00AC03AD"/>
    <w:rsid w:val="00AC05E7"/>
    <w:rsid w:val="00AC097D"/>
    <w:rsid w:val="00AC0AC3"/>
    <w:rsid w:val="00AC0B42"/>
    <w:rsid w:val="00AC0E41"/>
    <w:rsid w:val="00AC1A10"/>
    <w:rsid w:val="00AC1EFD"/>
    <w:rsid w:val="00AC20A6"/>
    <w:rsid w:val="00AC2702"/>
    <w:rsid w:val="00AC2B58"/>
    <w:rsid w:val="00AC3349"/>
    <w:rsid w:val="00AC458E"/>
    <w:rsid w:val="00AC49A3"/>
    <w:rsid w:val="00AC4D8D"/>
    <w:rsid w:val="00AC55FB"/>
    <w:rsid w:val="00AC56FB"/>
    <w:rsid w:val="00AC5F8F"/>
    <w:rsid w:val="00AC61FC"/>
    <w:rsid w:val="00AC6B44"/>
    <w:rsid w:val="00AC786B"/>
    <w:rsid w:val="00AC78AB"/>
    <w:rsid w:val="00AC7904"/>
    <w:rsid w:val="00AC7AD1"/>
    <w:rsid w:val="00AC7B5E"/>
    <w:rsid w:val="00AC7DFE"/>
    <w:rsid w:val="00AD0673"/>
    <w:rsid w:val="00AD0847"/>
    <w:rsid w:val="00AD0BD4"/>
    <w:rsid w:val="00AD0CD6"/>
    <w:rsid w:val="00AD1003"/>
    <w:rsid w:val="00AD25DB"/>
    <w:rsid w:val="00AD2823"/>
    <w:rsid w:val="00AD31F6"/>
    <w:rsid w:val="00AD3385"/>
    <w:rsid w:val="00AD380A"/>
    <w:rsid w:val="00AD40D2"/>
    <w:rsid w:val="00AD4EDE"/>
    <w:rsid w:val="00AD57F5"/>
    <w:rsid w:val="00AD5875"/>
    <w:rsid w:val="00AD595F"/>
    <w:rsid w:val="00AD5DAB"/>
    <w:rsid w:val="00AD5DB9"/>
    <w:rsid w:val="00AD5FA0"/>
    <w:rsid w:val="00AD63BA"/>
    <w:rsid w:val="00AD6594"/>
    <w:rsid w:val="00AD7655"/>
    <w:rsid w:val="00AD7FE3"/>
    <w:rsid w:val="00AE0751"/>
    <w:rsid w:val="00AE0D0C"/>
    <w:rsid w:val="00AE1670"/>
    <w:rsid w:val="00AE1788"/>
    <w:rsid w:val="00AE2581"/>
    <w:rsid w:val="00AE2868"/>
    <w:rsid w:val="00AE37A3"/>
    <w:rsid w:val="00AE386C"/>
    <w:rsid w:val="00AE4098"/>
    <w:rsid w:val="00AE40DD"/>
    <w:rsid w:val="00AE4541"/>
    <w:rsid w:val="00AE4647"/>
    <w:rsid w:val="00AE497D"/>
    <w:rsid w:val="00AE4BA7"/>
    <w:rsid w:val="00AE4EEF"/>
    <w:rsid w:val="00AE5300"/>
    <w:rsid w:val="00AE547D"/>
    <w:rsid w:val="00AE5FAD"/>
    <w:rsid w:val="00AE5FBC"/>
    <w:rsid w:val="00AE652D"/>
    <w:rsid w:val="00AE6539"/>
    <w:rsid w:val="00AE684F"/>
    <w:rsid w:val="00AE6931"/>
    <w:rsid w:val="00AE7951"/>
    <w:rsid w:val="00AE7A37"/>
    <w:rsid w:val="00AE7B4F"/>
    <w:rsid w:val="00AE7EE8"/>
    <w:rsid w:val="00AF0694"/>
    <w:rsid w:val="00AF1716"/>
    <w:rsid w:val="00AF1A20"/>
    <w:rsid w:val="00AF2362"/>
    <w:rsid w:val="00AF3535"/>
    <w:rsid w:val="00AF35E8"/>
    <w:rsid w:val="00AF4823"/>
    <w:rsid w:val="00AF4963"/>
    <w:rsid w:val="00AF4B08"/>
    <w:rsid w:val="00AF4E96"/>
    <w:rsid w:val="00AF54E1"/>
    <w:rsid w:val="00AF5DCE"/>
    <w:rsid w:val="00AF5E8B"/>
    <w:rsid w:val="00AF636C"/>
    <w:rsid w:val="00AF6735"/>
    <w:rsid w:val="00AF6AC9"/>
    <w:rsid w:val="00AF6BD4"/>
    <w:rsid w:val="00AF7A62"/>
    <w:rsid w:val="00B00398"/>
    <w:rsid w:val="00B00401"/>
    <w:rsid w:val="00B0090E"/>
    <w:rsid w:val="00B00A1D"/>
    <w:rsid w:val="00B00B61"/>
    <w:rsid w:val="00B00FCF"/>
    <w:rsid w:val="00B0131C"/>
    <w:rsid w:val="00B015AE"/>
    <w:rsid w:val="00B01EE9"/>
    <w:rsid w:val="00B01F1F"/>
    <w:rsid w:val="00B027FA"/>
    <w:rsid w:val="00B02B69"/>
    <w:rsid w:val="00B02D6B"/>
    <w:rsid w:val="00B02F81"/>
    <w:rsid w:val="00B03524"/>
    <w:rsid w:val="00B03891"/>
    <w:rsid w:val="00B03C91"/>
    <w:rsid w:val="00B0419E"/>
    <w:rsid w:val="00B04800"/>
    <w:rsid w:val="00B04DD7"/>
    <w:rsid w:val="00B05827"/>
    <w:rsid w:val="00B05B78"/>
    <w:rsid w:val="00B062E1"/>
    <w:rsid w:val="00B06E02"/>
    <w:rsid w:val="00B07504"/>
    <w:rsid w:val="00B07A4E"/>
    <w:rsid w:val="00B1002E"/>
    <w:rsid w:val="00B1069C"/>
    <w:rsid w:val="00B115C3"/>
    <w:rsid w:val="00B11613"/>
    <w:rsid w:val="00B11D38"/>
    <w:rsid w:val="00B122C8"/>
    <w:rsid w:val="00B12E48"/>
    <w:rsid w:val="00B132C8"/>
    <w:rsid w:val="00B134A1"/>
    <w:rsid w:val="00B13780"/>
    <w:rsid w:val="00B139B9"/>
    <w:rsid w:val="00B13BF6"/>
    <w:rsid w:val="00B13CB0"/>
    <w:rsid w:val="00B13D75"/>
    <w:rsid w:val="00B1411A"/>
    <w:rsid w:val="00B144EF"/>
    <w:rsid w:val="00B1491A"/>
    <w:rsid w:val="00B1493E"/>
    <w:rsid w:val="00B14DA5"/>
    <w:rsid w:val="00B14E29"/>
    <w:rsid w:val="00B152F5"/>
    <w:rsid w:val="00B15997"/>
    <w:rsid w:val="00B15D7F"/>
    <w:rsid w:val="00B15DEB"/>
    <w:rsid w:val="00B16187"/>
    <w:rsid w:val="00B17290"/>
    <w:rsid w:val="00B1758B"/>
    <w:rsid w:val="00B1771D"/>
    <w:rsid w:val="00B179ED"/>
    <w:rsid w:val="00B2044C"/>
    <w:rsid w:val="00B21357"/>
    <w:rsid w:val="00B21700"/>
    <w:rsid w:val="00B2235F"/>
    <w:rsid w:val="00B22759"/>
    <w:rsid w:val="00B228D0"/>
    <w:rsid w:val="00B22BCA"/>
    <w:rsid w:val="00B22FD0"/>
    <w:rsid w:val="00B2322F"/>
    <w:rsid w:val="00B2371E"/>
    <w:rsid w:val="00B2381A"/>
    <w:rsid w:val="00B23FA7"/>
    <w:rsid w:val="00B23FF9"/>
    <w:rsid w:val="00B24071"/>
    <w:rsid w:val="00B24CA1"/>
    <w:rsid w:val="00B24E99"/>
    <w:rsid w:val="00B2530C"/>
    <w:rsid w:val="00B2546F"/>
    <w:rsid w:val="00B25FC2"/>
    <w:rsid w:val="00B267CC"/>
    <w:rsid w:val="00B2742A"/>
    <w:rsid w:val="00B30810"/>
    <w:rsid w:val="00B3085A"/>
    <w:rsid w:val="00B308B5"/>
    <w:rsid w:val="00B30FBE"/>
    <w:rsid w:val="00B3152F"/>
    <w:rsid w:val="00B31931"/>
    <w:rsid w:val="00B319B9"/>
    <w:rsid w:val="00B31F88"/>
    <w:rsid w:val="00B320D5"/>
    <w:rsid w:val="00B327B1"/>
    <w:rsid w:val="00B32A16"/>
    <w:rsid w:val="00B32D98"/>
    <w:rsid w:val="00B3400C"/>
    <w:rsid w:val="00B34069"/>
    <w:rsid w:val="00B3415D"/>
    <w:rsid w:val="00B34172"/>
    <w:rsid w:val="00B34215"/>
    <w:rsid w:val="00B3428A"/>
    <w:rsid w:val="00B3430C"/>
    <w:rsid w:val="00B34938"/>
    <w:rsid w:val="00B349F7"/>
    <w:rsid w:val="00B34D0C"/>
    <w:rsid w:val="00B34E22"/>
    <w:rsid w:val="00B3503B"/>
    <w:rsid w:val="00B353BA"/>
    <w:rsid w:val="00B35401"/>
    <w:rsid w:val="00B356C7"/>
    <w:rsid w:val="00B3596E"/>
    <w:rsid w:val="00B35A60"/>
    <w:rsid w:val="00B35A95"/>
    <w:rsid w:val="00B35AFF"/>
    <w:rsid w:val="00B365BB"/>
    <w:rsid w:val="00B36F8A"/>
    <w:rsid w:val="00B37819"/>
    <w:rsid w:val="00B378A6"/>
    <w:rsid w:val="00B37A2E"/>
    <w:rsid w:val="00B37B96"/>
    <w:rsid w:val="00B37DE9"/>
    <w:rsid w:val="00B37F05"/>
    <w:rsid w:val="00B40823"/>
    <w:rsid w:val="00B4096C"/>
    <w:rsid w:val="00B40C8C"/>
    <w:rsid w:val="00B411CF"/>
    <w:rsid w:val="00B41499"/>
    <w:rsid w:val="00B4218E"/>
    <w:rsid w:val="00B42600"/>
    <w:rsid w:val="00B427BE"/>
    <w:rsid w:val="00B42F42"/>
    <w:rsid w:val="00B4333A"/>
    <w:rsid w:val="00B4360A"/>
    <w:rsid w:val="00B437B4"/>
    <w:rsid w:val="00B43992"/>
    <w:rsid w:val="00B43999"/>
    <w:rsid w:val="00B43E7A"/>
    <w:rsid w:val="00B44C42"/>
    <w:rsid w:val="00B450BA"/>
    <w:rsid w:val="00B45287"/>
    <w:rsid w:val="00B452C2"/>
    <w:rsid w:val="00B4539E"/>
    <w:rsid w:val="00B458F5"/>
    <w:rsid w:val="00B459F0"/>
    <w:rsid w:val="00B45C6D"/>
    <w:rsid w:val="00B4600A"/>
    <w:rsid w:val="00B467CD"/>
    <w:rsid w:val="00B46852"/>
    <w:rsid w:val="00B472B9"/>
    <w:rsid w:val="00B47530"/>
    <w:rsid w:val="00B5019C"/>
    <w:rsid w:val="00B50723"/>
    <w:rsid w:val="00B50D85"/>
    <w:rsid w:val="00B5143A"/>
    <w:rsid w:val="00B51DAD"/>
    <w:rsid w:val="00B5206D"/>
    <w:rsid w:val="00B521D6"/>
    <w:rsid w:val="00B522FF"/>
    <w:rsid w:val="00B525AE"/>
    <w:rsid w:val="00B529CE"/>
    <w:rsid w:val="00B530A4"/>
    <w:rsid w:val="00B532DB"/>
    <w:rsid w:val="00B540A0"/>
    <w:rsid w:val="00B54337"/>
    <w:rsid w:val="00B54867"/>
    <w:rsid w:val="00B54D4D"/>
    <w:rsid w:val="00B55002"/>
    <w:rsid w:val="00B551C9"/>
    <w:rsid w:val="00B5546F"/>
    <w:rsid w:val="00B55E42"/>
    <w:rsid w:val="00B56303"/>
    <w:rsid w:val="00B56AEB"/>
    <w:rsid w:val="00B56C83"/>
    <w:rsid w:val="00B56E8B"/>
    <w:rsid w:val="00B570F2"/>
    <w:rsid w:val="00B57136"/>
    <w:rsid w:val="00B57204"/>
    <w:rsid w:val="00B57C61"/>
    <w:rsid w:val="00B57D7B"/>
    <w:rsid w:val="00B60500"/>
    <w:rsid w:val="00B607AD"/>
    <w:rsid w:val="00B60910"/>
    <w:rsid w:val="00B60BA0"/>
    <w:rsid w:val="00B60CD1"/>
    <w:rsid w:val="00B61902"/>
    <w:rsid w:val="00B61AA4"/>
    <w:rsid w:val="00B61BEA"/>
    <w:rsid w:val="00B6216A"/>
    <w:rsid w:val="00B6257D"/>
    <w:rsid w:val="00B62623"/>
    <w:rsid w:val="00B627FA"/>
    <w:rsid w:val="00B62A29"/>
    <w:rsid w:val="00B63288"/>
    <w:rsid w:val="00B63545"/>
    <w:rsid w:val="00B63BD8"/>
    <w:rsid w:val="00B64011"/>
    <w:rsid w:val="00B6411D"/>
    <w:rsid w:val="00B64304"/>
    <w:rsid w:val="00B64748"/>
    <w:rsid w:val="00B6484B"/>
    <w:rsid w:val="00B649DE"/>
    <w:rsid w:val="00B64B0B"/>
    <w:rsid w:val="00B650C4"/>
    <w:rsid w:val="00B654A4"/>
    <w:rsid w:val="00B654AA"/>
    <w:rsid w:val="00B65631"/>
    <w:rsid w:val="00B656F2"/>
    <w:rsid w:val="00B65AFE"/>
    <w:rsid w:val="00B65F9F"/>
    <w:rsid w:val="00B660F8"/>
    <w:rsid w:val="00B66674"/>
    <w:rsid w:val="00B66807"/>
    <w:rsid w:val="00B66DC7"/>
    <w:rsid w:val="00B6705A"/>
    <w:rsid w:val="00B67213"/>
    <w:rsid w:val="00B672C9"/>
    <w:rsid w:val="00B679FE"/>
    <w:rsid w:val="00B67B43"/>
    <w:rsid w:val="00B70048"/>
    <w:rsid w:val="00B7036B"/>
    <w:rsid w:val="00B7054C"/>
    <w:rsid w:val="00B70653"/>
    <w:rsid w:val="00B7071C"/>
    <w:rsid w:val="00B707E7"/>
    <w:rsid w:val="00B709D4"/>
    <w:rsid w:val="00B70EA9"/>
    <w:rsid w:val="00B7146B"/>
    <w:rsid w:val="00B71E6B"/>
    <w:rsid w:val="00B71FE5"/>
    <w:rsid w:val="00B721E6"/>
    <w:rsid w:val="00B728F8"/>
    <w:rsid w:val="00B734F3"/>
    <w:rsid w:val="00B736F0"/>
    <w:rsid w:val="00B73C77"/>
    <w:rsid w:val="00B73F80"/>
    <w:rsid w:val="00B74074"/>
    <w:rsid w:val="00B746CA"/>
    <w:rsid w:val="00B74918"/>
    <w:rsid w:val="00B75F42"/>
    <w:rsid w:val="00B768EF"/>
    <w:rsid w:val="00B76AB1"/>
    <w:rsid w:val="00B76EF5"/>
    <w:rsid w:val="00B770AD"/>
    <w:rsid w:val="00B772CC"/>
    <w:rsid w:val="00B7745B"/>
    <w:rsid w:val="00B778A8"/>
    <w:rsid w:val="00B80145"/>
    <w:rsid w:val="00B806E2"/>
    <w:rsid w:val="00B80858"/>
    <w:rsid w:val="00B810D4"/>
    <w:rsid w:val="00B81843"/>
    <w:rsid w:val="00B8198C"/>
    <w:rsid w:val="00B819E7"/>
    <w:rsid w:val="00B81A0F"/>
    <w:rsid w:val="00B81A9D"/>
    <w:rsid w:val="00B81B61"/>
    <w:rsid w:val="00B81BF1"/>
    <w:rsid w:val="00B81CF8"/>
    <w:rsid w:val="00B82098"/>
    <w:rsid w:val="00B823FA"/>
    <w:rsid w:val="00B8280A"/>
    <w:rsid w:val="00B82D25"/>
    <w:rsid w:val="00B83B7E"/>
    <w:rsid w:val="00B84448"/>
    <w:rsid w:val="00B84AA7"/>
    <w:rsid w:val="00B84C97"/>
    <w:rsid w:val="00B84DFB"/>
    <w:rsid w:val="00B84E95"/>
    <w:rsid w:val="00B851DB"/>
    <w:rsid w:val="00B85712"/>
    <w:rsid w:val="00B85FC2"/>
    <w:rsid w:val="00B866FA"/>
    <w:rsid w:val="00B867F1"/>
    <w:rsid w:val="00B8773E"/>
    <w:rsid w:val="00B87BFD"/>
    <w:rsid w:val="00B90223"/>
    <w:rsid w:val="00B909C6"/>
    <w:rsid w:val="00B90EEC"/>
    <w:rsid w:val="00B915C9"/>
    <w:rsid w:val="00B91AE0"/>
    <w:rsid w:val="00B91B3E"/>
    <w:rsid w:val="00B91BD1"/>
    <w:rsid w:val="00B91CCE"/>
    <w:rsid w:val="00B91F90"/>
    <w:rsid w:val="00B92077"/>
    <w:rsid w:val="00B92521"/>
    <w:rsid w:val="00B92B5E"/>
    <w:rsid w:val="00B93916"/>
    <w:rsid w:val="00B93B4D"/>
    <w:rsid w:val="00B94377"/>
    <w:rsid w:val="00B94877"/>
    <w:rsid w:val="00B94954"/>
    <w:rsid w:val="00B94DE6"/>
    <w:rsid w:val="00B950A5"/>
    <w:rsid w:val="00B95641"/>
    <w:rsid w:val="00B957E2"/>
    <w:rsid w:val="00B95860"/>
    <w:rsid w:val="00B95B36"/>
    <w:rsid w:val="00B95E87"/>
    <w:rsid w:val="00B962A1"/>
    <w:rsid w:val="00B970D3"/>
    <w:rsid w:val="00B97393"/>
    <w:rsid w:val="00B973D7"/>
    <w:rsid w:val="00B97669"/>
    <w:rsid w:val="00B9779A"/>
    <w:rsid w:val="00B97937"/>
    <w:rsid w:val="00B97BC3"/>
    <w:rsid w:val="00B97C9A"/>
    <w:rsid w:val="00B97EA1"/>
    <w:rsid w:val="00BA0198"/>
    <w:rsid w:val="00BA121C"/>
    <w:rsid w:val="00BA1440"/>
    <w:rsid w:val="00BA1D10"/>
    <w:rsid w:val="00BA21C6"/>
    <w:rsid w:val="00BA297C"/>
    <w:rsid w:val="00BA2DB6"/>
    <w:rsid w:val="00BA3145"/>
    <w:rsid w:val="00BA3244"/>
    <w:rsid w:val="00BA3E8E"/>
    <w:rsid w:val="00BA48BB"/>
    <w:rsid w:val="00BA4F1F"/>
    <w:rsid w:val="00BA5408"/>
    <w:rsid w:val="00BA5B58"/>
    <w:rsid w:val="00BA5DD1"/>
    <w:rsid w:val="00BA61F4"/>
    <w:rsid w:val="00BA6B38"/>
    <w:rsid w:val="00BA6D51"/>
    <w:rsid w:val="00BA7293"/>
    <w:rsid w:val="00BA72F9"/>
    <w:rsid w:val="00BA74ED"/>
    <w:rsid w:val="00BA7B19"/>
    <w:rsid w:val="00BB01DB"/>
    <w:rsid w:val="00BB0515"/>
    <w:rsid w:val="00BB0A2A"/>
    <w:rsid w:val="00BB1351"/>
    <w:rsid w:val="00BB15EB"/>
    <w:rsid w:val="00BB1751"/>
    <w:rsid w:val="00BB1AC6"/>
    <w:rsid w:val="00BB1D46"/>
    <w:rsid w:val="00BB1FDA"/>
    <w:rsid w:val="00BB21A0"/>
    <w:rsid w:val="00BB3082"/>
    <w:rsid w:val="00BB3373"/>
    <w:rsid w:val="00BB339D"/>
    <w:rsid w:val="00BB3440"/>
    <w:rsid w:val="00BB390C"/>
    <w:rsid w:val="00BB39B2"/>
    <w:rsid w:val="00BB416F"/>
    <w:rsid w:val="00BB42B7"/>
    <w:rsid w:val="00BB4426"/>
    <w:rsid w:val="00BB4C41"/>
    <w:rsid w:val="00BB5AB1"/>
    <w:rsid w:val="00BB6463"/>
    <w:rsid w:val="00BB6FB9"/>
    <w:rsid w:val="00BB6FFD"/>
    <w:rsid w:val="00BC0768"/>
    <w:rsid w:val="00BC0808"/>
    <w:rsid w:val="00BC0D32"/>
    <w:rsid w:val="00BC1087"/>
    <w:rsid w:val="00BC1431"/>
    <w:rsid w:val="00BC1601"/>
    <w:rsid w:val="00BC1A68"/>
    <w:rsid w:val="00BC1CF4"/>
    <w:rsid w:val="00BC2A99"/>
    <w:rsid w:val="00BC2FF3"/>
    <w:rsid w:val="00BC3071"/>
    <w:rsid w:val="00BC3431"/>
    <w:rsid w:val="00BC35A2"/>
    <w:rsid w:val="00BC39D4"/>
    <w:rsid w:val="00BC40C6"/>
    <w:rsid w:val="00BC4620"/>
    <w:rsid w:val="00BC46C9"/>
    <w:rsid w:val="00BC5211"/>
    <w:rsid w:val="00BC59E9"/>
    <w:rsid w:val="00BC5D59"/>
    <w:rsid w:val="00BC614F"/>
    <w:rsid w:val="00BC6300"/>
    <w:rsid w:val="00BC6467"/>
    <w:rsid w:val="00BC6866"/>
    <w:rsid w:val="00BC6B51"/>
    <w:rsid w:val="00BC6BFF"/>
    <w:rsid w:val="00BC734D"/>
    <w:rsid w:val="00BC7499"/>
    <w:rsid w:val="00BC7CA2"/>
    <w:rsid w:val="00BD01DB"/>
    <w:rsid w:val="00BD0889"/>
    <w:rsid w:val="00BD0B37"/>
    <w:rsid w:val="00BD0B85"/>
    <w:rsid w:val="00BD0CF3"/>
    <w:rsid w:val="00BD0E3D"/>
    <w:rsid w:val="00BD114F"/>
    <w:rsid w:val="00BD1528"/>
    <w:rsid w:val="00BD182D"/>
    <w:rsid w:val="00BD1899"/>
    <w:rsid w:val="00BD19A3"/>
    <w:rsid w:val="00BD1CAA"/>
    <w:rsid w:val="00BD1E13"/>
    <w:rsid w:val="00BD2D02"/>
    <w:rsid w:val="00BD3922"/>
    <w:rsid w:val="00BD3995"/>
    <w:rsid w:val="00BD3CA6"/>
    <w:rsid w:val="00BD40CB"/>
    <w:rsid w:val="00BD43C8"/>
    <w:rsid w:val="00BD44E8"/>
    <w:rsid w:val="00BD49DC"/>
    <w:rsid w:val="00BD4A2C"/>
    <w:rsid w:val="00BD4AA1"/>
    <w:rsid w:val="00BD4E1B"/>
    <w:rsid w:val="00BD629B"/>
    <w:rsid w:val="00BD646B"/>
    <w:rsid w:val="00BD6699"/>
    <w:rsid w:val="00BD6742"/>
    <w:rsid w:val="00BD6B44"/>
    <w:rsid w:val="00BD74EB"/>
    <w:rsid w:val="00BD762A"/>
    <w:rsid w:val="00BD7B37"/>
    <w:rsid w:val="00BE0500"/>
    <w:rsid w:val="00BE0CE7"/>
    <w:rsid w:val="00BE1425"/>
    <w:rsid w:val="00BE1572"/>
    <w:rsid w:val="00BE17DE"/>
    <w:rsid w:val="00BE1C6A"/>
    <w:rsid w:val="00BE20C4"/>
    <w:rsid w:val="00BE215F"/>
    <w:rsid w:val="00BE227E"/>
    <w:rsid w:val="00BE25E4"/>
    <w:rsid w:val="00BE3101"/>
    <w:rsid w:val="00BE3166"/>
    <w:rsid w:val="00BE31E9"/>
    <w:rsid w:val="00BE34D3"/>
    <w:rsid w:val="00BE37FA"/>
    <w:rsid w:val="00BE3A2D"/>
    <w:rsid w:val="00BE40C5"/>
    <w:rsid w:val="00BE427A"/>
    <w:rsid w:val="00BE4787"/>
    <w:rsid w:val="00BE4AD9"/>
    <w:rsid w:val="00BE4E26"/>
    <w:rsid w:val="00BE51A7"/>
    <w:rsid w:val="00BE57E2"/>
    <w:rsid w:val="00BE5D2A"/>
    <w:rsid w:val="00BE613D"/>
    <w:rsid w:val="00BE63AA"/>
    <w:rsid w:val="00BE68D7"/>
    <w:rsid w:val="00BE6A8F"/>
    <w:rsid w:val="00BE6C58"/>
    <w:rsid w:val="00BE6D08"/>
    <w:rsid w:val="00BE6F6E"/>
    <w:rsid w:val="00BE70ED"/>
    <w:rsid w:val="00BE78C2"/>
    <w:rsid w:val="00BE7990"/>
    <w:rsid w:val="00BE7F26"/>
    <w:rsid w:val="00BF07DE"/>
    <w:rsid w:val="00BF0DC0"/>
    <w:rsid w:val="00BF1442"/>
    <w:rsid w:val="00BF169F"/>
    <w:rsid w:val="00BF19BF"/>
    <w:rsid w:val="00BF20C8"/>
    <w:rsid w:val="00BF2204"/>
    <w:rsid w:val="00BF2402"/>
    <w:rsid w:val="00BF2B12"/>
    <w:rsid w:val="00BF2CA5"/>
    <w:rsid w:val="00BF2F8C"/>
    <w:rsid w:val="00BF3498"/>
    <w:rsid w:val="00BF3BA4"/>
    <w:rsid w:val="00BF3D58"/>
    <w:rsid w:val="00BF3FFB"/>
    <w:rsid w:val="00BF496C"/>
    <w:rsid w:val="00BF4A0A"/>
    <w:rsid w:val="00BF4A6D"/>
    <w:rsid w:val="00BF4A73"/>
    <w:rsid w:val="00BF4DF8"/>
    <w:rsid w:val="00BF540B"/>
    <w:rsid w:val="00BF55BB"/>
    <w:rsid w:val="00BF6047"/>
    <w:rsid w:val="00BF6112"/>
    <w:rsid w:val="00BF6465"/>
    <w:rsid w:val="00BF6593"/>
    <w:rsid w:val="00BF6619"/>
    <w:rsid w:val="00BF664D"/>
    <w:rsid w:val="00BF78AB"/>
    <w:rsid w:val="00C001FE"/>
    <w:rsid w:val="00C01F14"/>
    <w:rsid w:val="00C0212B"/>
    <w:rsid w:val="00C025B7"/>
    <w:rsid w:val="00C02963"/>
    <w:rsid w:val="00C03080"/>
    <w:rsid w:val="00C03BEA"/>
    <w:rsid w:val="00C03CFB"/>
    <w:rsid w:val="00C0405D"/>
    <w:rsid w:val="00C04114"/>
    <w:rsid w:val="00C042E7"/>
    <w:rsid w:val="00C045E6"/>
    <w:rsid w:val="00C0496E"/>
    <w:rsid w:val="00C04BB8"/>
    <w:rsid w:val="00C05766"/>
    <w:rsid w:val="00C06117"/>
    <w:rsid w:val="00C06247"/>
    <w:rsid w:val="00C06960"/>
    <w:rsid w:val="00C06B98"/>
    <w:rsid w:val="00C06F45"/>
    <w:rsid w:val="00C070F8"/>
    <w:rsid w:val="00C07BE8"/>
    <w:rsid w:val="00C07C9C"/>
    <w:rsid w:val="00C07EE6"/>
    <w:rsid w:val="00C100C1"/>
    <w:rsid w:val="00C10112"/>
    <w:rsid w:val="00C10782"/>
    <w:rsid w:val="00C108D2"/>
    <w:rsid w:val="00C109D9"/>
    <w:rsid w:val="00C10BAF"/>
    <w:rsid w:val="00C10CAB"/>
    <w:rsid w:val="00C111D7"/>
    <w:rsid w:val="00C11598"/>
    <w:rsid w:val="00C11882"/>
    <w:rsid w:val="00C11A73"/>
    <w:rsid w:val="00C11DE4"/>
    <w:rsid w:val="00C11F43"/>
    <w:rsid w:val="00C12825"/>
    <w:rsid w:val="00C12EA9"/>
    <w:rsid w:val="00C1334C"/>
    <w:rsid w:val="00C1347F"/>
    <w:rsid w:val="00C1349A"/>
    <w:rsid w:val="00C1384A"/>
    <w:rsid w:val="00C139DC"/>
    <w:rsid w:val="00C13C42"/>
    <w:rsid w:val="00C13F62"/>
    <w:rsid w:val="00C14139"/>
    <w:rsid w:val="00C142E3"/>
    <w:rsid w:val="00C14655"/>
    <w:rsid w:val="00C146BA"/>
    <w:rsid w:val="00C14987"/>
    <w:rsid w:val="00C15021"/>
    <w:rsid w:val="00C152F6"/>
    <w:rsid w:val="00C1537D"/>
    <w:rsid w:val="00C1552D"/>
    <w:rsid w:val="00C15575"/>
    <w:rsid w:val="00C15582"/>
    <w:rsid w:val="00C15B09"/>
    <w:rsid w:val="00C1631B"/>
    <w:rsid w:val="00C166B2"/>
    <w:rsid w:val="00C16822"/>
    <w:rsid w:val="00C16F78"/>
    <w:rsid w:val="00C16F8E"/>
    <w:rsid w:val="00C176D3"/>
    <w:rsid w:val="00C178ED"/>
    <w:rsid w:val="00C17997"/>
    <w:rsid w:val="00C17E6A"/>
    <w:rsid w:val="00C2002E"/>
    <w:rsid w:val="00C20113"/>
    <w:rsid w:val="00C20CF8"/>
    <w:rsid w:val="00C21001"/>
    <w:rsid w:val="00C21491"/>
    <w:rsid w:val="00C21517"/>
    <w:rsid w:val="00C21B50"/>
    <w:rsid w:val="00C22252"/>
    <w:rsid w:val="00C222E7"/>
    <w:rsid w:val="00C22437"/>
    <w:rsid w:val="00C22721"/>
    <w:rsid w:val="00C22800"/>
    <w:rsid w:val="00C228CA"/>
    <w:rsid w:val="00C22CED"/>
    <w:rsid w:val="00C22E31"/>
    <w:rsid w:val="00C232D2"/>
    <w:rsid w:val="00C23995"/>
    <w:rsid w:val="00C23DA7"/>
    <w:rsid w:val="00C2400C"/>
    <w:rsid w:val="00C24081"/>
    <w:rsid w:val="00C24437"/>
    <w:rsid w:val="00C24564"/>
    <w:rsid w:val="00C248E3"/>
    <w:rsid w:val="00C249E9"/>
    <w:rsid w:val="00C24DAC"/>
    <w:rsid w:val="00C251AD"/>
    <w:rsid w:val="00C2545A"/>
    <w:rsid w:val="00C25740"/>
    <w:rsid w:val="00C258D2"/>
    <w:rsid w:val="00C25B20"/>
    <w:rsid w:val="00C25BB8"/>
    <w:rsid w:val="00C25D2E"/>
    <w:rsid w:val="00C25EEC"/>
    <w:rsid w:val="00C2600E"/>
    <w:rsid w:val="00C26054"/>
    <w:rsid w:val="00C261C0"/>
    <w:rsid w:val="00C26579"/>
    <w:rsid w:val="00C26DF4"/>
    <w:rsid w:val="00C26F3C"/>
    <w:rsid w:val="00C27514"/>
    <w:rsid w:val="00C27526"/>
    <w:rsid w:val="00C277D0"/>
    <w:rsid w:val="00C278C2"/>
    <w:rsid w:val="00C27B47"/>
    <w:rsid w:val="00C27D3A"/>
    <w:rsid w:val="00C30044"/>
    <w:rsid w:val="00C30413"/>
    <w:rsid w:val="00C30D6B"/>
    <w:rsid w:val="00C31428"/>
    <w:rsid w:val="00C3153F"/>
    <w:rsid w:val="00C31C43"/>
    <w:rsid w:val="00C3253C"/>
    <w:rsid w:val="00C3288F"/>
    <w:rsid w:val="00C32FF2"/>
    <w:rsid w:val="00C33281"/>
    <w:rsid w:val="00C334CF"/>
    <w:rsid w:val="00C33694"/>
    <w:rsid w:val="00C3381D"/>
    <w:rsid w:val="00C33BE4"/>
    <w:rsid w:val="00C3441D"/>
    <w:rsid w:val="00C34759"/>
    <w:rsid w:val="00C34F2A"/>
    <w:rsid w:val="00C34FAF"/>
    <w:rsid w:val="00C35012"/>
    <w:rsid w:val="00C3528E"/>
    <w:rsid w:val="00C3535D"/>
    <w:rsid w:val="00C358C9"/>
    <w:rsid w:val="00C359A6"/>
    <w:rsid w:val="00C3613D"/>
    <w:rsid w:val="00C36141"/>
    <w:rsid w:val="00C36C57"/>
    <w:rsid w:val="00C37021"/>
    <w:rsid w:val="00C3706C"/>
    <w:rsid w:val="00C373BF"/>
    <w:rsid w:val="00C37C3E"/>
    <w:rsid w:val="00C37E2F"/>
    <w:rsid w:val="00C400F5"/>
    <w:rsid w:val="00C40628"/>
    <w:rsid w:val="00C406C4"/>
    <w:rsid w:val="00C40927"/>
    <w:rsid w:val="00C40997"/>
    <w:rsid w:val="00C40B62"/>
    <w:rsid w:val="00C40C77"/>
    <w:rsid w:val="00C41E78"/>
    <w:rsid w:val="00C420F4"/>
    <w:rsid w:val="00C42410"/>
    <w:rsid w:val="00C425E0"/>
    <w:rsid w:val="00C42638"/>
    <w:rsid w:val="00C427BF"/>
    <w:rsid w:val="00C43C11"/>
    <w:rsid w:val="00C43E8C"/>
    <w:rsid w:val="00C44430"/>
    <w:rsid w:val="00C44871"/>
    <w:rsid w:val="00C44918"/>
    <w:rsid w:val="00C44B29"/>
    <w:rsid w:val="00C45142"/>
    <w:rsid w:val="00C452BD"/>
    <w:rsid w:val="00C453C8"/>
    <w:rsid w:val="00C4571C"/>
    <w:rsid w:val="00C4592B"/>
    <w:rsid w:val="00C45F48"/>
    <w:rsid w:val="00C467FE"/>
    <w:rsid w:val="00C46AFD"/>
    <w:rsid w:val="00C47823"/>
    <w:rsid w:val="00C507F2"/>
    <w:rsid w:val="00C5083A"/>
    <w:rsid w:val="00C50C4E"/>
    <w:rsid w:val="00C512A5"/>
    <w:rsid w:val="00C51F63"/>
    <w:rsid w:val="00C52303"/>
    <w:rsid w:val="00C5233D"/>
    <w:rsid w:val="00C52355"/>
    <w:rsid w:val="00C52379"/>
    <w:rsid w:val="00C527AC"/>
    <w:rsid w:val="00C52FC3"/>
    <w:rsid w:val="00C537BC"/>
    <w:rsid w:val="00C53EDC"/>
    <w:rsid w:val="00C540E9"/>
    <w:rsid w:val="00C541CC"/>
    <w:rsid w:val="00C54242"/>
    <w:rsid w:val="00C546B0"/>
    <w:rsid w:val="00C54ABA"/>
    <w:rsid w:val="00C550A7"/>
    <w:rsid w:val="00C556E2"/>
    <w:rsid w:val="00C55B5E"/>
    <w:rsid w:val="00C55B85"/>
    <w:rsid w:val="00C562D3"/>
    <w:rsid w:val="00C56A2D"/>
    <w:rsid w:val="00C56ABC"/>
    <w:rsid w:val="00C56BA6"/>
    <w:rsid w:val="00C56BFD"/>
    <w:rsid w:val="00C56E70"/>
    <w:rsid w:val="00C572D6"/>
    <w:rsid w:val="00C6013A"/>
    <w:rsid w:val="00C60326"/>
    <w:rsid w:val="00C60E78"/>
    <w:rsid w:val="00C60F76"/>
    <w:rsid w:val="00C610A7"/>
    <w:rsid w:val="00C6119A"/>
    <w:rsid w:val="00C6124D"/>
    <w:rsid w:val="00C61684"/>
    <w:rsid w:val="00C61864"/>
    <w:rsid w:val="00C61F68"/>
    <w:rsid w:val="00C6259E"/>
    <w:rsid w:val="00C62661"/>
    <w:rsid w:val="00C628B4"/>
    <w:rsid w:val="00C63B02"/>
    <w:rsid w:val="00C63B06"/>
    <w:rsid w:val="00C6406A"/>
    <w:rsid w:val="00C647B4"/>
    <w:rsid w:val="00C647EB"/>
    <w:rsid w:val="00C65374"/>
    <w:rsid w:val="00C6539A"/>
    <w:rsid w:val="00C66B75"/>
    <w:rsid w:val="00C6706B"/>
    <w:rsid w:val="00C671B2"/>
    <w:rsid w:val="00C67454"/>
    <w:rsid w:val="00C67469"/>
    <w:rsid w:val="00C675E9"/>
    <w:rsid w:val="00C676C5"/>
    <w:rsid w:val="00C67E4C"/>
    <w:rsid w:val="00C70338"/>
    <w:rsid w:val="00C70449"/>
    <w:rsid w:val="00C70AD6"/>
    <w:rsid w:val="00C70BCC"/>
    <w:rsid w:val="00C71353"/>
    <w:rsid w:val="00C7156C"/>
    <w:rsid w:val="00C71BED"/>
    <w:rsid w:val="00C7254B"/>
    <w:rsid w:val="00C72ACB"/>
    <w:rsid w:val="00C7330C"/>
    <w:rsid w:val="00C73358"/>
    <w:rsid w:val="00C7377C"/>
    <w:rsid w:val="00C73791"/>
    <w:rsid w:val="00C7396F"/>
    <w:rsid w:val="00C73ACF"/>
    <w:rsid w:val="00C73C57"/>
    <w:rsid w:val="00C74ABE"/>
    <w:rsid w:val="00C74E36"/>
    <w:rsid w:val="00C74F4D"/>
    <w:rsid w:val="00C752EB"/>
    <w:rsid w:val="00C75340"/>
    <w:rsid w:val="00C7565C"/>
    <w:rsid w:val="00C7641B"/>
    <w:rsid w:val="00C7660B"/>
    <w:rsid w:val="00C76661"/>
    <w:rsid w:val="00C76867"/>
    <w:rsid w:val="00C76877"/>
    <w:rsid w:val="00C76FE5"/>
    <w:rsid w:val="00C77761"/>
    <w:rsid w:val="00C77892"/>
    <w:rsid w:val="00C77A7B"/>
    <w:rsid w:val="00C8064E"/>
    <w:rsid w:val="00C806A3"/>
    <w:rsid w:val="00C80C18"/>
    <w:rsid w:val="00C81729"/>
    <w:rsid w:val="00C817FC"/>
    <w:rsid w:val="00C82594"/>
    <w:rsid w:val="00C82BA0"/>
    <w:rsid w:val="00C82E62"/>
    <w:rsid w:val="00C834AF"/>
    <w:rsid w:val="00C835BD"/>
    <w:rsid w:val="00C8376C"/>
    <w:rsid w:val="00C84074"/>
    <w:rsid w:val="00C842C3"/>
    <w:rsid w:val="00C84ED8"/>
    <w:rsid w:val="00C850B2"/>
    <w:rsid w:val="00C850D1"/>
    <w:rsid w:val="00C853F3"/>
    <w:rsid w:val="00C8643B"/>
    <w:rsid w:val="00C86710"/>
    <w:rsid w:val="00C867AA"/>
    <w:rsid w:val="00C868F7"/>
    <w:rsid w:val="00C869EB"/>
    <w:rsid w:val="00C86FE9"/>
    <w:rsid w:val="00C87E03"/>
    <w:rsid w:val="00C9044C"/>
    <w:rsid w:val="00C907F6"/>
    <w:rsid w:val="00C908B4"/>
    <w:rsid w:val="00C908D2"/>
    <w:rsid w:val="00C9092B"/>
    <w:rsid w:val="00C90B6F"/>
    <w:rsid w:val="00C90E48"/>
    <w:rsid w:val="00C914E4"/>
    <w:rsid w:val="00C9189A"/>
    <w:rsid w:val="00C91973"/>
    <w:rsid w:val="00C92107"/>
    <w:rsid w:val="00C9213B"/>
    <w:rsid w:val="00C92320"/>
    <w:rsid w:val="00C924EF"/>
    <w:rsid w:val="00C926C3"/>
    <w:rsid w:val="00C927F4"/>
    <w:rsid w:val="00C93082"/>
    <w:rsid w:val="00C9341B"/>
    <w:rsid w:val="00C94CC6"/>
    <w:rsid w:val="00C94D0A"/>
    <w:rsid w:val="00C94E6D"/>
    <w:rsid w:val="00C950D3"/>
    <w:rsid w:val="00C95638"/>
    <w:rsid w:val="00C95795"/>
    <w:rsid w:val="00C95A66"/>
    <w:rsid w:val="00C95A69"/>
    <w:rsid w:val="00C95C5A"/>
    <w:rsid w:val="00C95CE4"/>
    <w:rsid w:val="00C966D4"/>
    <w:rsid w:val="00C96B37"/>
    <w:rsid w:val="00CA0174"/>
    <w:rsid w:val="00CA034A"/>
    <w:rsid w:val="00CA0BB2"/>
    <w:rsid w:val="00CA16F3"/>
    <w:rsid w:val="00CA1882"/>
    <w:rsid w:val="00CA276C"/>
    <w:rsid w:val="00CA2C0D"/>
    <w:rsid w:val="00CA37F9"/>
    <w:rsid w:val="00CA3B4C"/>
    <w:rsid w:val="00CA3F93"/>
    <w:rsid w:val="00CA3FE6"/>
    <w:rsid w:val="00CA4A21"/>
    <w:rsid w:val="00CA4A4D"/>
    <w:rsid w:val="00CA4C62"/>
    <w:rsid w:val="00CA5B09"/>
    <w:rsid w:val="00CA738C"/>
    <w:rsid w:val="00CA73E9"/>
    <w:rsid w:val="00CA7A81"/>
    <w:rsid w:val="00CA7A94"/>
    <w:rsid w:val="00CB01A3"/>
    <w:rsid w:val="00CB05C3"/>
    <w:rsid w:val="00CB24FC"/>
    <w:rsid w:val="00CB2C52"/>
    <w:rsid w:val="00CB352E"/>
    <w:rsid w:val="00CB353F"/>
    <w:rsid w:val="00CB3549"/>
    <w:rsid w:val="00CB364A"/>
    <w:rsid w:val="00CB3A02"/>
    <w:rsid w:val="00CB3BB7"/>
    <w:rsid w:val="00CB42A2"/>
    <w:rsid w:val="00CB4584"/>
    <w:rsid w:val="00CB4699"/>
    <w:rsid w:val="00CB5169"/>
    <w:rsid w:val="00CB597B"/>
    <w:rsid w:val="00CB5E77"/>
    <w:rsid w:val="00CB5EA7"/>
    <w:rsid w:val="00CB6044"/>
    <w:rsid w:val="00CB6D22"/>
    <w:rsid w:val="00CB761D"/>
    <w:rsid w:val="00CB787D"/>
    <w:rsid w:val="00CB796F"/>
    <w:rsid w:val="00CB7A22"/>
    <w:rsid w:val="00CB7A75"/>
    <w:rsid w:val="00CB7AF6"/>
    <w:rsid w:val="00CB7F57"/>
    <w:rsid w:val="00CC02AA"/>
    <w:rsid w:val="00CC11F8"/>
    <w:rsid w:val="00CC14A0"/>
    <w:rsid w:val="00CC1E44"/>
    <w:rsid w:val="00CC2363"/>
    <w:rsid w:val="00CC2877"/>
    <w:rsid w:val="00CC2A8C"/>
    <w:rsid w:val="00CC2C9B"/>
    <w:rsid w:val="00CC2D14"/>
    <w:rsid w:val="00CC2DAB"/>
    <w:rsid w:val="00CC3814"/>
    <w:rsid w:val="00CC3A1D"/>
    <w:rsid w:val="00CC3DAB"/>
    <w:rsid w:val="00CC3E81"/>
    <w:rsid w:val="00CC4874"/>
    <w:rsid w:val="00CC57BC"/>
    <w:rsid w:val="00CC5AD9"/>
    <w:rsid w:val="00CC6E0A"/>
    <w:rsid w:val="00CD0564"/>
    <w:rsid w:val="00CD05EE"/>
    <w:rsid w:val="00CD12E5"/>
    <w:rsid w:val="00CD18B2"/>
    <w:rsid w:val="00CD2308"/>
    <w:rsid w:val="00CD2582"/>
    <w:rsid w:val="00CD2CA8"/>
    <w:rsid w:val="00CD2FC6"/>
    <w:rsid w:val="00CD34A9"/>
    <w:rsid w:val="00CD3E5B"/>
    <w:rsid w:val="00CD4435"/>
    <w:rsid w:val="00CD46DB"/>
    <w:rsid w:val="00CD47A2"/>
    <w:rsid w:val="00CD4B28"/>
    <w:rsid w:val="00CD567F"/>
    <w:rsid w:val="00CD6133"/>
    <w:rsid w:val="00CD61CB"/>
    <w:rsid w:val="00CD63C6"/>
    <w:rsid w:val="00CD652D"/>
    <w:rsid w:val="00CD7192"/>
    <w:rsid w:val="00CD75FB"/>
    <w:rsid w:val="00CD77A2"/>
    <w:rsid w:val="00CD7D37"/>
    <w:rsid w:val="00CD7F17"/>
    <w:rsid w:val="00CE013D"/>
    <w:rsid w:val="00CE0215"/>
    <w:rsid w:val="00CE02E5"/>
    <w:rsid w:val="00CE03EB"/>
    <w:rsid w:val="00CE0D5D"/>
    <w:rsid w:val="00CE1067"/>
    <w:rsid w:val="00CE140B"/>
    <w:rsid w:val="00CE144D"/>
    <w:rsid w:val="00CE169C"/>
    <w:rsid w:val="00CE17AF"/>
    <w:rsid w:val="00CE1AB8"/>
    <w:rsid w:val="00CE1D83"/>
    <w:rsid w:val="00CE21FD"/>
    <w:rsid w:val="00CE22A0"/>
    <w:rsid w:val="00CE2343"/>
    <w:rsid w:val="00CE2385"/>
    <w:rsid w:val="00CE3B9D"/>
    <w:rsid w:val="00CE48C1"/>
    <w:rsid w:val="00CE5B32"/>
    <w:rsid w:val="00CE5DC2"/>
    <w:rsid w:val="00CE6395"/>
    <w:rsid w:val="00CE6C2D"/>
    <w:rsid w:val="00CE7500"/>
    <w:rsid w:val="00CF00BA"/>
    <w:rsid w:val="00CF029D"/>
    <w:rsid w:val="00CF0914"/>
    <w:rsid w:val="00CF0BEE"/>
    <w:rsid w:val="00CF1AF5"/>
    <w:rsid w:val="00CF1C1A"/>
    <w:rsid w:val="00CF1C8C"/>
    <w:rsid w:val="00CF1EE5"/>
    <w:rsid w:val="00CF216D"/>
    <w:rsid w:val="00CF21CE"/>
    <w:rsid w:val="00CF2C21"/>
    <w:rsid w:val="00CF2E6E"/>
    <w:rsid w:val="00CF37BB"/>
    <w:rsid w:val="00CF3CC2"/>
    <w:rsid w:val="00CF3CC5"/>
    <w:rsid w:val="00CF3E17"/>
    <w:rsid w:val="00CF40E4"/>
    <w:rsid w:val="00CF5321"/>
    <w:rsid w:val="00CF58BB"/>
    <w:rsid w:val="00CF5A44"/>
    <w:rsid w:val="00CF6A28"/>
    <w:rsid w:val="00CF6B5D"/>
    <w:rsid w:val="00CF6C83"/>
    <w:rsid w:val="00CF6DA1"/>
    <w:rsid w:val="00CF70B9"/>
    <w:rsid w:val="00CF7123"/>
    <w:rsid w:val="00CF762F"/>
    <w:rsid w:val="00CF79A9"/>
    <w:rsid w:val="00CF7D20"/>
    <w:rsid w:val="00CF7D5A"/>
    <w:rsid w:val="00D00477"/>
    <w:rsid w:val="00D005B9"/>
    <w:rsid w:val="00D00908"/>
    <w:rsid w:val="00D00BB1"/>
    <w:rsid w:val="00D00DCC"/>
    <w:rsid w:val="00D00EE1"/>
    <w:rsid w:val="00D011F8"/>
    <w:rsid w:val="00D0147F"/>
    <w:rsid w:val="00D018FB"/>
    <w:rsid w:val="00D019A4"/>
    <w:rsid w:val="00D01A22"/>
    <w:rsid w:val="00D01A73"/>
    <w:rsid w:val="00D01F0E"/>
    <w:rsid w:val="00D02307"/>
    <w:rsid w:val="00D0263F"/>
    <w:rsid w:val="00D029F7"/>
    <w:rsid w:val="00D02C16"/>
    <w:rsid w:val="00D02CA6"/>
    <w:rsid w:val="00D02CAE"/>
    <w:rsid w:val="00D02D42"/>
    <w:rsid w:val="00D0314D"/>
    <w:rsid w:val="00D0340B"/>
    <w:rsid w:val="00D03432"/>
    <w:rsid w:val="00D0363E"/>
    <w:rsid w:val="00D03664"/>
    <w:rsid w:val="00D03996"/>
    <w:rsid w:val="00D03B5E"/>
    <w:rsid w:val="00D03DC7"/>
    <w:rsid w:val="00D03E9C"/>
    <w:rsid w:val="00D042E7"/>
    <w:rsid w:val="00D0469A"/>
    <w:rsid w:val="00D04D9C"/>
    <w:rsid w:val="00D051FE"/>
    <w:rsid w:val="00D059D3"/>
    <w:rsid w:val="00D05AB7"/>
    <w:rsid w:val="00D05B39"/>
    <w:rsid w:val="00D060F2"/>
    <w:rsid w:val="00D06C05"/>
    <w:rsid w:val="00D06E2E"/>
    <w:rsid w:val="00D071AB"/>
    <w:rsid w:val="00D0737C"/>
    <w:rsid w:val="00D07389"/>
    <w:rsid w:val="00D073AA"/>
    <w:rsid w:val="00D0747C"/>
    <w:rsid w:val="00D0757E"/>
    <w:rsid w:val="00D07A42"/>
    <w:rsid w:val="00D07D73"/>
    <w:rsid w:val="00D07D9B"/>
    <w:rsid w:val="00D101A5"/>
    <w:rsid w:val="00D10AC9"/>
    <w:rsid w:val="00D10AD0"/>
    <w:rsid w:val="00D10FE3"/>
    <w:rsid w:val="00D11B85"/>
    <w:rsid w:val="00D1213B"/>
    <w:rsid w:val="00D121EF"/>
    <w:rsid w:val="00D127B6"/>
    <w:rsid w:val="00D12808"/>
    <w:rsid w:val="00D12B9B"/>
    <w:rsid w:val="00D13045"/>
    <w:rsid w:val="00D13262"/>
    <w:rsid w:val="00D13EB7"/>
    <w:rsid w:val="00D14A8C"/>
    <w:rsid w:val="00D14BBC"/>
    <w:rsid w:val="00D151BF"/>
    <w:rsid w:val="00D151E8"/>
    <w:rsid w:val="00D15411"/>
    <w:rsid w:val="00D15583"/>
    <w:rsid w:val="00D157AF"/>
    <w:rsid w:val="00D15CA7"/>
    <w:rsid w:val="00D165C2"/>
    <w:rsid w:val="00D16693"/>
    <w:rsid w:val="00D168F1"/>
    <w:rsid w:val="00D16C24"/>
    <w:rsid w:val="00D16E25"/>
    <w:rsid w:val="00D16FBF"/>
    <w:rsid w:val="00D1738C"/>
    <w:rsid w:val="00D1746C"/>
    <w:rsid w:val="00D17596"/>
    <w:rsid w:val="00D17C5F"/>
    <w:rsid w:val="00D17E2F"/>
    <w:rsid w:val="00D201B0"/>
    <w:rsid w:val="00D20A46"/>
    <w:rsid w:val="00D21B93"/>
    <w:rsid w:val="00D21BD7"/>
    <w:rsid w:val="00D21EC0"/>
    <w:rsid w:val="00D22118"/>
    <w:rsid w:val="00D225B1"/>
    <w:rsid w:val="00D22834"/>
    <w:rsid w:val="00D22893"/>
    <w:rsid w:val="00D22A95"/>
    <w:rsid w:val="00D23693"/>
    <w:rsid w:val="00D23890"/>
    <w:rsid w:val="00D23C31"/>
    <w:rsid w:val="00D23F66"/>
    <w:rsid w:val="00D244E5"/>
    <w:rsid w:val="00D24861"/>
    <w:rsid w:val="00D251FB"/>
    <w:rsid w:val="00D25775"/>
    <w:rsid w:val="00D259EB"/>
    <w:rsid w:val="00D26D36"/>
    <w:rsid w:val="00D271A2"/>
    <w:rsid w:val="00D271C1"/>
    <w:rsid w:val="00D2755B"/>
    <w:rsid w:val="00D279DB"/>
    <w:rsid w:val="00D27CD3"/>
    <w:rsid w:val="00D3036A"/>
    <w:rsid w:val="00D307F8"/>
    <w:rsid w:val="00D30C06"/>
    <w:rsid w:val="00D3155F"/>
    <w:rsid w:val="00D31C60"/>
    <w:rsid w:val="00D32BD4"/>
    <w:rsid w:val="00D330C3"/>
    <w:rsid w:val="00D33268"/>
    <w:rsid w:val="00D332AF"/>
    <w:rsid w:val="00D334D8"/>
    <w:rsid w:val="00D3432F"/>
    <w:rsid w:val="00D34D38"/>
    <w:rsid w:val="00D3570B"/>
    <w:rsid w:val="00D359FB"/>
    <w:rsid w:val="00D36155"/>
    <w:rsid w:val="00D3726E"/>
    <w:rsid w:val="00D37523"/>
    <w:rsid w:val="00D37D17"/>
    <w:rsid w:val="00D37DD1"/>
    <w:rsid w:val="00D405E6"/>
    <w:rsid w:val="00D4066E"/>
    <w:rsid w:val="00D40F43"/>
    <w:rsid w:val="00D41542"/>
    <w:rsid w:val="00D415DC"/>
    <w:rsid w:val="00D4271A"/>
    <w:rsid w:val="00D42797"/>
    <w:rsid w:val="00D42DA2"/>
    <w:rsid w:val="00D42EC7"/>
    <w:rsid w:val="00D4355E"/>
    <w:rsid w:val="00D436B9"/>
    <w:rsid w:val="00D436E7"/>
    <w:rsid w:val="00D438CA"/>
    <w:rsid w:val="00D43DAB"/>
    <w:rsid w:val="00D44640"/>
    <w:rsid w:val="00D44645"/>
    <w:rsid w:val="00D448E9"/>
    <w:rsid w:val="00D44F31"/>
    <w:rsid w:val="00D454F1"/>
    <w:rsid w:val="00D45ACD"/>
    <w:rsid w:val="00D45C32"/>
    <w:rsid w:val="00D466BC"/>
    <w:rsid w:val="00D46E67"/>
    <w:rsid w:val="00D46F9D"/>
    <w:rsid w:val="00D471BA"/>
    <w:rsid w:val="00D471FB"/>
    <w:rsid w:val="00D47336"/>
    <w:rsid w:val="00D4746F"/>
    <w:rsid w:val="00D478AF"/>
    <w:rsid w:val="00D47951"/>
    <w:rsid w:val="00D47E69"/>
    <w:rsid w:val="00D50074"/>
    <w:rsid w:val="00D50EEE"/>
    <w:rsid w:val="00D50F23"/>
    <w:rsid w:val="00D50F42"/>
    <w:rsid w:val="00D51773"/>
    <w:rsid w:val="00D51EA2"/>
    <w:rsid w:val="00D52181"/>
    <w:rsid w:val="00D52532"/>
    <w:rsid w:val="00D52C2F"/>
    <w:rsid w:val="00D54938"/>
    <w:rsid w:val="00D54AF5"/>
    <w:rsid w:val="00D54C87"/>
    <w:rsid w:val="00D54D2A"/>
    <w:rsid w:val="00D5513A"/>
    <w:rsid w:val="00D55688"/>
    <w:rsid w:val="00D556C7"/>
    <w:rsid w:val="00D55BCD"/>
    <w:rsid w:val="00D56801"/>
    <w:rsid w:val="00D56A4B"/>
    <w:rsid w:val="00D56C10"/>
    <w:rsid w:val="00D57041"/>
    <w:rsid w:val="00D57492"/>
    <w:rsid w:val="00D57A03"/>
    <w:rsid w:val="00D57AE3"/>
    <w:rsid w:val="00D604AA"/>
    <w:rsid w:val="00D60561"/>
    <w:rsid w:val="00D60775"/>
    <w:rsid w:val="00D608CC"/>
    <w:rsid w:val="00D60E88"/>
    <w:rsid w:val="00D610C9"/>
    <w:rsid w:val="00D617B1"/>
    <w:rsid w:val="00D618D6"/>
    <w:rsid w:val="00D619A7"/>
    <w:rsid w:val="00D619FF"/>
    <w:rsid w:val="00D6252C"/>
    <w:rsid w:val="00D625D2"/>
    <w:rsid w:val="00D62B69"/>
    <w:rsid w:val="00D62CD0"/>
    <w:rsid w:val="00D62DDB"/>
    <w:rsid w:val="00D637AE"/>
    <w:rsid w:val="00D63899"/>
    <w:rsid w:val="00D639EF"/>
    <w:rsid w:val="00D64145"/>
    <w:rsid w:val="00D643BF"/>
    <w:rsid w:val="00D645BE"/>
    <w:rsid w:val="00D6496E"/>
    <w:rsid w:val="00D64A33"/>
    <w:rsid w:val="00D65079"/>
    <w:rsid w:val="00D65791"/>
    <w:rsid w:val="00D65AB5"/>
    <w:rsid w:val="00D65ABA"/>
    <w:rsid w:val="00D66390"/>
    <w:rsid w:val="00D66BE0"/>
    <w:rsid w:val="00D66BE7"/>
    <w:rsid w:val="00D66D84"/>
    <w:rsid w:val="00D672D0"/>
    <w:rsid w:val="00D6778D"/>
    <w:rsid w:val="00D678E2"/>
    <w:rsid w:val="00D67946"/>
    <w:rsid w:val="00D70742"/>
    <w:rsid w:val="00D70EBF"/>
    <w:rsid w:val="00D71189"/>
    <w:rsid w:val="00D714FD"/>
    <w:rsid w:val="00D71785"/>
    <w:rsid w:val="00D718FA"/>
    <w:rsid w:val="00D71F7D"/>
    <w:rsid w:val="00D722B6"/>
    <w:rsid w:val="00D7287D"/>
    <w:rsid w:val="00D72A22"/>
    <w:rsid w:val="00D72B38"/>
    <w:rsid w:val="00D73134"/>
    <w:rsid w:val="00D733F9"/>
    <w:rsid w:val="00D7347A"/>
    <w:rsid w:val="00D738C7"/>
    <w:rsid w:val="00D73925"/>
    <w:rsid w:val="00D73D53"/>
    <w:rsid w:val="00D740AC"/>
    <w:rsid w:val="00D74E9F"/>
    <w:rsid w:val="00D752AA"/>
    <w:rsid w:val="00D75BF4"/>
    <w:rsid w:val="00D762E2"/>
    <w:rsid w:val="00D764B0"/>
    <w:rsid w:val="00D7695C"/>
    <w:rsid w:val="00D76AFC"/>
    <w:rsid w:val="00D76E7B"/>
    <w:rsid w:val="00D77589"/>
    <w:rsid w:val="00D777AB"/>
    <w:rsid w:val="00D77A19"/>
    <w:rsid w:val="00D800C9"/>
    <w:rsid w:val="00D8035F"/>
    <w:rsid w:val="00D803C7"/>
    <w:rsid w:val="00D80579"/>
    <w:rsid w:val="00D808E5"/>
    <w:rsid w:val="00D80AC6"/>
    <w:rsid w:val="00D80F7E"/>
    <w:rsid w:val="00D823D0"/>
    <w:rsid w:val="00D82C37"/>
    <w:rsid w:val="00D83B09"/>
    <w:rsid w:val="00D84097"/>
    <w:rsid w:val="00D8535B"/>
    <w:rsid w:val="00D85E50"/>
    <w:rsid w:val="00D86588"/>
    <w:rsid w:val="00D866ED"/>
    <w:rsid w:val="00D86836"/>
    <w:rsid w:val="00D86DBC"/>
    <w:rsid w:val="00D8733C"/>
    <w:rsid w:val="00D87587"/>
    <w:rsid w:val="00D87846"/>
    <w:rsid w:val="00D87BAA"/>
    <w:rsid w:val="00D908B8"/>
    <w:rsid w:val="00D90E0C"/>
    <w:rsid w:val="00D90E1B"/>
    <w:rsid w:val="00D91200"/>
    <w:rsid w:val="00D913A6"/>
    <w:rsid w:val="00D914CA"/>
    <w:rsid w:val="00D91768"/>
    <w:rsid w:val="00D91887"/>
    <w:rsid w:val="00D91A35"/>
    <w:rsid w:val="00D91B8D"/>
    <w:rsid w:val="00D91D07"/>
    <w:rsid w:val="00D91D99"/>
    <w:rsid w:val="00D91E07"/>
    <w:rsid w:val="00D9207E"/>
    <w:rsid w:val="00D924D2"/>
    <w:rsid w:val="00D925D3"/>
    <w:rsid w:val="00D92619"/>
    <w:rsid w:val="00D9314B"/>
    <w:rsid w:val="00D931AD"/>
    <w:rsid w:val="00D93A88"/>
    <w:rsid w:val="00D9446F"/>
    <w:rsid w:val="00D94A8F"/>
    <w:rsid w:val="00D95762"/>
    <w:rsid w:val="00D95C54"/>
    <w:rsid w:val="00D95C9A"/>
    <w:rsid w:val="00D95DAE"/>
    <w:rsid w:val="00D966C2"/>
    <w:rsid w:val="00D9671F"/>
    <w:rsid w:val="00D967FB"/>
    <w:rsid w:val="00D96BBD"/>
    <w:rsid w:val="00D96FB5"/>
    <w:rsid w:val="00D973B6"/>
    <w:rsid w:val="00D97659"/>
    <w:rsid w:val="00D9795A"/>
    <w:rsid w:val="00D97C6E"/>
    <w:rsid w:val="00D97C97"/>
    <w:rsid w:val="00DA0230"/>
    <w:rsid w:val="00DA07D9"/>
    <w:rsid w:val="00DA07ED"/>
    <w:rsid w:val="00DA0D2E"/>
    <w:rsid w:val="00DA0F14"/>
    <w:rsid w:val="00DA0F6B"/>
    <w:rsid w:val="00DA1247"/>
    <w:rsid w:val="00DA157A"/>
    <w:rsid w:val="00DA1D5B"/>
    <w:rsid w:val="00DA1E8F"/>
    <w:rsid w:val="00DA22A3"/>
    <w:rsid w:val="00DA32AD"/>
    <w:rsid w:val="00DA33D3"/>
    <w:rsid w:val="00DA355D"/>
    <w:rsid w:val="00DA380A"/>
    <w:rsid w:val="00DA3A85"/>
    <w:rsid w:val="00DA4387"/>
    <w:rsid w:val="00DA4570"/>
    <w:rsid w:val="00DA48A1"/>
    <w:rsid w:val="00DA4916"/>
    <w:rsid w:val="00DA4969"/>
    <w:rsid w:val="00DA4ADF"/>
    <w:rsid w:val="00DA5399"/>
    <w:rsid w:val="00DA5414"/>
    <w:rsid w:val="00DA6B33"/>
    <w:rsid w:val="00DA6C35"/>
    <w:rsid w:val="00DA6EF0"/>
    <w:rsid w:val="00DA72A6"/>
    <w:rsid w:val="00DA72BD"/>
    <w:rsid w:val="00DA72E4"/>
    <w:rsid w:val="00DA77B2"/>
    <w:rsid w:val="00DA7FBA"/>
    <w:rsid w:val="00DB05F0"/>
    <w:rsid w:val="00DB18D9"/>
    <w:rsid w:val="00DB18E5"/>
    <w:rsid w:val="00DB18FC"/>
    <w:rsid w:val="00DB1BA5"/>
    <w:rsid w:val="00DB22C0"/>
    <w:rsid w:val="00DB2FAC"/>
    <w:rsid w:val="00DB3FB5"/>
    <w:rsid w:val="00DB5099"/>
    <w:rsid w:val="00DB5382"/>
    <w:rsid w:val="00DB5E08"/>
    <w:rsid w:val="00DB5EE4"/>
    <w:rsid w:val="00DB69BB"/>
    <w:rsid w:val="00DB725A"/>
    <w:rsid w:val="00DB77F4"/>
    <w:rsid w:val="00DB7E3F"/>
    <w:rsid w:val="00DB7F8B"/>
    <w:rsid w:val="00DC0B02"/>
    <w:rsid w:val="00DC0B36"/>
    <w:rsid w:val="00DC2240"/>
    <w:rsid w:val="00DC245E"/>
    <w:rsid w:val="00DC250C"/>
    <w:rsid w:val="00DC26F5"/>
    <w:rsid w:val="00DC2895"/>
    <w:rsid w:val="00DC2939"/>
    <w:rsid w:val="00DC2B35"/>
    <w:rsid w:val="00DC2B7E"/>
    <w:rsid w:val="00DC2C14"/>
    <w:rsid w:val="00DC2E77"/>
    <w:rsid w:val="00DC2ED2"/>
    <w:rsid w:val="00DC30EB"/>
    <w:rsid w:val="00DC33F8"/>
    <w:rsid w:val="00DC35F3"/>
    <w:rsid w:val="00DC38F4"/>
    <w:rsid w:val="00DC42CE"/>
    <w:rsid w:val="00DC4D0F"/>
    <w:rsid w:val="00DC51B8"/>
    <w:rsid w:val="00DC52BE"/>
    <w:rsid w:val="00DC550D"/>
    <w:rsid w:val="00DC59F7"/>
    <w:rsid w:val="00DC6085"/>
    <w:rsid w:val="00DC70D3"/>
    <w:rsid w:val="00DC7485"/>
    <w:rsid w:val="00DC7891"/>
    <w:rsid w:val="00DC7F85"/>
    <w:rsid w:val="00DD077C"/>
    <w:rsid w:val="00DD0D4D"/>
    <w:rsid w:val="00DD1604"/>
    <w:rsid w:val="00DD179A"/>
    <w:rsid w:val="00DD1A14"/>
    <w:rsid w:val="00DD2A0C"/>
    <w:rsid w:val="00DD2A55"/>
    <w:rsid w:val="00DD2C61"/>
    <w:rsid w:val="00DD2FD1"/>
    <w:rsid w:val="00DD3773"/>
    <w:rsid w:val="00DD3D20"/>
    <w:rsid w:val="00DD3F02"/>
    <w:rsid w:val="00DD4C3F"/>
    <w:rsid w:val="00DD5023"/>
    <w:rsid w:val="00DD516C"/>
    <w:rsid w:val="00DD547D"/>
    <w:rsid w:val="00DD5525"/>
    <w:rsid w:val="00DD555C"/>
    <w:rsid w:val="00DD56BE"/>
    <w:rsid w:val="00DD679D"/>
    <w:rsid w:val="00DD6B90"/>
    <w:rsid w:val="00DD776F"/>
    <w:rsid w:val="00DD778C"/>
    <w:rsid w:val="00DD7E04"/>
    <w:rsid w:val="00DE040A"/>
    <w:rsid w:val="00DE07C2"/>
    <w:rsid w:val="00DE07F1"/>
    <w:rsid w:val="00DE0938"/>
    <w:rsid w:val="00DE141E"/>
    <w:rsid w:val="00DE1B0D"/>
    <w:rsid w:val="00DE20CF"/>
    <w:rsid w:val="00DE2536"/>
    <w:rsid w:val="00DE278A"/>
    <w:rsid w:val="00DE2BD2"/>
    <w:rsid w:val="00DE2E6F"/>
    <w:rsid w:val="00DE366B"/>
    <w:rsid w:val="00DE3E1B"/>
    <w:rsid w:val="00DE4747"/>
    <w:rsid w:val="00DE4BD4"/>
    <w:rsid w:val="00DE5265"/>
    <w:rsid w:val="00DE5406"/>
    <w:rsid w:val="00DE546D"/>
    <w:rsid w:val="00DE5809"/>
    <w:rsid w:val="00DE5F2C"/>
    <w:rsid w:val="00DE6986"/>
    <w:rsid w:val="00DE6B08"/>
    <w:rsid w:val="00DE6B51"/>
    <w:rsid w:val="00DE6D1B"/>
    <w:rsid w:val="00DE70A5"/>
    <w:rsid w:val="00DE7955"/>
    <w:rsid w:val="00DE7F5B"/>
    <w:rsid w:val="00DF04BA"/>
    <w:rsid w:val="00DF0687"/>
    <w:rsid w:val="00DF14C5"/>
    <w:rsid w:val="00DF155F"/>
    <w:rsid w:val="00DF1D66"/>
    <w:rsid w:val="00DF1F2C"/>
    <w:rsid w:val="00DF26E6"/>
    <w:rsid w:val="00DF2AD8"/>
    <w:rsid w:val="00DF3827"/>
    <w:rsid w:val="00DF3DB8"/>
    <w:rsid w:val="00DF4152"/>
    <w:rsid w:val="00DF4A81"/>
    <w:rsid w:val="00DF4BD7"/>
    <w:rsid w:val="00DF4C1B"/>
    <w:rsid w:val="00DF5009"/>
    <w:rsid w:val="00DF507B"/>
    <w:rsid w:val="00DF5087"/>
    <w:rsid w:val="00DF5426"/>
    <w:rsid w:val="00DF54D6"/>
    <w:rsid w:val="00DF5A30"/>
    <w:rsid w:val="00DF5DD0"/>
    <w:rsid w:val="00DF62F9"/>
    <w:rsid w:val="00DF644B"/>
    <w:rsid w:val="00DF66B2"/>
    <w:rsid w:val="00DF6EDC"/>
    <w:rsid w:val="00DF74EB"/>
    <w:rsid w:val="00DF7C51"/>
    <w:rsid w:val="00E000E8"/>
    <w:rsid w:val="00E0010B"/>
    <w:rsid w:val="00E00476"/>
    <w:rsid w:val="00E008B6"/>
    <w:rsid w:val="00E00985"/>
    <w:rsid w:val="00E00E3E"/>
    <w:rsid w:val="00E0175A"/>
    <w:rsid w:val="00E01A2A"/>
    <w:rsid w:val="00E01A6A"/>
    <w:rsid w:val="00E01DDA"/>
    <w:rsid w:val="00E0290B"/>
    <w:rsid w:val="00E02A2D"/>
    <w:rsid w:val="00E02E36"/>
    <w:rsid w:val="00E02EE4"/>
    <w:rsid w:val="00E032C1"/>
    <w:rsid w:val="00E03347"/>
    <w:rsid w:val="00E03E92"/>
    <w:rsid w:val="00E03EB4"/>
    <w:rsid w:val="00E04030"/>
    <w:rsid w:val="00E045E9"/>
    <w:rsid w:val="00E04FBA"/>
    <w:rsid w:val="00E052EC"/>
    <w:rsid w:val="00E058B1"/>
    <w:rsid w:val="00E062B8"/>
    <w:rsid w:val="00E06C0A"/>
    <w:rsid w:val="00E06DBE"/>
    <w:rsid w:val="00E06DEF"/>
    <w:rsid w:val="00E0736D"/>
    <w:rsid w:val="00E07894"/>
    <w:rsid w:val="00E07D09"/>
    <w:rsid w:val="00E07F58"/>
    <w:rsid w:val="00E1016D"/>
    <w:rsid w:val="00E10777"/>
    <w:rsid w:val="00E10EC1"/>
    <w:rsid w:val="00E11306"/>
    <w:rsid w:val="00E113E5"/>
    <w:rsid w:val="00E1158D"/>
    <w:rsid w:val="00E11A9E"/>
    <w:rsid w:val="00E11D93"/>
    <w:rsid w:val="00E1202F"/>
    <w:rsid w:val="00E1240C"/>
    <w:rsid w:val="00E125A4"/>
    <w:rsid w:val="00E127E8"/>
    <w:rsid w:val="00E12D52"/>
    <w:rsid w:val="00E12FD1"/>
    <w:rsid w:val="00E132B1"/>
    <w:rsid w:val="00E137B2"/>
    <w:rsid w:val="00E137EB"/>
    <w:rsid w:val="00E13C85"/>
    <w:rsid w:val="00E14259"/>
    <w:rsid w:val="00E1430A"/>
    <w:rsid w:val="00E14BFA"/>
    <w:rsid w:val="00E15753"/>
    <w:rsid w:val="00E15BC3"/>
    <w:rsid w:val="00E15F3A"/>
    <w:rsid w:val="00E163D1"/>
    <w:rsid w:val="00E166A6"/>
    <w:rsid w:val="00E16910"/>
    <w:rsid w:val="00E17242"/>
    <w:rsid w:val="00E1727F"/>
    <w:rsid w:val="00E176BA"/>
    <w:rsid w:val="00E1772B"/>
    <w:rsid w:val="00E1774E"/>
    <w:rsid w:val="00E17AC8"/>
    <w:rsid w:val="00E17FD7"/>
    <w:rsid w:val="00E214A4"/>
    <w:rsid w:val="00E21870"/>
    <w:rsid w:val="00E21B04"/>
    <w:rsid w:val="00E2258B"/>
    <w:rsid w:val="00E22786"/>
    <w:rsid w:val="00E22F57"/>
    <w:rsid w:val="00E2310E"/>
    <w:rsid w:val="00E23D9C"/>
    <w:rsid w:val="00E24368"/>
    <w:rsid w:val="00E243C2"/>
    <w:rsid w:val="00E25540"/>
    <w:rsid w:val="00E257A4"/>
    <w:rsid w:val="00E26434"/>
    <w:rsid w:val="00E2681E"/>
    <w:rsid w:val="00E268E3"/>
    <w:rsid w:val="00E307D8"/>
    <w:rsid w:val="00E30D73"/>
    <w:rsid w:val="00E30DD6"/>
    <w:rsid w:val="00E30F63"/>
    <w:rsid w:val="00E31414"/>
    <w:rsid w:val="00E31530"/>
    <w:rsid w:val="00E3182E"/>
    <w:rsid w:val="00E31D99"/>
    <w:rsid w:val="00E32721"/>
    <w:rsid w:val="00E330E5"/>
    <w:rsid w:val="00E33C8B"/>
    <w:rsid w:val="00E33D6B"/>
    <w:rsid w:val="00E34290"/>
    <w:rsid w:val="00E346D5"/>
    <w:rsid w:val="00E34A8C"/>
    <w:rsid w:val="00E34D64"/>
    <w:rsid w:val="00E3508A"/>
    <w:rsid w:val="00E352E3"/>
    <w:rsid w:val="00E35522"/>
    <w:rsid w:val="00E358A6"/>
    <w:rsid w:val="00E363EA"/>
    <w:rsid w:val="00E365C9"/>
    <w:rsid w:val="00E36CBD"/>
    <w:rsid w:val="00E3715A"/>
    <w:rsid w:val="00E37267"/>
    <w:rsid w:val="00E3740F"/>
    <w:rsid w:val="00E374CE"/>
    <w:rsid w:val="00E3770B"/>
    <w:rsid w:val="00E40311"/>
    <w:rsid w:val="00E40934"/>
    <w:rsid w:val="00E40E2B"/>
    <w:rsid w:val="00E413C1"/>
    <w:rsid w:val="00E41502"/>
    <w:rsid w:val="00E416E1"/>
    <w:rsid w:val="00E41B37"/>
    <w:rsid w:val="00E41E5F"/>
    <w:rsid w:val="00E41ECB"/>
    <w:rsid w:val="00E4204D"/>
    <w:rsid w:val="00E4214F"/>
    <w:rsid w:val="00E42177"/>
    <w:rsid w:val="00E429AE"/>
    <w:rsid w:val="00E42B13"/>
    <w:rsid w:val="00E42C39"/>
    <w:rsid w:val="00E42FB1"/>
    <w:rsid w:val="00E43339"/>
    <w:rsid w:val="00E43DF6"/>
    <w:rsid w:val="00E43F31"/>
    <w:rsid w:val="00E43F81"/>
    <w:rsid w:val="00E44009"/>
    <w:rsid w:val="00E441FF"/>
    <w:rsid w:val="00E445DC"/>
    <w:rsid w:val="00E446E7"/>
    <w:rsid w:val="00E4489E"/>
    <w:rsid w:val="00E44986"/>
    <w:rsid w:val="00E44A74"/>
    <w:rsid w:val="00E456A4"/>
    <w:rsid w:val="00E456FD"/>
    <w:rsid w:val="00E45853"/>
    <w:rsid w:val="00E45C2E"/>
    <w:rsid w:val="00E46212"/>
    <w:rsid w:val="00E463EC"/>
    <w:rsid w:val="00E46668"/>
    <w:rsid w:val="00E4676C"/>
    <w:rsid w:val="00E46843"/>
    <w:rsid w:val="00E5049B"/>
    <w:rsid w:val="00E50609"/>
    <w:rsid w:val="00E507F2"/>
    <w:rsid w:val="00E50E7C"/>
    <w:rsid w:val="00E5102F"/>
    <w:rsid w:val="00E5152F"/>
    <w:rsid w:val="00E51919"/>
    <w:rsid w:val="00E51E98"/>
    <w:rsid w:val="00E526D9"/>
    <w:rsid w:val="00E529C5"/>
    <w:rsid w:val="00E52A81"/>
    <w:rsid w:val="00E52F64"/>
    <w:rsid w:val="00E53B2A"/>
    <w:rsid w:val="00E54494"/>
    <w:rsid w:val="00E54699"/>
    <w:rsid w:val="00E548C0"/>
    <w:rsid w:val="00E5497F"/>
    <w:rsid w:val="00E54C51"/>
    <w:rsid w:val="00E54CCF"/>
    <w:rsid w:val="00E56C28"/>
    <w:rsid w:val="00E56F5D"/>
    <w:rsid w:val="00E57B26"/>
    <w:rsid w:val="00E6007C"/>
    <w:rsid w:val="00E60B98"/>
    <w:rsid w:val="00E60E7E"/>
    <w:rsid w:val="00E60F0A"/>
    <w:rsid w:val="00E614DE"/>
    <w:rsid w:val="00E6156E"/>
    <w:rsid w:val="00E619BB"/>
    <w:rsid w:val="00E620CF"/>
    <w:rsid w:val="00E627D2"/>
    <w:rsid w:val="00E62C75"/>
    <w:rsid w:val="00E62D1C"/>
    <w:rsid w:val="00E62EDF"/>
    <w:rsid w:val="00E6305F"/>
    <w:rsid w:val="00E6342A"/>
    <w:rsid w:val="00E634AF"/>
    <w:rsid w:val="00E63795"/>
    <w:rsid w:val="00E63A09"/>
    <w:rsid w:val="00E63AA8"/>
    <w:rsid w:val="00E63E37"/>
    <w:rsid w:val="00E642F0"/>
    <w:rsid w:val="00E6546D"/>
    <w:rsid w:val="00E65D8F"/>
    <w:rsid w:val="00E65F0E"/>
    <w:rsid w:val="00E66250"/>
    <w:rsid w:val="00E66519"/>
    <w:rsid w:val="00E66A7B"/>
    <w:rsid w:val="00E66F8A"/>
    <w:rsid w:val="00E6764D"/>
    <w:rsid w:val="00E67778"/>
    <w:rsid w:val="00E679A5"/>
    <w:rsid w:val="00E67A80"/>
    <w:rsid w:val="00E67CEF"/>
    <w:rsid w:val="00E67F3B"/>
    <w:rsid w:val="00E70595"/>
    <w:rsid w:val="00E70941"/>
    <w:rsid w:val="00E70E29"/>
    <w:rsid w:val="00E716F3"/>
    <w:rsid w:val="00E71C99"/>
    <w:rsid w:val="00E7235E"/>
    <w:rsid w:val="00E727AD"/>
    <w:rsid w:val="00E7298A"/>
    <w:rsid w:val="00E72DA9"/>
    <w:rsid w:val="00E72FEF"/>
    <w:rsid w:val="00E732C2"/>
    <w:rsid w:val="00E73505"/>
    <w:rsid w:val="00E738F9"/>
    <w:rsid w:val="00E73BDA"/>
    <w:rsid w:val="00E74049"/>
    <w:rsid w:val="00E7407A"/>
    <w:rsid w:val="00E75183"/>
    <w:rsid w:val="00E7530F"/>
    <w:rsid w:val="00E7536C"/>
    <w:rsid w:val="00E75B0D"/>
    <w:rsid w:val="00E75F2D"/>
    <w:rsid w:val="00E75F5E"/>
    <w:rsid w:val="00E76425"/>
    <w:rsid w:val="00E764BC"/>
    <w:rsid w:val="00E76550"/>
    <w:rsid w:val="00E76A3D"/>
    <w:rsid w:val="00E76A45"/>
    <w:rsid w:val="00E76A81"/>
    <w:rsid w:val="00E773AC"/>
    <w:rsid w:val="00E77610"/>
    <w:rsid w:val="00E8029B"/>
    <w:rsid w:val="00E80753"/>
    <w:rsid w:val="00E8091E"/>
    <w:rsid w:val="00E80989"/>
    <w:rsid w:val="00E809D7"/>
    <w:rsid w:val="00E81402"/>
    <w:rsid w:val="00E81AAE"/>
    <w:rsid w:val="00E82181"/>
    <w:rsid w:val="00E827F1"/>
    <w:rsid w:val="00E82E94"/>
    <w:rsid w:val="00E82ED4"/>
    <w:rsid w:val="00E8309E"/>
    <w:rsid w:val="00E83387"/>
    <w:rsid w:val="00E8353B"/>
    <w:rsid w:val="00E83965"/>
    <w:rsid w:val="00E84866"/>
    <w:rsid w:val="00E84AFF"/>
    <w:rsid w:val="00E84F42"/>
    <w:rsid w:val="00E85010"/>
    <w:rsid w:val="00E850B1"/>
    <w:rsid w:val="00E851A7"/>
    <w:rsid w:val="00E85BAF"/>
    <w:rsid w:val="00E85CA5"/>
    <w:rsid w:val="00E85F6F"/>
    <w:rsid w:val="00E8643D"/>
    <w:rsid w:val="00E86CBD"/>
    <w:rsid w:val="00E870D9"/>
    <w:rsid w:val="00E8769A"/>
    <w:rsid w:val="00E8797E"/>
    <w:rsid w:val="00E87F28"/>
    <w:rsid w:val="00E9011B"/>
    <w:rsid w:val="00E9058F"/>
    <w:rsid w:val="00E9063E"/>
    <w:rsid w:val="00E9089B"/>
    <w:rsid w:val="00E91222"/>
    <w:rsid w:val="00E91560"/>
    <w:rsid w:val="00E917C8"/>
    <w:rsid w:val="00E91CBE"/>
    <w:rsid w:val="00E91DC1"/>
    <w:rsid w:val="00E9200B"/>
    <w:rsid w:val="00E921CC"/>
    <w:rsid w:val="00E921D6"/>
    <w:rsid w:val="00E924CF"/>
    <w:rsid w:val="00E9258F"/>
    <w:rsid w:val="00E926A2"/>
    <w:rsid w:val="00E927F1"/>
    <w:rsid w:val="00E92AAF"/>
    <w:rsid w:val="00E92B1A"/>
    <w:rsid w:val="00E92E5D"/>
    <w:rsid w:val="00E92ED6"/>
    <w:rsid w:val="00E933EF"/>
    <w:rsid w:val="00E93694"/>
    <w:rsid w:val="00E93FCF"/>
    <w:rsid w:val="00E93FD5"/>
    <w:rsid w:val="00E943F8"/>
    <w:rsid w:val="00E94564"/>
    <w:rsid w:val="00E9462C"/>
    <w:rsid w:val="00E94AF4"/>
    <w:rsid w:val="00E9568C"/>
    <w:rsid w:val="00E95E10"/>
    <w:rsid w:val="00E96802"/>
    <w:rsid w:val="00E968B0"/>
    <w:rsid w:val="00E9701D"/>
    <w:rsid w:val="00E973EA"/>
    <w:rsid w:val="00E97568"/>
    <w:rsid w:val="00EA00B1"/>
    <w:rsid w:val="00EA00F0"/>
    <w:rsid w:val="00EA0609"/>
    <w:rsid w:val="00EA075A"/>
    <w:rsid w:val="00EA0764"/>
    <w:rsid w:val="00EA078B"/>
    <w:rsid w:val="00EA1779"/>
    <w:rsid w:val="00EA1885"/>
    <w:rsid w:val="00EA1962"/>
    <w:rsid w:val="00EA1AD6"/>
    <w:rsid w:val="00EA1DA3"/>
    <w:rsid w:val="00EA311E"/>
    <w:rsid w:val="00EA3C95"/>
    <w:rsid w:val="00EA47A9"/>
    <w:rsid w:val="00EA56CB"/>
    <w:rsid w:val="00EA58C2"/>
    <w:rsid w:val="00EA5B86"/>
    <w:rsid w:val="00EA5CF5"/>
    <w:rsid w:val="00EA6178"/>
    <w:rsid w:val="00EA65E4"/>
    <w:rsid w:val="00EA6979"/>
    <w:rsid w:val="00EA6A8D"/>
    <w:rsid w:val="00EA7127"/>
    <w:rsid w:val="00EA7AF3"/>
    <w:rsid w:val="00EA7B35"/>
    <w:rsid w:val="00EA7F5E"/>
    <w:rsid w:val="00EB0325"/>
    <w:rsid w:val="00EB0626"/>
    <w:rsid w:val="00EB09F2"/>
    <w:rsid w:val="00EB0CD1"/>
    <w:rsid w:val="00EB167F"/>
    <w:rsid w:val="00EB1D4D"/>
    <w:rsid w:val="00EB1EC6"/>
    <w:rsid w:val="00EB25B7"/>
    <w:rsid w:val="00EB270B"/>
    <w:rsid w:val="00EB3075"/>
    <w:rsid w:val="00EB3528"/>
    <w:rsid w:val="00EB3C84"/>
    <w:rsid w:val="00EB486A"/>
    <w:rsid w:val="00EB5178"/>
    <w:rsid w:val="00EB5503"/>
    <w:rsid w:val="00EB5735"/>
    <w:rsid w:val="00EB6155"/>
    <w:rsid w:val="00EB635B"/>
    <w:rsid w:val="00EB67F5"/>
    <w:rsid w:val="00EB6B2A"/>
    <w:rsid w:val="00EB6BD4"/>
    <w:rsid w:val="00EB70B5"/>
    <w:rsid w:val="00EB7955"/>
    <w:rsid w:val="00EB7A9B"/>
    <w:rsid w:val="00EB7FC3"/>
    <w:rsid w:val="00EC0276"/>
    <w:rsid w:val="00EC05F0"/>
    <w:rsid w:val="00EC099C"/>
    <w:rsid w:val="00EC0A05"/>
    <w:rsid w:val="00EC0A3E"/>
    <w:rsid w:val="00EC1707"/>
    <w:rsid w:val="00EC1D64"/>
    <w:rsid w:val="00EC202F"/>
    <w:rsid w:val="00EC24BB"/>
    <w:rsid w:val="00EC3028"/>
    <w:rsid w:val="00EC3447"/>
    <w:rsid w:val="00EC3BAA"/>
    <w:rsid w:val="00EC3CAA"/>
    <w:rsid w:val="00EC405A"/>
    <w:rsid w:val="00EC42D9"/>
    <w:rsid w:val="00EC450B"/>
    <w:rsid w:val="00EC4662"/>
    <w:rsid w:val="00EC4678"/>
    <w:rsid w:val="00EC48EC"/>
    <w:rsid w:val="00EC4934"/>
    <w:rsid w:val="00EC4B19"/>
    <w:rsid w:val="00EC4CD5"/>
    <w:rsid w:val="00EC52FC"/>
    <w:rsid w:val="00EC5503"/>
    <w:rsid w:val="00EC5790"/>
    <w:rsid w:val="00EC5E34"/>
    <w:rsid w:val="00EC5FAC"/>
    <w:rsid w:val="00EC602B"/>
    <w:rsid w:val="00EC6081"/>
    <w:rsid w:val="00EC62AF"/>
    <w:rsid w:val="00EC664C"/>
    <w:rsid w:val="00EC6895"/>
    <w:rsid w:val="00EC6EE6"/>
    <w:rsid w:val="00EC73B5"/>
    <w:rsid w:val="00EC7597"/>
    <w:rsid w:val="00EC7E8C"/>
    <w:rsid w:val="00ED0761"/>
    <w:rsid w:val="00ED0854"/>
    <w:rsid w:val="00ED1EEC"/>
    <w:rsid w:val="00ED206B"/>
    <w:rsid w:val="00ED270E"/>
    <w:rsid w:val="00ED2A0F"/>
    <w:rsid w:val="00ED2A9A"/>
    <w:rsid w:val="00ED3230"/>
    <w:rsid w:val="00ED356A"/>
    <w:rsid w:val="00ED3DAE"/>
    <w:rsid w:val="00ED3E1D"/>
    <w:rsid w:val="00ED40FF"/>
    <w:rsid w:val="00ED483C"/>
    <w:rsid w:val="00ED5484"/>
    <w:rsid w:val="00ED5BE0"/>
    <w:rsid w:val="00ED5C89"/>
    <w:rsid w:val="00ED5CFE"/>
    <w:rsid w:val="00ED602F"/>
    <w:rsid w:val="00ED6458"/>
    <w:rsid w:val="00ED667A"/>
    <w:rsid w:val="00ED6976"/>
    <w:rsid w:val="00ED70C3"/>
    <w:rsid w:val="00ED713B"/>
    <w:rsid w:val="00ED73F5"/>
    <w:rsid w:val="00ED76B7"/>
    <w:rsid w:val="00ED79A1"/>
    <w:rsid w:val="00ED7DC9"/>
    <w:rsid w:val="00EE0638"/>
    <w:rsid w:val="00EE0B09"/>
    <w:rsid w:val="00EE0F8A"/>
    <w:rsid w:val="00EE139C"/>
    <w:rsid w:val="00EE14B0"/>
    <w:rsid w:val="00EE1D2F"/>
    <w:rsid w:val="00EE20C9"/>
    <w:rsid w:val="00EE2118"/>
    <w:rsid w:val="00EE23A8"/>
    <w:rsid w:val="00EE299C"/>
    <w:rsid w:val="00EE2A96"/>
    <w:rsid w:val="00EE2E24"/>
    <w:rsid w:val="00EE3200"/>
    <w:rsid w:val="00EE342E"/>
    <w:rsid w:val="00EE3803"/>
    <w:rsid w:val="00EE38AB"/>
    <w:rsid w:val="00EE3977"/>
    <w:rsid w:val="00EE419D"/>
    <w:rsid w:val="00EE44AD"/>
    <w:rsid w:val="00EE46C1"/>
    <w:rsid w:val="00EE4828"/>
    <w:rsid w:val="00EE48DA"/>
    <w:rsid w:val="00EE4DF7"/>
    <w:rsid w:val="00EE4E88"/>
    <w:rsid w:val="00EE53F0"/>
    <w:rsid w:val="00EE5CB4"/>
    <w:rsid w:val="00EE5D32"/>
    <w:rsid w:val="00EE6342"/>
    <w:rsid w:val="00EE6782"/>
    <w:rsid w:val="00EE67CA"/>
    <w:rsid w:val="00EE6C55"/>
    <w:rsid w:val="00EE6DDC"/>
    <w:rsid w:val="00EE6F8C"/>
    <w:rsid w:val="00EE7195"/>
    <w:rsid w:val="00EE72A7"/>
    <w:rsid w:val="00EE774D"/>
    <w:rsid w:val="00EE7B91"/>
    <w:rsid w:val="00EE7EB3"/>
    <w:rsid w:val="00EF046C"/>
    <w:rsid w:val="00EF0631"/>
    <w:rsid w:val="00EF076D"/>
    <w:rsid w:val="00EF08A6"/>
    <w:rsid w:val="00EF0AE3"/>
    <w:rsid w:val="00EF0F4C"/>
    <w:rsid w:val="00EF11D0"/>
    <w:rsid w:val="00EF154E"/>
    <w:rsid w:val="00EF15EE"/>
    <w:rsid w:val="00EF1932"/>
    <w:rsid w:val="00EF1B1D"/>
    <w:rsid w:val="00EF1C57"/>
    <w:rsid w:val="00EF25E1"/>
    <w:rsid w:val="00EF3FEF"/>
    <w:rsid w:val="00EF45B4"/>
    <w:rsid w:val="00EF4656"/>
    <w:rsid w:val="00EF4C24"/>
    <w:rsid w:val="00EF4FD4"/>
    <w:rsid w:val="00EF561B"/>
    <w:rsid w:val="00EF5775"/>
    <w:rsid w:val="00EF6047"/>
    <w:rsid w:val="00EF60B7"/>
    <w:rsid w:val="00EF6935"/>
    <w:rsid w:val="00EF6BF1"/>
    <w:rsid w:val="00EF6FA4"/>
    <w:rsid w:val="00EF720D"/>
    <w:rsid w:val="00EF74E8"/>
    <w:rsid w:val="00EF7D5C"/>
    <w:rsid w:val="00F00567"/>
    <w:rsid w:val="00F006FA"/>
    <w:rsid w:val="00F0092D"/>
    <w:rsid w:val="00F010AA"/>
    <w:rsid w:val="00F01429"/>
    <w:rsid w:val="00F01884"/>
    <w:rsid w:val="00F0189B"/>
    <w:rsid w:val="00F01C5C"/>
    <w:rsid w:val="00F020DC"/>
    <w:rsid w:val="00F0215B"/>
    <w:rsid w:val="00F024B4"/>
    <w:rsid w:val="00F02D73"/>
    <w:rsid w:val="00F032CF"/>
    <w:rsid w:val="00F033C4"/>
    <w:rsid w:val="00F037FF"/>
    <w:rsid w:val="00F0380E"/>
    <w:rsid w:val="00F03D25"/>
    <w:rsid w:val="00F03EE7"/>
    <w:rsid w:val="00F03FD7"/>
    <w:rsid w:val="00F04070"/>
    <w:rsid w:val="00F04C5E"/>
    <w:rsid w:val="00F05169"/>
    <w:rsid w:val="00F0536A"/>
    <w:rsid w:val="00F054DF"/>
    <w:rsid w:val="00F05859"/>
    <w:rsid w:val="00F05B34"/>
    <w:rsid w:val="00F05C8C"/>
    <w:rsid w:val="00F05DCF"/>
    <w:rsid w:val="00F06191"/>
    <w:rsid w:val="00F061FC"/>
    <w:rsid w:val="00F06238"/>
    <w:rsid w:val="00F06706"/>
    <w:rsid w:val="00F06ED3"/>
    <w:rsid w:val="00F06F56"/>
    <w:rsid w:val="00F07725"/>
    <w:rsid w:val="00F0773C"/>
    <w:rsid w:val="00F07991"/>
    <w:rsid w:val="00F10C9A"/>
    <w:rsid w:val="00F10CFB"/>
    <w:rsid w:val="00F112C6"/>
    <w:rsid w:val="00F11FDD"/>
    <w:rsid w:val="00F12898"/>
    <w:rsid w:val="00F12AF5"/>
    <w:rsid w:val="00F12FC2"/>
    <w:rsid w:val="00F133B6"/>
    <w:rsid w:val="00F139A6"/>
    <w:rsid w:val="00F13F36"/>
    <w:rsid w:val="00F146F4"/>
    <w:rsid w:val="00F14BED"/>
    <w:rsid w:val="00F1525D"/>
    <w:rsid w:val="00F158E5"/>
    <w:rsid w:val="00F15C7F"/>
    <w:rsid w:val="00F16205"/>
    <w:rsid w:val="00F16553"/>
    <w:rsid w:val="00F16EE8"/>
    <w:rsid w:val="00F17038"/>
    <w:rsid w:val="00F17302"/>
    <w:rsid w:val="00F17A0F"/>
    <w:rsid w:val="00F17B14"/>
    <w:rsid w:val="00F200C1"/>
    <w:rsid w:val="00F202B9"/>
    <w:rsid w:val="00F2048C"/>
    <w:rsid w:val="00F21323"/>
    <w:rsid w:val="00F21EFE"/>
    <w:rsid w:val="00F223E6"/>
    <w:rsid w:val="00F22631"/>
    <w:rsid w:val="00F2298A"/>
    <w:rsid w:val="00F22B7C"/>
    <w:rsid w:val="00F232EF"/>
    <w:rsid w:val="00F23C5F"/>
    <w:rsid w:val="00F23D1E"/>
    <w:rsid w:val="00F242FB"/>
    <w:rsid w:val="00F2433D"/>
    <w:rsid w:val="00F2447D"/>
    <w:rsid w:val="00F248F9"/>
    <w:rsid w:val="00F24947"/>
    <w:rsid w:val="00F25248"/>
    <w:rsid w:val="00F255EC"/>
    <w:rsid w:val="00F255F6"/>
    <w:rsid w:val="00F2593B"/>
    <w:rsid w:val="00F25FB4"/>
    <w:rsid w:val="00F25FD7"/>
    <w:rsid w:val="00F26227"/>
    <w:rsid w:val="00F26546"/>
    <w:rsid w:val="00F26A1B"/>
    <w:rsid w:val="00F26E0C"/>
    <w:rsid w:val="00F274B9"/>
    <w:rsid w:val="00F275B5"/>
    <w:rsid w:val="00F27DE2"/>
    <w:rsid w:val="00F3072B"/>
    <w:rsid w:val="00F30756"/>
    <w:rsid w:val="00F30775"/>
    <w:rsid w:val="00F30A0C"/>
    <w:rsid w:val="00F30E39"/>
    <w:rsid w:val="00F31BAA"/>
    <w:rsid w:val="00F329D4"/>
    <w:rsid w:val="00F32CED"/>
    <w:rsid w:val="00F330B9"/>
    <w:rsid w:val="00F3321C"/>
    <w:rsid w:val="00F33EA3"/>
    <w:rsid w:val="00F34772"/>
    <w:rsid w:val="00F348B3"/>
    <w:rsid w:val="00F34A23"/>
    <w:rsid w:val="00F34DD7"/>
    <w:rsid w:val="00F3539F"/>
    <w:rsid w:val="00F36B8B"/>
    <w:rsid w:val="00F37A72"/>
    <w:rsid w:val="00F4044F"/>
    <w:rsid w:val="00F414CB"/>
    <w:rsid w:val="00F4166C"/>
    <w:rsid w:val="00F4168D"/>
    <w:rsid w:val="00F41990"/>
    <w:rsid w:val="00F423FC"/>
    <w:rsid w:val="00F42717"/>
    <w:rsid w:val="00F42816"/>
    <w:rsid w:val="00F42B8F"/>
    <w:rsid w:val="00F42C67"/>
    <w:rsid w:val="00F42F97"/>
    <w:rsid w:val="00F435F8"/>
    <w:rsid w:val="00F43841"/>
    <w:rsid w:val="00F43A72"/>
    <w:rsid w:val="00F44694"/>
    <w:rsid w:val="00F44DD2"/>
    <w:rsid w:val="00F44E48"/>
    <w:rsid w:val="00F457E8"/>
    <w:rsid w:val="00F46378"/>
    <w:rsid w:val="00F46A9C"/>
    <w:rsid w:val="00F46B5D"/>
    <w:rsid w:val="00F46E2A"/>
    <w:rsid w:val="00F477EC"/>
    <w:rsid w:val="00F47811"/>
    <w:rsid w:val="00F501CA"/>
    <w:rsid w:val="00F50684"/>
    <w:rsid w:val="00F5076A"/>
    <w:rsid w:val="00F50A78"/>
    <w:rsid w:val="00F511F9"/>
    <w:rsid w:val="00F51B25"/>
    <w:rsid w:val="00F51BD0"/>
    <w:rsid w:val="00F523F4"/>
    <w:rsid w:val="00F52435"/>
    <w:rsid w:val="00F52461"/>
    <w:rsid w:val="00F52912"/>
    <w:rsid w:val="00F52F1F"/>
    <w:rsid w:val="00F53310"/>
    <w:rsid w:val="00F53DB6"/>
    <w:rsid w:val="00F5458D"/>
    <w:rsid w:val="00F5499B"/>
    <w:rsid w:val="00F54AEC"/>
    <w:rsid w:val="00F54AFD"/>
    <w:rsid w:val="00F54CDD"/>
    <w:rsid w:val="00F55523"/>
    <w:rsid w:val="00F55C49"/>
    <w:rsid w:val="00F55FF5"/>
    <w:rsid w:val="00F560D8"/>
    <w:rsid w:val="00F562B2"/>
    <w:rsid w:val="00F564B4"/>
    <w:rsid w:val="00F568A7"/>
    <w:rsid w:val="00F56A5E"/>
    <w:rsid w:val="00F56B7D"/>
    <w:rsid w:val="00F577E9"/>
    <w:rsid w:val="00F60258"/>
    <w:rsid w:val="00F602B7"/>
    <w:rsid w:val="00F6048F"/>
    <w:rsid w:val="00F60600"/>
    <w:rsid w:val="00F60A3B"/>
    <w:rsid w:val="00F611CF"/>
    <w:rsid w:val="00F61B47"/>
    <w:rsid w:val="00F61D0E"/>
    <w:rsid w:val="00F62803"/>
    <w:rsid w:val="00F6284D"/>
    <w:rsid w:val="00F6291F"/>
    <w:rsid w:val="00F62C6B"/>
    <w:rsid w:val="00F62C97"/>
    <w:rsid w:val="00F62D3F"/>
    <w:rsid w:val="00F62D6B"/>
    <w:rsid w:val="00F63313"/>
    <w:rsid w:val="00F63733"/>
    <w:rsid w:val="00F646CF"/>
    <w:rsid w:val="00F64D48"/>
    <w:rsid w:val="00F64DE8"/>
    <w:rsid w:val="00F64F36"/>
    <w:rsid w:val="00F6546B"/>
    <w:rsid w:val="00F6550E"/>
    <w:rsid w:val="00F66191"/>
    <w:rsid w:val="00F665C1"/>
    <w:rsid w:val="00F666A3"/>
    <w:rsid w:val="00F66E6A"/>
    <w:rsid w:val="00F67344"/>
    <w:rsid w:val="00F67652"/>
    <w:rsid w:val="00F67AE3"/>
    <w:rsid w:val="00F67B3F"/>
    <w:rsid w:val="00F703BF"/>
    <w:rsid w:val="00F703E6"/>
    <w:rsid w:val="00F704FC"/>
    <w:rsid w:val="00F708E4"/>
    <w:rsid w:val="00F70A60"/>
    <w:rsid w:val="00F7149D"/>
    <w:rsid w:val="00F71728"/>
    <w:rsid w:val="00F7231E"/>
    <w:rsid w:val="00F72687"/>
    <w:rsid w:val="00F74383"/>
    <w:rsid w:val="00F743B2"/>
    <w:rsid w:val="00F7537E"/>
    <w:rsid w:val="00F754ED"/>
    <w:rsid w:val="00F756B0"/>
    <w:rsid w:val="00F75857"/>
    <w:rsid w:val="00F75900"/>
    <w:rsid w:val="00F75A9B"/>
    <w:rsid w:val="00F75EEE"/>
    <w:rsid w:val="00F76B28"/>
    <w:rsid w:val="00F76E55"/>
    <w:rsid w:val="00F76E68"/>
    <w:rsid w:val="00F76F1F"/>
    <w:rsid w:val="00F770AD"/>
    <w:rsid w:val="00F7716C"/>
    <w:rsid w:val="00F77636"/>
    <w:rsid w:val="00F804DB"/>
    <w:rsid w:val="00F80A30"/>
    <w:rsid w:val="00F80E5A"/>
    <w:rsid w:val="00F80FF5"/>
    <w:rsid w:val="00F8142C"/>
    <w:rsid w:val="00F81D73"/>
    <w:rsid w:val="00F8264F"/>
    <w:rsid w:val="00F82954"/>
    <w:rsid w:val="00F83478"/>
    <w:rsid w:val="00F835A0"/>
    <w:rsid w:val="00F83A2B"/>
    <w:rsid w:val="00F83A7D"/>
    <w:rsid w:val="00F83D08"/>
    <w:rsid w:val="00F83E1C"/>
    <w:rsid w:val="00F8409F"/>
    <w:rsid w:val="00F840CE"/>
    <w:rsid w:val="00F84571"/>
    <w:rsid w:val="00F84607"/>
    <w:rsid w:val="00F8468A"/>
    <w:rsid w:val="00F84C97"/>
    <w:rsid w:val="00F851A0"/>
    <w:rsid w:val="00F8596D"/>
    <w:rsid w:val="00F85D15"/>
    <w:rsid w:val="00F86170"/>
    <w:rsid w:val="00F86924"/>
    <w:rsid w:val="00F86AEA"/>
    <w:rsid w:val="00F86B5D"/>
    <w:rsid w:val="00F8745F"/>
    <w:rsid w:val="00F87791"/>
    <w:rsid w:val="00F877C2"/>
    <w:rsid w:val="00F87B4D"/>
    <w:rsid w:val="00F90098"/>
    <w:rsid w:val="00F905A6"/>
    <w:rsid w:val="00F9164C"/>
    <w:rsid w:val="00F91B2E"/>
    <w:rsid w:val="00F91E9E"/>
    <w:rsid w:val="00F9231D"/>
    <w:rsid w:val="00F92527"/>
    <w:rsid w:val="00F92796"/>
    <w:rsid w:val="00F93199"/>
    <w:rsid w:val="00F9346C"/>
    <w:rsid w:val="00F934C0"/>
    <w:rsid w:val="00F93AA0"/>
    <w:rsid w:val="00F93AD7"/>
    <w:rsid w:val="00F94704"/>
    <w:rsid w:val="00F94978"/>
    <w:rsid w:val="00F949D4"/>
    <w:rsid w:val="00F94B1D"/>
    <w:rsid w:val="00F94BB5"/>
    <w:rsid w:val="00F94F15"/>
    <w:rsid w:val="00F952C9"/>
    <w:rsid w:val="00F952E1"/>
    <w:rsid w:val="00F95A57"/>
    <w:rsid w:val="00F95B32"/>
    <w:rsid w:val="00F95CCA"/>
    <w:rsid w:val="00F96102"/>
    <w:rsid w:val="00F962CE"/>
    <w:rsid w:val="00F96C13"/>
    <w:rsid w:val="00F96D4A"/>
    <w:rsid w:val="00F96E25"/>
    <w:rsid w:val="00F972B8"/>
    <w:rsid w:val="00F97660"/>
    <w:rsid w:val="00FA02E8"/>
    <w:rsid w:val="00FA0E91"/>
    <w:rsid w:val="00FA10C9"/>
    <w:rsid w:val="00FA1494"/>
    <w:rsid w:val="00FA163A"/>
    <w:rsid w:val="00FA1AC3"/>
    <w:rsid w:val="00FA1DD2"/>
    <w:rsid w:val="00FA23FB"/>
    <w:rsid w:val="00FA36DD"/>
    <w:rsid w:val="00FA37A5"/>
    <w:rsid w:val="00FA3E47"/>
    <w:rsid w:val="00FA3FFF"/>
    <w:rsid w:val="00FA451F"/>
    <w:rsid w:val="00FA5368"/>
    <w:rsid w:val="00FA591E"/>
    <w:rsid w:val="00FA65AB"/>
    <w:rsid w:val="00FA6799"/>
    <w:rsid w:val="00FA6D4D"/>
    <w:rsid w:val="00FA6E35"/>
    <w:rsid w:val="00FA70E0"/>
    <w:rsid w:val="00FA7A21"/>
    <w:rsid w:val="00FB0167"/>
    <w:rsid w:val="00FB0224"/>
    <w:rsid w:val="00FB0391"/>
    <w:rsid w:val="00FB090E"/>
    <w:rsid w:val="00FB0E05"/>
    <w:rsid w:val="00FB0EFE"/>
    <w:rsid w:val="00FB149B"/>
    <w:rsid w:val="00FB14FB"/>
    <w:rsid w:val="00FB17FA"/>
    <w:rsid w:val="00FB190A"/>
    <w:rsid w:val="00FB1B74"/>
    <w:rsid w:val="00FB2352"/>
    <w:rsid w:val="00FB2431"/>
    <w:rsid w:val="00FB2E60"/>
    <w:rsid w:val="00FB2EEF"/>
    <w:rsid w:val="00FB31CC"/>
    <w:rsid w:val="00FB3747"/>
    <w:rsid w:val="00FB3BD9"/>
    <w:rsid w:val="00FB3C1C"/>
    <w:rsid w:val="00FB4575"/>
    <w:rsid w:val="00FB4C0D"/>
    <w:rsid w:val="00FB4C3A"/>
    <w:rsid w:val="00FB4EB7"/>
    <w:rsid w:val="00FB5E63"/>
    <w:rsid w:val="00FB6581"/>
    <w:rsid w:val="00FB667B"/>
    <w:rsid w:val="00FB69BC"/>
    <w:rsid w:val="00FB6F56"/>
    <w:rsid w:val="00FB6FF3"/>
    <w:rsid w:val="00FB7910"/>
    <w:rsid w:val="00FB7F7E"/>
    <w:rsid w:val="00FC0384"/>
    <w:rsid w:val="00FC0752"/>
    <w:rsid w:val="00FC09F4"/>
    <w:rsid w:val="00FC0B71"/>
    <w:rsid w:val="00FC0BC2"/>
    <w:rsid w:val="00FC0E5F"/>
    <w:rsid w:val="00FC0F8F"/>
    <w:rsid w:val="00FC10E8"/>
    <w:rsid w:val="00FC13B8"/>
    <w:rsid w:val="00FC13F5"/>
    <w:rsid w:val="00FC149B"/>
    <w:rsid w:val="00FC1A11"/>
    <w:rsid w:val="00FC1E35"/>
    <w:rsid w:val="00FC1F9C"/>
    <w:rsid w:val="00FC208A"/>
    <w:rsid w:val="00FC2481"/>
    <w:rsid w:val="00FC2A7A"/>
    <w:rsid w:val="00FC2B6E"/>
    <w:rsid w:val="00FC2FD9"/>
    <w:rsid w:val="00FC3051"/>
    <w:rsid w:val="00FC365D"/>
    <w:rsid w:val="00FC476F"/>
    <w:rsid w:val="00FC4BBD"/>
    <w:rsid w:val="00FC4BE5"/>
    <w:rsid w:val="00FC4CED"/>
    <w:rsid w:val="00FC5229"/>
    <w:rsid w:val="00FC5D63"/>
    <w:rsid w:val="00FC6317"/>
    <w:rsid w:val="00FC67A4"/>
    <w:rsid w:val="00FC7B1A"/>
    <w:rsid w:val="00FC7F15"/>
    <w:rsid w:val="00FD00D8"/>
    <w:rsid w:val="00FD0506"/>
    <w:rsid w:val="00FD0995"/>
    <w:rsid w:val="00FD0A4C"/>
    <w:rsid w:val="00FD0EF3"/>
    <w:rsid w:val="00FD10DB"/>
    <w:rsid w:val="00FD111A"/>
    <w:rsid w:val="00FD11F6"/>
    <w:rsid w:val="00FD128D"/>
    <w:rsid w:val="00FD1338"/>
    <w:rsid w:val="00FD211E"/>
    <w:rsid w:val="00FD3180"/>
    <w:rsid w:val="00FD3B44"/>
    <w:rsid w:val="00FD3E8A"/>
    <w:rsid w:val="00FD44A2"/>
    <w:rsid w:val="00FD4651"/>
    <w:rsid w:val="00FD5156"/>
    <w:rsid w:val="00FD5159"/>
    <w:rsid w:val="00FD5559"/>
    <w:rsid w:val="00FD5AD5"/>
    <w:rsid w:val="00FD5AE4"/>
    <w:rsid w:val="00FD5CB4"/>
    <w:rsid w:val="00FD66BA"/>
    <w:rsid w:val="00FD690A"/>
    <w:rsid w:val="00FD69DA"/>
    <w:rsid w:val="00FD6EB8"/>
    <w:rsid w:val="00FD6FE3"/>
    <w:rsid w:val="00FD751D"/>
    <w:rsid w:val="00FD7A95"/>
    <w:rsid w:val="00FD7D97"/>
    <w:rsid w:val="00FE083C"/>
    <w:rsid w:val="00FE0E2F"/>
    <w:rsid w:val="00FE10D4"/>
    <w:rsid w:val="00FE19F8"/>
    <w:rsid w:val="00FE1F97"/>
    <w:rsid w:val="00FE2727"/>
    <w:rsid w:val="00FE29A2"/>
    <w:rsid w:val="00FE29E7"/>
    <w:rsid w:val="00FE31C7"/>
    <w:rsid w:val="00FE37BD"/>
    <w:rsid w:val="00FE3C44"/>
    <w:rsid w:val="00FE3F22"/>
    <w:rsid w:val="00FE3FA8"/>
    <w:rsid w:val="00FE3FF7"/>
    <w:rsid w:val="00FE439A"/>
    <w:rsid w:val="00FE46DE"/>
    <w:rsid w:val="00FE48C6"/>
    <w:rsid w:val="00FE4931"/>
    <w:rsid w:val="00FE4AAD"/>
    <w:rsid w:val="00FE4FD9"/>
    <w:rsid w:val="00FE5424"/>
    <w:rsid w:val="00FE54EA"/>
    <w:rsid w:val="00FE581A"/>
    <w:rsid w:val="00FE5E9B"/>
    <w:rsid w:val="00FE63EB"/>
    <w:rsid w:val="00FE6660"/>
    <w:rsid w:val="00FE6C6C"/>
    <w:rsid w:val="00FE6E3B"/>
    <w:rsid w:val="00FE6EFD"/>
    <w:rsid w:val="00FE7090"/>
    <w:rsid w:val="00FE7151"/>
    <w:rsid w:val="00FE789D"/>
    <w:rsid w:val="00FE7A04"/>
    <w:rsid w:val="00FF102B"/>
    <w:rsid w:val="00FF1151"/>
    <w:rsid w:val="00FF1373"/>
    <w:rsid w:val="00FF1655"/>
    <w:rsid w:val="00FF16D2"/>
    <w:rsid w:val="00FF18FE"/>
    <w:rsid w:val="00FF1A23"/>
    <w:rsid w:val="00FF1BA8"/>
    <w:rsid w:val="00FF1C3F"/>
    <w:rsid w:val="00FF1FE0"/>
    <w:rsid w:val="00FF2006"/>
    <w:rsid w:val="00FF216E"/>
    <w:rsid w:val="00FF24FA"/>
    <w:rsid w:val="00FF24FE"/>
    <w:rsid w:val="00FF263A"/>
    <w:rsid w:val="00FF263B"/>
    <w:rsid w:val="00FF26F6"/>
    <w:rsid w:val="00FF2762"/>
    <w:rsid w:val="00FF3376"/>
    <w:rsid w:val="00FF411C"/>
    <w:rsid w:val="00FF430F"/>
    <w:rsid w:val="00FF44B8"/>
    <w:rsid w:val="00FF4680"/>
    <w:rsid w:val="00FF4B32"/>
    <w:rsid w:val="00FF50CA"/>
    <w:rsid w:val="00FF59E1"/>
    <w:rsid w:val="00FF5A74"/>
    <w:rsid w:val="00FF5F26"/>
    <w:rsid w:val="00FF62EA"/>
    <w:rsid w:val="00FF63ED"/>
    <w:rsid w:val="00FF714C"/>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77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2" w:qFormat="1"/>
    <w:lsdException w:name="heading 4" w:locked="1" w:uiPriority="3" w:qFormat="1"/>
    <w:lsdException w:name="heading 5" w:locked="1" w:uiPriority="4" w:qFormat="1"/>
    <w:lsdException w:name="heading 6" w:locked="1" w:uiPriority="5"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96B"/>
    <w:pPr>
      <w:spacing w:after="120"/>
      <w:jc w:val="both"/>
    </w:pPr>
    <w:rPr>
      <w:rFonts w:ascii="Book Antiqua" w:hAnsi="Book Antiqua" w:cs="Book Antiqua"/>
    </w:rPr>
  </w:style>
  <w:style w:type="paragraph" w:styleId="Heading1">
    <w:name w:val="heading 1"/>
    <w:basedOn w:val="Heading2"/>
    <w:next w:val="Normal"/>
    <w:link w:val="Heading1Char"/>
    <w:uiPriority w:val="99"/>
    <w:qFormat/>
    <w:rsid w:val="000D6A20"/>
    <w:pPr>
      <w:numPr>
        <w:ilvl w:val="0"/>
      </w:numPr>
      <w:outlineLvl w:val="0"/>
    </w:pPr>
    <w:rPr>
      <w:sz w:val="32"/>
    </w:rPr>
  </w:style>
  <w:style w:type="paragraph" w:styleId="Heading2">
    <w:name w:val="heading 2"/>
    <w:basedOn w:val="Normal"/>
    <w:next w:val="Normal"/>
    <w:link w:val="Heading2Char"/>
    <w:uiPriority w:val="99"/>
    <w:qFormat/>
    <w:rsid w:val="000D6A20"/>
    <w:pPr>
      <w:keepNext/>
      <w:numPr>
        <w:ilvl w:val="1"/>
        <w:numId w:val="31"/>
      </w:numPr>
      <w:tabs>
        <w:tab w:val="left" w:pos="28"/>
      </w:tabs>
      <w:spacing w:before="360"/>
      <w:jc w:val="center"/>
      <w:outlineLvl w:val="1"/>
    </w:pPr>
    <w:rPr>
      <w:bCs/>
      <w:caps/>
      <w:noProof/>
      <w:sz w:val="28"/>
      <w:szCs w:val="28"/>
      <w:lang w:val="en-GB"/>
    </w:rPr>
  </w:style>
  <w:style w:type="paragraph" w:styleId="Heading3">
    <w:name w:val="heading 3"/>
    <w:basedOn w:val="Normal"/>
    <w:next w:val="Normal"/>
    <w:link w:val="Heading3Char"/>
    <w:uiPriority w:val="2"/>
    <w:qFormat/>
    <w:rsid w:val="00864A5B"/>
    <w:pPr>
      <w:keepNext/>
      <w:keepLines/>
      <w:numPr>
        <w:ilvl w:val="2"/>
        <w:numId w:val="31"/>
      </w:numPr>
      <w:spacing w:before="360"/>
      <w:jc w:val="center"/>
      <w:outlineLvl w:val="2"/>
    </w:pPr>
    <w:rPr>
      <w:bCs/>
      <w:caps/>
      <w:sz w:val="24"/>
      <w:szCs w:val="24"/>
    </w:rPr>
  </w:style>
  <w:style w:type="paragraph" w:styleId="Heading4">
    <w:name w:val="heading 4"/>
    <w:basedOn w:val="Normal"/>
    <w:next w:val="Normal"/>
    <w:link w:val="Heading4Char"/>
    <w:uiPriority w:val="3"/>
    <w:qFormat/>
    <w:rsid w:val="00735745"/>
    <w:pPr>
      <w:keepNext/>
      <w:keepLines/>
      <w:numPr>
        <w:ilvl w:val="3"/>
        <w:numId w:val="9"/>
      </w:numPr>
      <w:spacing w:before="360"/>
      <w:jc w:val="center"/>
      <w:outlineLvl w:val="3"/>
    </w:pPr>
    <w:rPr>
      <w:b/>
      <w:bCs/>
    </w:rPr>
  </w:style>
  <w:style w:type="paragraph" w:styleId="Heading5">
    <w:name w:val="heading 5"/>
    <w:basedOn w:val="Normal"/>
    <w:next w:val="Normal"/>
    <w:link w:val="Heading5Char"/>
    <w:uiPriority w:val="4"/>
    <w:qFormat/>
    <w:locked/>
    <w:rsid w:val="00735745"/>
    <w:pPr>
      <w:keepNext/>
      <w:keepLines/>
      <w:numPr>
        <w:ilvl w:val="4"/>
        <w:numId w:val="9"/>
      </w:numPr>
      <w:spacing w:before="360"/>
      <w:jc w:val="center"/>
      <w:outlineLvl w:val="4"/>
    </w:pPr>
    <w:rPr>
      <w:b/>
      <w:bCs/>
      <w:i/>
      <w:iCs/>
    </w:rPr>
  </w:style>
  <w:style w:type="paragraph" w:styleId="Heading6">
    <w:name w:val="heading 6"/>
    <w:basedOn w:val="Normal"/>
    <w:next w:val="Normal"/>
    <w:link w:val="Heading6Char"/>
    <w:uiPriority w:val="5"/>
    <w:qFormat/>
    <w:locked/>
    <w:rsid w:val="00B532DB"/>
    <w:pPr>
      <w:keepNext/>
      <w:keepLines/>
      <w:numPr>
        <w:ilvl w:val="5"/>
        <w:numId w:val="9"/>
      </w:numPr>
      <w:spacing w:before="360"/>
      <w:jc w:val="center"/>
      <w:outlineLvl w:val="5"/>
    </w:pPr>
    <w:rPr>
      <w:i/>
      <w:iCs/>
    </w:rPr>
  </w:style>
  <w:style w:type="paragraph" w:styleId="Heading7">
    <w:name w:val="heading 7"/>
    <w:basedOn w:val="Normal"/>
    <w:next w:val="Normal"/>
    <w:link w:val="Heading7Char"/>
    <w:uiPriority w:val="99"/>
    <w:qFormat/>
    <w:locked/>
    <w:rsid w:val="00FC7B1A"/>
    <w:pPr>
      <w:numPr>
        <w:ilvl w:val="2"/>
        <w:numId w:val="30"/>
      </w:numPr>
      <w:spacing w:before="240" w:after="60" w:line="259" w:lineRule="auto"/>
      <w:jc w:val="left"/>
      <w:outlineLvl w:val="6"/>
    </w:pPr>
    <w:rPr>
      <w:caps/>
      <w:sz w:val="24"/>
      <w:szCs w:val="24"/>
    </w:rPr>
  </w:style>
  <w:style w:type="paragraph" w:styleId="Heading8">
    <w:name w:val="heading 8"/>
    <w:basedOn w:val="Normal"/>
    <w:next w:val="Normal"/>
    <w:link w:val="Heading8Char"/>
    <w:uiPriority w:val="99"/>
    <w:qFormat/>
    <w:locked/>
    <w:rsid w:val="000E710E"/>
    <w:pPr>
      <w:keepNext/>
      <w:keepLines/>
      <w:numPr>
        <w:ilvl w:val="7"/>
        <w:numId w:val="9"/>
      </w:numPr>
      <w:spacing w:before="40" w:after="0" w:line="259" w:lineRule="auto"/>
      <w:outlineLvl w:val="7"/>
    </w:pPr>
    <w:rPr>
      <w:rFonts w:ascii="Cambria" w:hAnsi="Cambria" w:cs="Cambria"/>
      <w:color w:val="272727"/>
      <w:sz w:val="21"/>
      <w:szCs w:val="21"/>
    </w:rPr>
  </w:style>
  <w:style w:type="paragraph" w:styleId="Heading9">
    <w:name w:val="heading 9"/>
    <w:basedOn w:val="Normal"/>
    <w:next w:val="Normal"/>
    <w:link w:val="Heading9Char"/>
    <w:uiPriority w:val="99"/>
    <w:qFormat/>
    <w:locked/>
    <w:rsid w:val="000E710E"/>
    <w:pPr>
      <w:numPr>
        <w:ilvl w:val="8"/>
        <w:numId w:val="9"/>
      </w:numPr>
      <w:spacing w:before="240" w:after="60" w:line="259" w:lineRule="auto"/>
      <w:jc w:val="left"/>
      <w:outlineLvl w:val="8"/>
    </w:pPr>
    <w:rPr>
      <w:rFonts w:ascii="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6A20"/>
    <w:rPr>
      <w:rFonts w:ascii="Book Antiqua" w:hAnsi="Book Antiqua" w:cs="Book Antiqua"/>
      <w:bCs/>
      <w:caps/>
      <w:noProof/>
      <w:sz w:val="32"/>
      <w:szCs w:val="28"/>
      <w:lang w:val="en-GB"/>
    </w:rPr>
  </w:style>
  <w:style w:type="character" w:customStyle="1" w:styleId="Heading2Char">
    <w:name w:val="Heading 2 Char"/>
    <w:basedOn w:val="DefaultParagraphFont"/>
    <w:link w:val="Heading2"/>
    <w:uiPriority w:val="99"/>
    <w:locked/>
    <w:rsid w:val="000D6A20"/>
    <w:rPr>
      <w:rFonts w:ascii="Book Antiqua" w:hAnsi="Book Antiqua" w:cs="Book Antiqua"/>
      <w:bCs/>
      <w:caps/>
      <w:noProof/>
      <w:sz w:val="28"/>
      <w:szCs w:val="28"/>
      <w:lang w:val="en-GB"/>
    </w:rPr>
  </w:style>
  <w:style w:type="character" w:customStyle="1" w:styleId="Heading3Char">
    <w:name w:val="Heading 3 Char"/>
    <w:basedOn w:val="DefaultParagraphFont"/>
    <w:link w:val="Heading3"/>
    <w:uiPriority w:val="2"/>
    <w:locked/>
    <w:rsid w:val="00864A5B"/>
    <w:rPr>
      <w:rFonts w:ascii="Book Antiqua" w:hAnsi="Book Antiqua" w:cs="Book Antiqua"/>
      <w:bCs/>
      <w:caps/>
      <w:sz w:val="24"/>
      <w:szCs w:val="24"/>
    </w:rPr>
  </w:style>
  <w:style w:type="character" w:customStyle="1" w:styleId="Heading4Char">
    <w:name w:val="Heading 4 Char"/>
    <w:basedOn w:val="DefaultParagraphFont"/>
    <w:link w:val="Heading4"/>
    <w:uiPriority w:val="3"/>
    <w:locked/>
    <w:rsid w:val="00AB1F9F"/>
    <w:rPr>
      <w:rFonts w:ascii="Book Antiqua" w:hAnsi="Book Antiqua" w:cs="Book Antiqua"/>
      <w:b/>
      <w:bCs/>
    </w:rPr>
  </w:style>
  <w:style w:type="character" w:customStyle="1" w:styleId="Heading5Char">
    <w:name w:val="Heading 5 Char"/>
    <w:basedOn w:val="DefaultParagraphFont"/>
    <w:link w:val="Heading5"/>
    <w:uiPriority w:val="4"/>
    <w:locked/>
    <w:rsid w:val="00AB1F9F"/>
    <w:rPr>
      <w:rFonts w:ascii="Book Antiqua" w:hAnsi="Book Antiqua" w:cs="Book Antiqua"/>
      <w:b/>
      <w:bCs/>
      <w:i/>
      <w:iCs/>
    </w:rPr>
  </w:style>
  <w:style w:type="character" w:customStyle="1" w:styleId="Heading6Char">
    <w:name w:val="Heading 6 Char"/>
    <w:basedOn w:val="DefaultParagraphFont"/>
    <w:link w:val="Heading6"/>
    <w:uiPriority w:val="5"/>
    <w:locked/>
    <w:rsid w:val="00AB1F9F"/>
    <w:rPr>
      <w:rFonts w:ascii="Book Antiqua" w:hAnsi="Book Antiqua" w:cs="Book Antiqua"/>
      <w:i/>
      <w:iCs/>
    </w:rPr>
  </w:style>
  <w:style w:type="character" w:customStyle="1" w:styleId="Heading7Char">
    <w:name w:val="Heading 7 Char"/>
    <w:basedOn w:val="DefaultParagraphFont"/>
    <w:link w:val="Heading7"/>
    <w:uiPriority w:val="99"/>
    <w:locked/>
    <w:rsid w:val="00FC7B1A"/>
    <w:rPr>
      <w:rFonts w:ascii="Book Antiqua" w:hAnsi="Book Antiqua" w:cs="Book Antiqua"/>
      <w:caps/>
      <w:sz w:val="24"/>
      <w:szCs w:val="24"/>
    </w:rPr>
  </w:style>
  <w:style w:type="character" w:customStyle="1" w:styleId="Heading8Char">
    <w:name w:val="Heading 8 Char"/>
    <w:basedOn w:val="DefaultParagraphFont"/>
    <w:link w:val="Heading8"/>
    <w:uiPriority w:val="99"/>
    <w:locked/>
    <w:rsid w:val="000E710E"/>
    <w:rPr>
      <w:rFonts w:ascii="Cambria" w:hAnsi="Cambria" w:cs="Cambria"/>
      <w:color w:val="272727"/>
      <w:sz w:val="21"/>
      <w:szCs w:val="21"/>
    </w:rPr>
  </w:style>
  <w:style w:type="character" w:customStyle="1" w:styleId="Heading9Char">
    <w:name w:val="Heading 9 Char"/>
    <w:basedOn w:val="DefaultParagraphFont"/>
    <w:link w:val="Heading9"/>
    <w:uiPriority w:val="99"/>
    <w:locked/>
    <w:rsid w:val="000E710E"/>
    <w:rPr>
      <w:rFonts w:ascii="Calibri Light" w:hAnsi="Calibri Light" w:cs="Calibri Light"/>
    </w:rPr>
  </w:style>
  <w:style w:type="paragraph" w:customStyle="1" w:styleId="Sadrzajtabele">
    <w:name w:val="Sadrzaj tabele"/>
    <w:basedOn w:val="Normal"/>
    <w:uiPriority w:val="99"/>
    <w:rsid w:val="002447CF"/>
    <w:pPr>
      <w:spacing w:after="0"/>
      <w:jc w:val="center"/>
    </w:pPr>
    <w:rPr>
      <w:lang w:val="sr-Cyrl-CS"/>
    </w:rPr>
  </w:style>
  <w:style w:type="paragraph" w:customStyle="1" w:styleId="NasloviRimski">
    <w:name w:val="Naslovi Rimski"/>
    <w:basedOn w:val="Normal"/>
    <w:uiPriority w:val="99"/>
    <w:rsid w:val="00204C00"/>
    <w:pPr>
      <w:numPr>
        <w:numId w:val="1"/>
      </w:numPr>
      <w:spacing w:before="160" w:after="160"/>
      <w:ind w:left="360" w:hanging="360"/>
      <w:jc w:val="center"/>
    </w:pPr>
    <w:rPr>
      <w:b/>
      <w:bCs/>
      <w:lang w:val="en-GB"/>
    </w:rPr>
  </w:style>
  <w:style w:type="paragraph" w:customStyle="1" w:styleId="Podnaslovi">
    <w:name w:val="Podnaslovi"/>
    <w:basedOn w:val="Normal"/>
    <w:uiPriority w:val="99"/>
    <w:rsid w:val="00204C00"/>
    <w:pPr>
      <w:numPr>
        <w:ilvl w:val="1"/>
        <w:numId w:val="1"/>
      </w:numPr>
      <w:spacing w:before="120"/>
      <w:jc w:val="center"/>
    </w:pPr>
    <w:rPr>
      <w:b/>
      <w:bC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locked/>
    <w:rsid w:val="00671C01"/>
    <w:rPr>
      <w:vertAlign w:val="superscript"/>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t Char Char Char,f"/>
    <w:basedOn w:val="Normal"/>
    <w:link w:val="FootnoteTextChar"/>
    <w:uiPriority w:val="99"/>
    <w:qFormat/>
    <w:rsid w:val="00ED73F5"/>
    <w:pPr>
      <w:spacing w:after="0"/>
      <w:ind w:firstLine="284"/>
    </w:pPr>
    <w:rPr>
      <w:sz w:val="18"/>
      <w:szCs w:val="18"/>
      <w:lang w:val="sr-Cyrl-CS"/>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qFormat/>
    <w:locked/>
    <w:rsid w:val="00ED73F5"/>
    <w:rPr>
      <w:rFonts w:ascii="Book Antiqua" w:hAnsi="Book Antiqua" w:cs="Book Antiqua"/>
      <w:sz w:val="18"/>
      <w:szCs w:val="18"/>
      <w:lang w:val="sr-Cyrl-CS"/>
    </w:rPr>
  </w:style>
  <w:style w:type="paragraph" w:customStyle="1" w:styleId="Numeracija1">
    <w:name w:val="Numeracija 1"/>
    <w:basedOn w:val="Normal"/>
    <w:uiPriority w:val="99"/>
    <w:qFormat/>
    <w:rsid w:val="00BB0515"/>
    <w:pPr>
      <w:numPr>
        <w:ilvl w:val="2"/>
        <w:numId w:val="1"/>
      </w:numPr>
      <w:ind w:left="0" w:firstLine="0"/>
    </w:pPr>
    <w:rPr>
      <w:lang w:val="sr-Cyrl-CS"/>
    </w:rPr>
  </w:style>
  <w:style w:type="paragraph" w:customStyle="1" w:styleId="Numeracija2">
    <w:name w:val="Numeracija 2"/>
    <w:basedOn w:val="Normal"/>
    <w:uiPriority w:val="99"/>
    <w:rsid w:val="00BB0515"/>
    <w:pPr>
      <w:numPr>
        <w:numId w:val="3"/>
      </w:numPr>
    </w:pPr>
  </w:style>
  <w:style w:type="paragraph" w:customStyle="1" w:styleId="Uvodnarec">
    <w:name w:val="Uvodna rec"/>
    <w:basedOn w:val="Heading1"/>
    <w:uiPriority w:val="99"/>
    <w:rsid w:val="002E2B68"/>
    <w:pPr>
      <w:numPr>
        <w:numId w:val="9"/>
      </w:numPr>
    </w:pPr>
  </w:style>
  <w:style w:type="paragraph" w:customStyle="1" w:styleId="Aneks">
    <w:name w:val="Aneks"/>
    <w:basedOn w:val="Heading1"/>
    <w:uiPriority w:val="99"/>
    <w:rsid w:val="00B65631"/>
    <w:pPr>
      <w:numPr>
        <w:numId w:val="0"/>
      </w:numPr>
      <w:ind w:left="432" w:hanging="432"/>
    </w:pPr>
  </w:style>
  <w:style w:type="paragraph" w:styleId="Caption">
    <w:name w:val="caption"/>
    <w:basedOn w:val="Normal"/>
    <w:next w:val="Normal"/>
    <w:uiPriority w:val="99"/>
    <w:qFormat/>
    <w:rsid w:val="007651A6"/>
    <w:pPr>
      <w:spacing w:before="160"/>
    </w:pPr>
    <w:rPr>
      <w:b/>
      <w:bCs/>
    </w:rPr>
  </w:style>
  <w:style w:type="paragraph" w:customStyle="1" w:styleId="Grafikoni">
    <w:name w:val="Grafikoni"/>
    <w:basedOn w:val="Normal"/>
    <w:uiPriority w:val="99"/>
    <w:rsid w:val="005072B4"/>
    <w:pPr>
      <w:keepNext/>
      <w:jc w:val="center"/>
    </w:pPr>
    <w:rPr>
      <w:noProof/>
    </w:rPr>
  </w:style>
  <w:style w:type="paragraph" w:styleId="Header">
    <w:name w:val="header"/>
    <w:basedOn w:val="Normal"/>
    <w:link w:val="HeaderChar"/>
    <w:uiPriority w:val="99"/>
    <w:rsid w:val="003957F6"/>
    <w:pPr>
      <w:tabs>
        <w:tab w:val="center" w:pos="4680"/>
        <w:tab w:val="right" w:pos="9360"/>
      </w:tabs>
      <w:spacing w:after="0"/>
    </w:pPr>
  </w:style>
  <w:style w:type="character" w:customStyle="1" w:styleId="HeaderChar">
    <w:name w:val="Header Char"/>
    <w:basedOn w:val="DefaultParagraphFont"/>
    <w:link w:val="Header"/>
    <w:uiPriority w:val="99"/>
    <w:locked/>
    <w:rsid w:val="003957F6"/>
    <w:rPr>
      <w:rFonts w:ascii="Book Antiqua" w:hAnsi="Book Antiqua" w:cs="Book Antiqua"/>
      <w:sz w:val="22"/>
      <w:szCs w:val="22"/>
    </w:rPr>
  </w:style>
  <w:style w:type="paragraph" w:styleId="Footer">
    <w:name w:val="footer"/>
    <w:basedOn w:val="Normal"/>
    <w:link w:val="FooterChar"/>
    <w:uiPriority w:val="99"/>
    <w:rsid w:val="003957F6"/>
    <w:pPr>
      <w:tabs>
        <w:tab w:val="center" w:pos="4680"/>
        <w:tab w:val="right" w:pos="9360"/>
      </w:tabs>
      <w:spacing w:after="0"/>
      <w:jc w:val="center"/>
    </w:pPr>
  </w:style>
  <w:style w:type="character" w:customStyle="1" w:styleId="FooterChar">
    <w:name w:val="Footer Char"/>
    <w:basedOn w:val="DefaultParagraphFont"/>
    <w:link w:val="Footer"/>
    <w:uiPriority w:val="99"/>
    <w:locked/>
    <w:rsid w:val="003957F6"/>
    <w:rPr>
      <w:rFonts w:ascii="Book Antiqua" w:hAnsi="Book Antiqua" w:cs="Book Antiqua"/>
      <w:sz w:val="22"/>
      <w:szCs w:val="22"/>
    </w:rPr>
  </w:style>
  <w:style w:type="paragraph" w:customStyle="1" w:styleId="CharChar2CharCharCharCharChar">
    <w:name w:val="Char Char2 Char Char Char Char Char"/>
    <w:basedOn w:val="Normal"/>
    <w:uiPriority w:val="99"/>
    <w:rsid w:val="00717B66"/>
    <w:pPr>
      <w:spacing w:after="160" w:line="240" w:lineRule="exact"/>
      <w:jc w:val="left"/>
    </w:pPr>
    <w:rPr>
      <w:rFonts w:ascii="Tahoma" w:eastAsia="Times New Roman" w:hAnsi="Tahoma" w:cs="Tahoma"/>
      <w:sz w:val="20"/>
      <w:szCs w:val="20"/>
    </w:rPr>
  </w:style>
  <w:style w:type="paragraph" w:styleId="CommentText">
    <w:name w:val="annotation text"/>
    <w:basedOn w:val="Normal"/>
    <w:link w:val="CommentTextChar"/>
    <w:uiPriority w:val="99"/>
    <w:qFormat/>
    <w:rsid w:val="002A2913"/>
    <w:pPr>
      <w:spacing w:after="200" w:line="276" w:lineRule="auto"/>
      <w:jc w:val="left"/>
    </w:pPr>
    <w:rPr>
      <w:rFonts w:ascii="Calibri" w:eastAsia="Times New Roman" w:hAnsi="Calibri" w:cs="Calibri"/>
      <w:sz w:val="20"/>
      <w:szCs w:val="20"/>
    </w:rPr>
  </w:style>
  <w:style w:type="character" w:customStyle="1" w:styleId="CommentTextChar">
    <w:name w:val="Comment Text Char"/>
    <w:basedOn w:val="DefaultParagraphFont"/>
    <w:link w:val="CommentText"/>
    <w:uiPriority w:val="99"/>
    <w:qFormat/>
    <w:locked/>
    <w:rsid w:val="002A2913"/>
    <w:rPr>
      <w:rFonts w:eastAsia="Times New Roman"/>
    </w:rPr>
  </w:style>
  <w:style w:type="paragraph" w:customStyle="1" w:styleId="Italicpodnaslovi">
    <w:name w:val="Italic podnaslovi"/>
    <w:basedOn w:val="Normal"/>
    <w:uiPriority w:val="99"/>
    <w:rsid w:val="00F96D4A"/>
    <w:pPr>
      <w:jc w:val="center"/>
    </w:pPr>
    <w:rPr>
      <w:i/>
      <w:iCs/>
      <w:lang w:val="sr-Cyrl-CS"/>
    </w:rPr>
  </w:style>
  <w:style w:type="paragraph" w:styleId="BalloonText">
    <w:name w:val="Balloon Text"/>
    <w:basedOn w:val="Normal"/>
    <w:link w:val="BalloonTextChar"/>
    <w:rsid w:val="0085772D"/>
    <w:pPr>
      <w:spacing w:after="0"/>
    </w:pPr>
    <w:rPr>
      <w:rFonts w:ascii="Segoe UI" w:hAnsi="Segoe UI" w:cs="Segoe UI"/>
      <w:sz w:val="18"/>
      <w:szCs w:val="18"/>
    </w:rPr>
  </w:style>
  <w:style w:type="character" w:customStyle="1" w:styleId="BalloonTextChar">
    <w:name w:val="Balloon Text Char"/>
    <w:basedOn w:val="DefaultParagraphFont"/>
    <w:link w:val="BalloonText"/>
    <w:locked/>
    <w:rsid w:val="0085772D"/>
    <w:rPr>
      <w:rFonts w:ascii="Segoe UI" w:hAnsi="Segoe UI" w:cs="Segoe UI"/>
      <w:sz w:val="18"/>
      <w:szCs w:val="18"/>
    </w:rPr>
  </w:style>
  <w:style w:type="paragraph" w:customStyle="1" w:styleId="Napomena">
    <w:name w:val="Napomena"/>
    <w:basedOn w:val="Normal"/>
    <w:uiPriority w:val="99"/>
    <w:rsid w:val="00FE7A04"/>
    <w:pPr>
      <w:spacing w:before="120"/>
    </w:pPr>
    <w:rPr>
      <w:i/>
      <w:iCs/>
      <w:sz w:val="18"/>
      <w:szCs w:val="18"/>
      <w:lang w:val="sr-Cyrl-CS"/>
    </w:rPr>
  </w:style>
  <w:style w:type="paragraph" w:customStyle="1" w:styleId="Numeracijautekstu">
    <w:name w:val="Numeracija u tekstu"/>
    <w:basedOn w:val="Numeracija2"/>
    <w:uiPriority w:val="99"/>
    <w:rsid w:val="005054A8"/>
    <w:pPr>
      <w:numPr>
        <w:numId w:val="4"/>
      </w:numPr>
      <w:ind w:left="-74" w:firstLine="0"/>
    </w:pPr>
    <w:rPr>
      <w:noProof/>
    </w:rPr>
  </w:style>
  <w:style w:type="character" w:styleId="Hyperlink">
    <w:name w:val="Hyperlink"/>
    <w:basedOn w:val="DefaultParagraphFont"/>
    <w:uiPriority w:val="99"/>
    <w:rsid w:val="00752548"/>
    <w:rPr>
      <w:color w:val="0000FF"/>
      <w:u w:val="single"/>
    </w:rPr>
  </w:style>
  <w:style w:type="paragraph" w:styleId="BodyText">
    <w:name w:val="Body Text"/>
    <w:basedOn w:val="Normal"/>
    <w:link w:val="BodyTextChar"/>
    <w:uiPriority w:val="99"/>
    <w:rsid w:val="00815EDD"/>
    <w:pPr>
      <w:suppressAutoHyphens/>
      <w:spacing w:after="0"/>
    </w:pPr>
    <w:rPr>
      <w:rFonts w:cs="Times New Roman"/>
      <w:color w:val="FF6600"/>
      <w:sz w:val="24"/>
      <w:szCs w:val="24"/>
      <w:lang w:val="sr-Latn-CS" w:eastAsia="ar-SA"/>
    </w:rPr>
  </w:style>
  <w:style w:type="character" w:customStyle="1" w:styleId="BodyTextChar">
    <w:name w:val="Body Text Char"/>
    <w:basedOn w:val="DefaultParagraphFont"/>
    <w:link w:val="BodyText"/>
    <w:uiPriority w:val="99"/>
    <w:locked/>
    <w:rsid w:val="00815EDD"/>
    <w:rPr>
      <w:rFonts w:ascii="Times New Roman" w:hAnsi="Times New Roman" w:cs="Times New Roman"/>
      <w:color w:val="FF6600"/>
      <w:sz w:val="24"/>
      <w:szCs w:val="24"/>
      <w:lang w:val="sr-Latn-CS" w:eastAsia="ar-SA" w:bidi="ar-SA"/>
    </w:rPr>
  </w:style>
  <w:style w:type="paragraph" w:customStyle="1" w:styleId="Numeracija4">
    <w:name w:val="Numeracija 4"/>
    <w:basedOn w:val="Numeracija1"/>
    <w:uiPriority w:val="99"/>
    <w:rsid w:val="00FF24FE"/>
    <w:pPr>
      <w:numPr>
        <w:ilvl w:val="3"/>
      </w:numPr>
      <w:ind w:firstLine="567"/>
    </w:pPr>
  </w:style>
  <w:style w:type="paragraph" w:customStyle="1" w:styleId="Buliti">
    <w:name w:val="Buliti"/>
    <w:basedOn w:val="Numeracija4"/>
    <w:uiPriority w:val="99"/>
    <w:rsid w:val="009B37C4"/>
    <w:pPr>
      <w:numPr>
        <w:numId w:val="5"/>
      </w:numPr>
      <w:ind w:left="567" w:firstLine="284"/>
    </w:pPr>
  </w:style>
  <w:style w:type="character" w:styleId="CommentReference">
    <w:name w:val="annotation reference"/>
    <w:aliases w:val="Balloon Text Char1"/>
    <w:basedOn w:val="DefaultParagraphFont"/>
    <w:uiPriority w:val="99"/>
    <w:qFormat/>
    <w:rsid w:val="001F0EE9"/>
    <w:rPr>
      <w:sz w:val="16"/>
      <w:szCs w:val="16"/>
    </w:rPr>
  </w:style>
  <w:style w:type="paragraph" w:customStyle="1" w:styleId="CharCharChar2Char">
    <w:name w:val="Char Char Char2 Char"/>
    <w:basedOn w:val="Normal"/>
    <w:link w:val="CharCharChar2CharChar"/>
    <w:rsid w:val="00121379"/>
    <w:pPr>
      <w:spacing w:after="0"/>
      <w:jc w:val="left"/>
    </w:pPr>
    <w:rPr>
      <w:rFonts w:cs="Times New Roman"/>
      <w:sz w:val="24"/>
      <w:szCs w:val="24"/>
      <w:lang w:val="sr-Cyrl-CS"/>
    </w:rPr>
  </w:style>
  <w:style w:type="character" w:customStyle="1" w:styleId="FootnoteTextChar2">
    <w:name w:val="Footnote Text Char2"/>
    <w:aliases w:val="Footnote Text Char Char Char Char1,Footnote Text Char Char Char2,Footnote Text Char1 Char1,single space Char Char1,ft Char Char1,single space Char2,ft Char2,Footnote Text Char Char Char Char Char Char Char Char Char1,fn Char1"/>
    <w:uiPriority w:val="99"/>
    <w:locked/>
    <w:rsid w:val="00654AC3"/>
  </w:style>
  <w:style w:type="paragraph" w:customStyle="1" w:styleId="CharCharChar2Char1">
    <w:name w:val="Char Char Char2 Char1"/>
    <w:basedOn w:val="Normal"/>
    <w:link w:val="CharCharChar2CharChar1"/>
    <w:uiPriority w:val="99"/>
    <w:rsid w:val="00121379"/>
    <w:pPr>
      <w:spacing w:after="160" w:line="240" w:lineRule="exact"/>
      <w:jc w:val="left"/>
    </w:pPr>
    <w:rPr>
      <w:rFonts w:ascii="Tahoma" w:hAnsi="Tahoma" w:cs="Tahoma"/>
      <w:sz w:val="20"/>
      <w:szCs w:val="20"/>
    </w:rPr>
  </w:style>
  <w:style w:type="character" w:customStyle="1" w:styleId="CharCharChar2CharChar">
    <w:name w:val="Char Char Char2 Char Char"/>
    <w:link w:val="CharCharChar2Char"/>
    <w:locked/>
    <w:rsid w:val="00121379"/>
    <w:rPr>
      <w:rFonts w:ascii="Times New Roman" w:hAnsi="Times New Roman" w:cs="Times New Roman"/>
      <w:sz w:val="24"/>
      <w:szCs w:val="24"/>
      <w:lang w:val="sr-Cyrl-CS"/>
    </w:rPr>
  </w:style>
  <w:style w:type="paragraph" w:customStyle="1" w:styleId="Bulitibeli">
    <w:name w:val="Buliti beli"/>
    <w:basedOn w:val="Buliti"/>
    <w:uiPriority w:val="99"/>
    <w:rsid w:val="00FE10D4"/>
    <w:pPr>
      <w:numPr>
        <w:ilvl w:val="4"/>
        <w:numId w:val="6"/>
      </w:numPr>
      <w:ind w:left="1134" w:firstLine="0"/>
    </w:pPr>
  </w:style>
  <w:style w:type="paragraph" w:styleId="ListParagraph">
    <w:name w:val="List Paragraph"/>
    <w:aliases w:val="List Paragraph1"/>
    <w:basedOn w:val="Normal"/>
    <w:link w:val="ListParagraphChar"/>
    <w:uiPriority w:val="34"/>
    <w:qFormat/>
    <w:rsid w:val="00D00908"/>
    <w:pPr>
      <w:ind w:left="720"/>
    </w:pPr>
  </w:style>
  <w:style w:type="character" w:customStyle="1" w:styleId="CharCharChar2CharChar1">
    <w:name w:val="Char Char Char2 Char Char1"/>
    <w:link w:val="CharCharChar2Char1"/>
    <w:uiPriority w:val="99"/>
    <w:locked/>
    <w:rsid w:val="0015402B"/>
    <w:rPr>
      <w:rFonts w:ascii="Tahoma" w:hAnsi="Tahoma" w:cs="Tahoma"/>
    </w:rPr>
  </w:style>
  <w:style w:type="paragraph" w:customStyle="1" w:styleId="preamble">
    <w:name w:val="preamble"/>
    <w:basedOn w:val="Normal"/>
    <w:uiPriority w:val="99"/>
    <w:rsid w:val="00CE2343"/>
    <w:pPr>
      <w:spacing w:before="100" w:beforeAutospacing="1" w:after="100" w:afterAutospacing="1"/>
      <w:jc w:val="left"/>
    </w:pPr>
    <w:rPr>
      <w:rFonts w:ascii="Times New Roman" w:eastAsia="Times New Roman" w:hAnsi="Times New Roman" w:cs="Times New Roman"/>
      <w:sz w:val="24"/>
      <w:szCs w:val="24"/>
    </w:rPr>
  </w:style>
  <w:style w:type="paragraph" w:customStyle="1" w:styleId="Boldovani">
    <w:name w:val="Boldovani"/>
    <w:basedOn w:val="Normal"/>
    <w:uiPriority w:val="99"/>
    <w:rsid w:val="005A67F2"/>
    <w:pPr>
      <w:spacing w:before="360" w:after="240"/>
      <w:jc w:val="center"/>
    </w:pPr>
    <w:rPr>
      <w:b/>
      <w:bCs/>
      <w:i/>
      <w:iCs/>
      <w:sz w:val="26"/>
      <w:szCs w:val="26"/>
    </w:rPr>
  </w:style>
  <w:style w:type="paragraph" w:customStyle="1" w:styleId="CharChar2">
    <w:name w:val="Char Char2"/>
    <w:basedOn w:val="Normal"/>
    <w:uiPriority w:val="99"/>
    <w:rsid w:val="00597FAB"/>
    <w:pPr>
      <w:spacing w:after="160" w:line="240" w:lineRule="exact"/>
      <w:jc w:val="left"/>
    </w:pPr>
    <w:rPr>
      <w:rFonts w:ascii="Tahoma" w:eastAsia="Times New Roman" w:hAnsi="Tahoma" w:cs="Tahoma"/>
      <w:sz w:val="20"/>
      <w:szCs w:val="20"/>
    </w:rPr>
  </w:style>
  <w:style w:type="paragraph" w:customStyle="1" w:styleId="BoldItalicnaslov">
    <w:name w:val="Bold Italic naslov"/>
    <w:basedOn w:val="Normal"/>
    <w:uiPriority w:val="99"/>
    <w:rsid w:val="005A67F2"/>
    <w:pPr>
      <w:spacing w:before="160"/>
      <w:jc w:val="center"/>
    </w:pPr>
    <w:rPr>
      <w:b/>
      <w:bCs/>
      <w:sz w:val="24"/>
      <w:szCs w:val="24"/>
      <w:u w:val="single"/>
      <w:lang w:val="sr-Cyrl-CS"/>
    </w:rPr>
  </w:style>
  <w:style w:type="paragraph" w:customStyle="1" w:styleId="CharChar3">
    <w:name w:val="Char Char3"/>
    <w:basedOn w:val="Normal"/>
    <w:uiPriority w:val="99"/>
    <w:rsid w:val="00936BE5"/>
    <w:pPr>
      <w:spacing w:after="160" w:line="240" w:lineRule="exact"/>
      <w:jc w:val="left"/>
    </w:pPr>
    <w:rPr>
      <w:rFonts w:ascii="Tahoma" w:eastAsia="Times New Roman" w:hAnsi="Tahoma" w:cs="Tahoma"/>
      <w:sz w:val="20"/>
      <w:szCs w:val="20"/>
    </w:rPr>
  </w:style>
  <w:style w:type="paragraph" w:customStyle="1" w:styleId="CharChar">
    <w:name w:val="Char Char"/>
    <w:basedOn w:val="Normal"/>
    <w:uiPriority w:val="99"/>
    <w:rsid w:val="00936BE5"/>
    <w:pPr>
      <w:spacing w:after="160" w:line="240" w:lineRule="exact"/>
      <w:jc w:val="left"/>
    </w:pPr>
    <w:rPr>
      <w:rFonts w:ascii="Tahoma" w:eastAsia="Times New Roman" w:hAnsi="Tahoma" w:cs="Tahoma"/>
      <w:sz w:val="20"/>
      <w:szCs w:val="20"/>
    </w:rPr>
  </w:style>
  <w:style w:type="paragraph" w:customStyle="1" w:styleId="Normal1">
    <w:name w:val="Normal1"/>
    <w:basedOn w:val="Normal"/>
    <w:uiPriority w:val="99"/>
    <w:qFormat/>
    <w:rsid w:val="00632DB6"/>
    <w:pPr>
      <w:spacing w:before="100" w:beforeAutospacing="1" w:after="100" w:afterAutospacing="1"/>
      <w:jc w:val="left"/>
    </w:pPr>
    <w:rPr>
      <w:rFonts w:ascii="Arial" w:eastAsia="Times New Roman" w:hAnsi="Arial" w:cs="Arial"/>
    </w:rPr>
  </w:style>
  <w:style w:type="paragraph" w:styleId="BodyTextIndent">
    <w:name w:val="Body Text Indent"/>
    <w:basedOn w:val="Normal"/>
    <w:link w:val="BodyTextIndentChar"/>
    <w:uiPriority w:val="99"/>
    <w:rsid w:val="00D714FD"/>
    <w:pPr>
      <w:ind w:left="360"/>
    </w:pPr>
  </w:style>
  <w:style w:type="character" w:customStyle="1" w:styleId="BodyTextIndentChar">
    <w:name w:val="Body Text Indent Char"/>
    <w:basedOn w:val="DefaultParagraphFont"/>
    <w:link w:val="BodyTextIndent"/>
    <w:uiPriority w:val="99"/>
    <w:locked/>
    <w:rsid w:val="00D714FD"/>
    <w:rPr>
      <w:rFonts w:ascii="Book Antiqua" w:hAnsi="Book Antiqua" w:cs="Book Antiqua"/>
      <w:sz w:val="22"/>
      <w:szCs w:val="22"/>
    </w:rPr>
  </w:style>
  <w:style w:type="paragraph" w:customStyle="1" w:styleId="CharChar2CharCharCharCharCharChar">
    <w:name w:val="Char Char2 Char Char Char Char Char Char"/>
    <w:basedOn w:val="Normal"/>
    <w:uiPriority w:val="99"/>
    <w:rsid w:val="00A07484"/>
    <w:pPr>
      <w:spacing w:after="160" w:line="240" w:lineRule="exact"/>
      <w:jc w:val="left"/>
    </w:pPr>
    <w:rPr>
      <w:rFonts w:ascii="Tahoma" w:eastAsia="Times New Roman" w:hAnsi="Tahoma" w:cs="Tahoma"/>
      <w:sz w:val="20"/>
      <w:szCs w:val="20"/>
    </w:rPr>
  </w:style>
  <w:style w:type="character" w:styleId="Strong">
    <w:name w:val="Strong"/>
    <w:basedOn w:val="DefaultParagraphFont"/>
    <w:uiPriority w:val="22"/>
    <w:qFormat/>
    <w:rsid w:val="00BC614F"/>
    <w:rPr>
      <w:b/>
      <w:bCs/>
    </w:rPr>
  </w:style>
  <w:style w:type="character" w:styleId="HTMLCite">
    <w:name w:val="HTML Cite"/>
    <w:basedOn w:val="DefaultParagraphFont"/>
    <w:uiPriority w:val="99"/>
    <w:semiHidden/>
    <w:rsid w:val="00DC4D0F"/>
    <w:rPr>
      <w:color w:val="auto"/>
    </w:rPr>
  </w:style>
  <w:style w:type="paragraph" w:customStyle="1" w:styleId="CharChar4CharChar">
    <w:name w:val="Char Char4 Char Char"/>
    <w:basedOn w:val="Normal"/>
    <w:uiPriority w:val="99"/>
    <w:rsid w:val="00DC4D0F"/>
    <w:pPr>
      <w:spacing w:after="160" w:line="240" w:lineRule="exact"/>
      <w:jc w:val="left"/>
    </w:pPr>
    <w:rPr>
      <w:rFonts w:ascii="Tahoma" w:eastAsia="Times New Roman" w:hAnsi="Tahoma" w:cs="Tahoma"/>
      <w:sz w:val="20"/>
      <w:szCs w:val="20"/>
    </w:rPr>
  </w:style>
  <w:style w:type="paragraph" w:customStyle="1" w:styleId="Numerisani">
    <w:name w:val="Numerisani"/>
    <w:basedOn w:val="Normal"/>
    <w:link w:val="NumerisaniChar"/>
    <w:uiPriority w:val="99"/>
    <w:rsid w:val="007D1CF7"/>
    <w:pPr>
      <w:numPr>
        <w:numId w:val="7"/>
      </w:numPr>
      <w:spacing w:before="120"/>
    </w:pPr>
    <w:rPr>
      <w:noProof/>
      <w:lang w:val="sr-Cyrl-CS"/>
    </w:rPr>
  </w:style>
  <w:style w:type="paragraph" w:styleId="NormalWeb">
    <w:name w:val="Normal (Web)"/>
    <w:basedOn w:val="Normal"/>
    <w:link w:val="NormalWebChar"/>
    <w:uiPriority w:val="99"/>
    <w:rsid w:val="006E2727"/>
    <w:pPr>
      <w:spacing w:before="100" w:beforeAutospacing="1" w:after="100" w:afterAutospacing="1"/>
      <w:jc w:val="left"/>
    </w:pPr>
    <w:rPr>
      <w:rFonts w:ascii="Times New Roman" w:eastAsia="Times New Roman" w:hAnsi="Times New Roman" w:cs="Times New Roman"/>
      <w:sz w:val="24"/>
      <w:szCs w:val="24"/>
    </w:rPr>
  </w:style>
  <w:style w:type="character" w:customStyle="1" w:styleId="NumerisaniChar">
    <w:name w:val="Numerisani Char"/>
    <w:link w:val="Numerisani"/>
    <w:uiPriority w:val="99"/>
    <w:locked/>
    <w:rsid w:val="007D1CF7"/>
    <w:rPr>
      <w:rFonts w:ascii="Book Antiqua" w:hAnsi="Book Antiqua" w:cs="Book Antiqua"/>
      <w:noProof/>
      <w:lang w:val="sr-Cyrl-CS"/>
    </w:rPr>
  </w:style>
  <w:style w:type="paragraph" w:styleId="CommentSubject">
    <w:name w:val="annotation subject"/>
    <w:basedOn w:val="CommentText"/>
    <w:next w:val="CommentText"/>
    <w:link w:val="CommentSubjectChar"/>
    <w:uiPriority w:val="99"/>
    <w:semiHidden/>
    <w:rsid w:val="00DA7FBA"/>
    <w:pPr>
      <w:spacing w:after="120" w:line="240" w:lineRule="auto"/>
      <w:jc w:val="both"/>
    </w:pPr>
    <w:rPr>
      <w:rFonts w:ascii="Book Antiqua" w:hAnsi="Book Antiqua" w:cs="Book Antiqua"/>
      <w:b/>
      <w:bCs/>
    </w:rPr>
  </w:style>
  <w:style w:type="character" w:customStyle="1" w:styleId="CommentSubjectChar">
    <w:name w:val="Comment Subject Char"/>
    <w:basedOn w:val="CommentTextChar"/>
    <w:link w:val="CommentSubject"/>
    <w:uiPriority w:val="99"/>
    <w:semiHidden/>
    <w:locked/>
    <w:rsid w:val="00DA7FBA"/>
    <w:rPr>
      <w:rFonts w:ascii="Book Antiqua" w:eastAsia="Times New Roman" w:hAnsi="Book Antiqua" w:cs="Book Antiqua"/>
      <w:b/>
      <w:bCs/>
    </w:rPr>
  </w:style>
  <w:style w:type="character" w:customStyle="1" w:styleId="ftCharCharCharChar">
    <w:name w:val="ft Char Char Char Char"/>
    <w:aliases w:val="ft Char Char Char1,Note de bas de page Car Char,Footnote Text Char Car Char,Footnote Text Char1 Char Car Char,Footnote Text Char Char Char Car Char,Char Char Char Char Car Char"/>
    <w:uiPriority w:val="99"/>
    <w:rsid w:val="006C6A3E"/>
    <w:rPr>
      <w:lang w:val="en-US" w:eastAsia="en-US"/>
    </w:rPr>
  </w:style>
  <w:style w:type="character" w:customStyle="1" w:styleId="ListParagraphChar">
    <w:name w:val="List Paragraph Char"/>
    <w:aliases w:val="List Paragraph1 Char"/>
    <w:link w:val="ListParagraph"/>
    <w:uiPriority w:val="34"/>
    <w:locked/>
    <w:rsid w:val="001023B4"/>
    <w:rPr>
      <w:rFonts w:ascii="Book Antiqua" w:hAnsi="Book Antiqua" w:cs="Book Antiqua"/>
      <w:sz w:val="22"/>
      <w:szCs w:val="22"/>
    </w:rPr>
  </w:style>
  <w:style w:type="character" w:customStyle="1" w:styleId="apple-converted-space">
    <w:name w:val="apple-converted-space"/>
    <w:uiPriority w:val="99"/>
    <w:rsid w:val="001023B4"/>
  </w:style>
  <w:style w:type="paragraph" w:customStyle="1" w:styleId="CharChar1">
    <w:name w:val="Char Char1"/>
    <w:basedOn w:val="Normal"/>
    <w:uiPriority w:val="99"/>
    <w:rsid w:val="00770998"/>
    <w:pPr>
      <w:spacing w:after="160" w:line="240" w:lineRule="exact"/>
      <w:jc w:val="left"/>
    </w:pPr>
    <w:rPr>
      <w:rFonts w:ascii="Tahoma" w:eastAsia="Times New Roman" w:hAnsi="Tahoma" w:cs="Tahoma"/>
      <w:sz w:val="20"/>
      <w:szCs w:val="20"/>
    </w:rPr>
  </w:style>
  <w:style w:type="paragraph" w:styleId="NoSpacing">
    <w:name w:val="No Spacing"/>
    <w:uiPriority w:val="1"/>
    <w:qFormat/>
    <w:rsid w:val="006A2BDF"/>
    <w:rPr>
      <w:rFonts w:cs="Calibri"/>
    </w:rPr>
  </w:style>
  <w:style w:type="paragraph" w:customStyle="1" w:styleId="Default">
    <w:name w:val="Default"/>
    <w:rsid w:val="008D4617"/>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FA70E0"/>
    <w:rPr>
      <w:rFonts w:ascii="Book Antiqua" w:hAnsi="Book Antiqua" w:cs="Book Antiqua"/>
    </w:rPr>
  </w:style>
  <w:style w:type="paragraph" w:customStyle="1" w:styleId="1tekst">
    <w:name w:val="1tekst"/>
    <w:basedOn w:val="Normal"/>
    <w:uiPriority w:val="99"/>
    <w:rsid w:val="00D005B9"/>
    <w:pPr>
      <w:spacing w:after="0"/>
      <w:ind w:left="375" w:right="375" w:firstLine="240"/>
    </w:pPr>
    <w:rPr>
      <w:rFonts w:ascii="Arial" w:eastAsia="Times New Roman" w:hAnsi="Arial" w:cs="Arial"/>
      <w:sz w:val="20"/>
      <w:szCs w:val="20"/>
    </w:rPr>
  </w:style>
  <w:style w:type="paragraph" w:customStyle="1" w:styleId="Normal2">
    <w:name w:val="Normal2"/>
    <w:basedOn w:val="Normal"/>
    <w:qFormat/>
    <w:rsid w:val="00D70EBF"/>
    <w:pPr>
      <w:spacing w:before="100" w:beforeAutospacing="1" w:after="100" w:afterAutospacing="1"/>
      <w:jc w:val="left"/>
    </w:pPr>
    <w:rPr>
      <w:rFonts w:ascii="Arial" w:hAnsi="Arial" w:cs="Arial"/>
    </w:rPr>
  </w:style>
  <w:style w:type="paragraph" w:styleId="Subtitle">
    <w:name w:val="Subtitle"/>
    <w:basedOn w:val="Normal"/>
    <w:next w:val="Normal"/>
    <w:link w:val="SubtitleChar"/>
    <w:uiPriority w:val="99"/>
    <w:qFormat/>
    <w:locked/>
    <w:rsid w:val="00B6705A"/>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AB1F9F"/>
    <w:rPr>
      <w:rFonts w:ascii="Cambria" w:hAnsi="Cambria" w:cs="Cambria"/>
      <w:sz w:val="24"/>
      <w:szCs w:val="24"/>
      <w:lang w:val="en-US" w:eastAsia="en-US"/>
    </w:rPr>
  </w:style>
  <w:style w:type="paragraph" w:customStyle="1" w:styleId="Naslovi">
    <w:name w:val="Naslovi"/>
    <w:basedOn w:val="Normal"/>
    <w:next w:val="Normal"/>
    <w:uiPriority w:val="99"/>
    <w:rsid w:val="00C74E36"/>
    <w:pPr>
      <w:spacing w:before="120"/>
      <w:ind w:firstLine="720"/>
      <w:jc w:val="center"/>
    </w:pPr>
    <w:rPr>
      <w:rFonts w:eastAsia="Times New Roman"/>
      <w:b/>
      <w:bCs/>
      <w:sz w:val="32"/>
      <w:szCs w:val="32"/>
    </w:rPr>
  </w:style>
  <w:style w:type="paragraph" w:customStyle="1" w:styleId="Sentence">
    <w:name w:val="Sentence"/>
    <w:basedOn w:val="Normal"/>
    <w:uiPriority w:val="99"/>
    <w:rsid w:val="00EE2118"/>
    <w:pPr>
      <w:spacing w:before="240" w:after="240"/>
      <w:jc w:val="right"/>
    </w:pPr>
    <w:rPr>
      <w:i/>
      <w:iCs/>
    </w:rPr>
  </w:style>
  <w:style w:type="paragraph" w:customStyle="1" w:styleId="SJpodnaslovi">
    <w:name w:val="SJ podnaslovi"/>
    <w:basedOn w:val="Boldovani"/>
    <w:uiPriority w:val="9"/>
    <w:qFormat/>
    <w:rsid w:val="001F77B6"/>
    <w:pPr>
      <w:spacing w:before="240"/>
    </w:pPr>
    <w:rPr>
      <w:sz w:val="24"/>
      <w:szCs w:val="24"/>
    </w:rPr>
  </w:style>
  <w:style w:type="character" w:styleId="IntenseEmphasis">
    <w:name w:val="Intense Emphasis"/>
    <w:basedOn w:val="DefaultParagraphFont"/>
    <w:uiPriority w:val="99"/>
    <w:qFormat/>
    <w:rsid w:val="00C27D3A"/>
    <w:rPr>
      <w:i/>
      <w:iCs/>
      <w:color w:val="4F81BD"/>
    </w:rPr>
  </w:style>
  <w:style w:type="character" w:styleId="SubtleEmphasis">
    <w:name w:val="Subtle Emphasis"/>
    <w:basedOn w:val="DefaultParagraphFont"/>
    <w:uiPriority w:val="99"/>
    <w:qFormat/>
    <w:rsid w:val="00637D40"/>
    <w:rPr>
      <w:i/>
      <w:iCs/>
      <w:color w:val="auto"/>
    </w:rPr>
  </w:style>
  <w:style w:type="paragraph" w:styleId="TOC1">
    <w:name w:val="toc 1"/>
    <w:basedOn w:val="Normal"/>
    <w:next w:val="Normal"/>
    <w:autoRedefine/>
    <w:uiPriority w:val="39"/>
    <w:locked/>
    <w:rsid w:val="001C2563"/>
  </w:style>
  <w:style w:type="paragraph" w:styleId="TOC3">
    <w:name w:val="toc 3"/>
    <w:basedOn w:val="Normal"/>
    <w:next w:val="Normal"/>
    <w:autoRedefine/>
    <w:uiPriority w:val="39"/>
    <w:locked/>
    <w:rsid w:val="001C2563"/>
    <w:pPr>
      <w:ind w:left="440"/>
    </w:pPr>
  </w:style>
  <w:style w:type="paragraph" w:styleId="TOC2">
    <w:name w:val="toc 2"/>
    <w:basedOn w:val="Normal"/>
    <w:next w:val="Normal"/>
    <w:autoRedefine/>
    <w:uiPriority w:val="39"/>
    <w:locked/>
    <w:rsid w:val="001C2563"/>
    <w:pPr>
      <w:ind w:left="220"/>
    </w:pPr>
  </w:style>
  <w:style w:type="paragraph" w:styleId="DocumentMap">
    <w:name w:val="Document Map"/>
    <w:basedOn w:val="Normal"/>
    <w:link w:val="DocumentMapChar"/>
    <w:uiPriority w:val="99"/>
    <w:semiHidden/>
    <w:rsid w:val="00245BCF"/>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45BCF"/>
    <w:rPr>
      <w:rFonts w:ascii="Tahoma" w:hAnsi="Tahoma" w:cs="Tahoma"/>
      <w:sz w:val="16"/>
      <w:szCs w:val="16"/>
      <w:lang w:val="en-US" w:eastAsia="en-US"/>
    </w:rPr>
  </w:style>
  <w:style w:type="paragraph" w:styleId="PlainText">
    <w:name w:val="Plain Text"/>
    <w:basedOn w:val="Normal"/>
    <w:link w:val="PlainTextChar"/>
    <w:uiPriority w:val="99"/>
    <w:rsid w:val="000E710E"/>
    <w:pPr>
      <w:spacing w:after="0"/>
      <w:jc w:val="left"/>
    </w:pPr>
    <w:rPr>
      <w:rFonts w:ascii="Calibri" w:hAnsi="Calibri" w:cs="Calibri"/>
      <w:sz w:val="21"/>
      <w:szCs w:val="21"/>
    </w:rPr>
  </w:style>
  <w:style w:type="character" w:customStyle="1" w:styleId="PlainTextChar">
    <w:name w:val="Plain Text Char"/>
    <w:basedOn w:val="DefaultParagraphFont"/>
    <w:link w:val="PlainText"/>
    <w:uiPriority w:val="99"/>
    <w:locked/>
    <w:rsid w:val="000E710E"/>
    <w:rPr>
      <w:sz w:val="21"/>
      <w:szCs w:val="21"/>
      <w:lang w:val="en-US" w:eastAsia="en-US"/>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qFormat/>
    <w:rsid w:val="000E710E"/>
    <w:pPr>
      <w:spacing w:after="160" w:line="240" w:lineRule="exact"/>
      <w:jc w:val="left"/>
    </w:pPr>
    <w:rPr>
      <w:rFonts w:ascii="Calibri" w:hAnsi="Calibri" w:cs="Calibri"/>
      <w:sz w:val="20"/>
      <w:szCs w:val="20"/>
      <w:vertAlign w:val="superscript"/>
    </w:rPr>
  </w:style>
  <w:style w:type="paragraph" w:customStyle="1" w:styleId="CharCharChar2Char2">
    <w:name w:val="Char Char Char2 Char2"/>
    <w:basedOn w:val="Normal"/>
    <w:uiPriority w:val="99"/>
    <w:rsid w:val="000E710E"/>
    <w:pPr>
      <w:spacing w:after="160" w:line="240" w:lineRule="exact"/>
      <w:jc w:val="left"/>
    </w:pPr>
    <w:rPr>
      <w:rFonts w:ascii="Tahoma" w:eastAsia="Times New Roman" w:hAnsi="Tahoma" w:cs="Tahoma"/>
      <w:sz w:val="20"/>
      <w:szCs w:val="20"/>
    </w:rPr>
  </w:style>
  <w:style w:type="paragraph" w:customStyle="1" w:styleId="Bold">
    <w:name w:val="Bold"/>
    <w:basedOn w:val="Normal"/>
    <w:uiPriority w:val="99"/>
    <w:rsid w:val="000E710E"/>
    <w:rPr>
      <w:rFonts w:eastAsia="Times New Roman"/>
      <w:b/>
      <w:bCs/>
      <w:lang w:val="sr-Latn-CS"/>
    </w:rPr>
  </w:style>
  <w:style w:type="paragraph" w:customStyle="1" w:styleId="CharCharChar2Char3">
    <w:name w:val="Char Char Char2 Char3"/>
    <w:basedOn w:val="Normal"/>
    <w:link w:val="CharCharChar2CharChar2"/>
    <w:uiPriority w:val="99"/>
    <w:rsid w:val="000E710E"/>
    <w:pPr>
      <w:spacing w:after="160" w:line="240" w:lineRule="exact"/>
      <w:jc w:val="left"/>
    </w:pPr>
    <w:rPr>
      <w:rFonts w:ascii="Tahoma" w:hAnsi="Tahoma" w:cs="Tahoma"/>
      <w:sz w:val="20"/>
      <w:szCs w:val="20"/>
    </w:rPr>
  </w:style>
  <w:style w:type="character" w:customStyle="1" w:styleId="CharCharChar2CharChar2">
    <w:name w:val="Char Char Char2 Char Char2"/>
    <w:link w:val="CharCharChar2Char3"/>
    <w:uiPriority w:val="99"/>
    <w:locked/>
    <w:rsid w:val="000E710E"/>
    <w:rPr>
      <w:rFonts w:ascii="Tahoma" w:hAnsi="Tahoma" w:cs="Tahoma"/>
      <w:lang w:val="en-US" w:eastAsia="en-US"/>
    </w:rPr>
  </w:style>
  <w:style w:type="paragraph" w:customStyle="1" w:styleId="Normal3">
    <w:name w:val="Normal3"/>
    <w:basedOn w:val="Normal"/>
    <w:uiPriority w:val="99"/>
    <w:rsid w:val="000E710E"/>
    <w:pPr>
      <w:spacing w:before="100" w:beforeAutospacing="1" w:after="100" w:afterAutospacing="1"/>
      <w:jc w:val="left"/>
    </w:pPr>
    <w:rPr>
      <w:rFonts w:ascii="Arial" w:eastAsia="Times New Roman" w:hAnsi="Arial" w:cs="Arial"/>
    </w:rPr>
  </w:style>
  <w:style w:type="paragraph" w:customStyle="1" w:styleId="Normal4">
    <w:name w:val="Normal4"/>
    <w:basedOn w:val="Normal"/>
    <w:qFormat/>
    <w:rsid w:val="000E710E"/>
    <w:pPr>
      <w:spacing w:before="100" w:beforeAutospacing="1" w:after="100" w:afterAutospacing="1"/>
      <w:jc w:val="left"/>
    </w:pPr>
    <w:rPr>
      <w:rFonts w:ascii="Arial" w:eastAsia="Times New Roman" w:hAnsi="Arial" w:cs="Arial"/>
    </w:rPr>
  </w:style>
  <w:style w:type="paragraph" w:customStyle="1" w:styleId="Normal5">
    <w:name w:val="Normal5"/>
    <w:basedOn w:val="Normal"/>
    <w:uiPriority w:val="99"/>
    <w:rsid w:val="000E710E"/>
    <w:pPr>
      <w:spacing w:before="100" w:beforeAutospacing="1" w:after="100" w:afterAutospacing="1"/>
      <w:jc w:val="left"/>
    </w:pPr>
    <w:rPr>
      <w:rFonts w:ascii="Arial" w:eastAsia="Times New Roman" w:hAnsi="Arial" w:cs="Arial"/>
    </w:rPr>
  </w:style>
  <w:style w:type="character" w:customStyle="1" w:styleId="shorttext">
    <w:name w:val="short_text"/>
    <w:uiPriority w:val="99"/>
    <w:rsid w:val="000E710E"/>
  </w:style>
  <w:style w:type="character" w:styleId="FollowedHyperlink">
    <w:name w:val="FollowedHyperlink"/>
    <w:basedOn w:val="DefaultParagraphFont"/>
    <w:uiPriority w:val="99"/>
    <w:rsid w:val="000E710E"/>
    <w:rPr>
      <w:color w:val="800080"/>
      <w:u w:val="single"/>
    </w:rPr>
  </w:style>
  <w:style w:type="character" w:styleId="Emphasis">
    <w:name w:val="Emphasis"/>
    <w:basedOn w:val="DefaultParagraphFont"/>
    <w:uiPriority w:val="20"/>
    <w:qFormat/>
    <w:locked/>
    <w:rsid w:val="000E710E"/>
    <w:rPr>
      <w:i/>
      <w:iCs/>
    </w:rPr>
  </w:style>
  <w:style w:type="character" w:customStyle="1" w:styleId="listingtitleclass">
    <w:name w:val="listingtitleclass"/>
    <w:uiPriority w:val="99"/>
    <w:rsid w:val="000E710E"/>
  </w:style>
  <w:style w:type="paragraph" w:customStyle="1" w:styleId="NormalBookAntiqua">
    <w:name w:val="Normal + Book Antiqua"/>
    <w:aliases w:val="11 pt,Right,Right:  0.05&quot;"/>
    <w:basedOn w:val="Normal"/>
    <w:uiPriority w:val="99"/>
    <w:rsid w:val="000E710E"/>
    <w:pPr>
      <w:jc w:val="left"/>
    </w:pPr>
    <w:rPr>
      <w:rFonts w:ascii="Times New Roman" w:eastAsia="Times New Roman" w:hAnsi="Times New Roman" w:cs="Times New Roman"/>
      <w:lang w:val="sr-Cyrl-CS"/>
    </w:rPr>
  </w:style>
  <w:style w:type="character" w:customStyle="1" w:styleId="listingdescriptionclass">
    <w:name w:val="listingdescriptionclass"/>
    <w:uiPriority w:val="99"/>
    <w:rsid w:val="000E710E"/>
  </w:style>
  <w:style w:type="character" w:styleId="BookTitle">
    <w:name w:val="Book Title"/>
    <w:basedOn w:val="DefaultParagraphFont"/>
    <w:uiPriority w:val="99"/>
    <w:qFormat/>
    <w:rsid w:val="000E710E"/>
    <w:rPr>
      <w:b/>
      <w:bCs/>
      <w:smallCaps/>
      <w:spacing w:val="5"/>
    </w:rPr>
  </w:style>
  <w:style w:type="paragraph" w:customStyle="1" w:styleId="16PointCharCharCharCharCharCharCharCharChar">
    <w:name w:val="16 Point Char Char Char Char Char Char Char Char Char"/>
    <w:aliases w:val="Superscript 6 Point Char Char Char Char Char Char Char Char Char,Footnote Reference Number Char Char Char Char Char Char Char Char Char"/>
    <w:basedOn w:val="Normal"/>
    <w:uiPriority w:val="99"/>
    <w:rsid w:val="000E710E"/>
    <w:pPr>
      <w:spacing w:after="160" w:line="240" w:lineRule="exact"/>
      <w:jc w:val="left"/>
    </w:pPr>
    <w:rPr>
      <w:rFonts w:ascii="Calibri" w:hAnsi="Calibri" w:cs="Calibri"/>
      <w:vertAlign w:val="superscript"/>
    </w:rPr>
  </w:style>
  <w:style w:type="paragraph" w:customStyle="1" w:styleId="Normal6">
    <w:name w:val="Normal6"/>
    <w:basedOn w:val="Normal"/>
    <w:uiPriority w:val="99"/>
    <w:rsid w:val="000E710E"/>
    <w:pPr>
      <w:spacing w:before="100" w:beforeAutospacing="1" w:after="100" w:afterAutospacing="1"/>
      <w:jc w:val="left"/>
    </w:pPr>
    <w:rPr>
      <w:rFonts w:ascii="Arial" w:eastAsia="Times New Roman" w:hAnsi="Arial" w:cs="Arial"/>
    </w:rPr>
  </w:style>
  <w:style w:type="paragraph" w:customStyle="1" w:styleId="clan">
    <w:name w:val="clan"/>
    <w:basedOn w:val="Normal"/>
    <w:uiPriority w:val="99"/>
    <w:rsid w:val="000E710E"/>
    <w:pPr>
      <w:spacing w:before="240"/>
      <w:jc w:val="center"/>
    </w:pPr>
    <w:rPr>
      <w:rFonts w:ascii="Arial" w:eastAsia="Times New Roman" w:hAnsi="Arial" w:cs="Arial"/>
      <w:b/>
      <w:bCs/>
      <w:sz w:val="24"/>
      <w:szCs w:val="24"/>
    </w:rPr>
  </w:style>
  <w:style w:type="paragraph" w:customStyle="1" w:styleId="wyq120---podnaslov-clana">
    <w:name w:val="wyq120---podnaslov-clana"/>
    <w:basedOn w:val="Normal"/>
    <w:rsid w:val="000E710E"/>
    <w:pPr>
      <w:spacing w:before="100" w:beforeAutospacing="1" w:after="100" w:afterAutospacing="1"/>
      <w:jc w:val="left"/>
    </w:pPr>
    <w:rPr>
      <w:rFonts w:ascii="Times New Roman" w:eastAsia="Times New Roman" w:hAnsi="Times New Roman" w:cs="Times New Roman"/>
      <w:sz w:val="24"/>
      <w:szCs w:val="24"/>
    </w:rPr>
  </w:style>
  <w:style w:type="table" w:customStyle="1" w:styleId="GridTable5Dark-Accent11">
    <w:name w:val="Grid Table 5 Dark - Accent 11"/>
    <w:uiPriority w:val="99"/>
    <w:rsid w:val="000E710E"/>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table" w:customStyle="1" w:styleId="GridTable5Dark-Accent41">
    <w:name w:val="Grid Table 5 Dark - Accent 41"/>
    <w:uiPriority w:val="99"/>
    <w:rsid w:val="000E710E"/>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style>
  <w:style w:type="table" w:customStyle="1" w:styleId="GridTable5Dark-Accent61">
    <w:name w:val="Grid Table 5 Dark - Accent 61"/>
    <w:uiPriority w:val="99"/>
    <w:rsid w:val="000E710E"/>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style>
  <w:style w:type="table" w:customStyle="1" w:styleId="Style1">
    <w:name w:val="Style1"/>
    <w:basedOn w:val="TableColorful3"/>
    <w:uiPriority w:val="99"/>
    <w:rsid w:val="000E710E"/>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GridLight1">
    <w:name w:val="Table Grid Light1"/>
    <w:uiPriority w:val="99"/>
    <w:rsid w:val="000E710E"/>
    <w:rPr>
      <w:rFonts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Colorful3">
    <w:name w:val="Table Colorful 3"/>
    <w:basedOn w:val="TableNormal"/>
    <w:uiPriority w:val="99"/>
    <w:semiHidden/>
    <w:rsid w:val="000E710E"/>
    <w:pPr>
      <w:spacing w:after="120" w:line="259" w:lineRule="auto"/>
      <w:jc w:val="both"/>
    </w:pPr>
    <w:rPr>
      <w:rFonts w:cs="Calibri"/>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rsid w:val="000E710E"/>
    <w:pPr>
      <w:spacing w:after="120" w:line="259" w:lineRule="auto"/>
      <w:jc w:val="both"/>
    </w:pPr>
    <w:rPr>
      <w:rFonts w:cs="Calibri"/>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tyle2">
    <w:name w:val="Style2"/>
    <w:uiPriority w:val="99"/>
    <w:rsid w:val="000E710E"/>
    <w:rPr>
      <w:rFonts w:cs="Calibri"/>
    </w:rPr>
    <w:tblPr>
      <w:tblCellMar>
        <w:top w:w="0" w:type="dxa"/>
        <w:left w:w="108" w:type="dxa"/>
        <w:bottom w:w="0" w:type="dxa"/>
        <w:right w:w="108" w:type="dxa"/>
      </w:tblCellMar>
    </w:tblPr>
  </w:style>
  <w:style w:type="paragraph" w:styleId="Title">
    <w:name w:val="Title"/>
    <w:basedOn w:val="Normal"/>
    <w:next w:val="Normal"/>
    <w:link w:val="TitleChar"/>
    <w:uiPriority w:val="99"/>
    <w:qFormat/>
    <w:locked/>
    <w:rsid w:val="0099386D"/>
    <w:pPr>
      <w:pBdr>
        <w:top w:val="single" w:sz="48" w:space="0" w:color="9F2936"/>
        <w:bottom w:val="single" w:sz="48" w:space="0" w:color="9F2936"/>
      </w:pBdr>
      <w:shd w:val="clear" w:color="auto" w:fill="9F2936"/>
      <w:spacing w:after="0"/>
      <w:jc w:val="center"/>
    </w:pPr>
    <w:rPr>
      <w:rFonts w:ascii="Franklin Gothic Medium" w:hAnsi="Franklin Gothic Medium" w:cs="Franklin Gothic Medium"/>
      <w:i/>
      <w:iCs/>
      <w:color w:val="FFFFFF"/>
      <w:spacing w:val="10"/>
      <w:sz w:val="48"/>
      <w:szCs w:val="48"/>
      <w:lang w:val="en-GB" w:eastAsia="en-GB"/>
    </w:rPr>
  </w:style>
  <w:style w:type="character" w:customStyle="1" w:styleId="TitleChar">
    <w:name w:val="Title Char"/>
    <w:basedOn w:val="DefaultParagraphFont"/>
    <w:link w:val="Title"/>
    <w:uiPriority w:val="99"/>
    <w:locked/>
    <w:rsid w:val="0099386D"/>
    <w:rPr>
      <w:rFonts w:ascii="Franklin Gothic Medium" w:hAnsi="Franklin Gothic Medium" w:cs="Franklin Gothic Medium"/>
      <w:i/>
      <w:iCs/>
      <w:color w:val="FFFFFF"/>
      <w:spacing w:val="10"/>
      <w:sz w:val="48"/>
      <w:szCs w:val="48"/>
      <w:shd w:val="clear" w:color="auto" w:fill="9F2936"/>
      <w:lang w:val="en-GB" w:eastAsia="en-GB"/>
    </w:rPr>
  </w:style>
  <w:style w:type="paragraph" w:styleId="EndnoteText">
    <w:name w:val="endnote text"/>
    <w:basedOn w:val="Normal"/>
    <w:link w:val="EndnoteTextChar"/>
    <w:uiPriority w:val="99"/>
    <w:semiHidden/>
    <w:rsid w:val="00FA36DD"/>
    <w:pPr>
      <w:spacing w:after="0"/>
    </w:pPr>
    <w:rPr>
      <w:sz w:val="20"/>
      <w:szCs w:val="20"/>
    </w:rPr>
  </w:style>
  <w:style w:type="character" w:customStyle="1" w:styleId="EndnoteTextChar">
    <w:name w:val="Endnote Text Char"/>
    <w:basedOn w:val="DefaultParagraphFont"/>
    <w:link w:val="EndnoteText"/>
    <w:uiPriority w:val="99"/>
    <w:semiHidden/>
    <w:locked/>
    <w:rsid w:val="00FA36DD"/>
    <w:rPr>
      <w:rFonts w:ascii="Book Antiqua" w:hAnsi="Book Antiqua" w:cs="Book Antiqua"/>
      <w:lang w:val="en-US" w:eastAsia="en-US"/>
    </w:rPr>
  </w:style>
  <w:style w:type="character" w:styleId="EndnoteReference">
    <w:name w:val="endnote reference"/>
    <w:basedOn w:val="DefaultParagraphFont"/>
    <w:uiPriority w:val="99"/>
    <w:semiHidden/>
    <w:rsid w:val="00FA36DD"/>
    <w:rPr>
      <w:vertAlign w:val="superscript"/>
    </w:rPr>
  </w:style>
  <w:style w:type="character" w:customStyle="1" w:styleId="izmgreenback1">
    <w:name w:val="izm_greenback1"/>
    <w:uiPriority w:val="99"/>
    <w:rsid w:val="00FA36DD"/>
    <w:rPr>
      <w:shd w:val="clear" w:color="auto" w:fill="auto"/>
    </w:rPr>
  </w:style>
  <w:style w:type="paragraph" w:customStyle="1" w:styleId="cmsubtitle">
    <w:name w:val="cm_subtitle"/>
    <w:basedOn w:val="Normal"/>
    <w:uiPriority w:val="99"/>
    <w:rsid w:val="00FA36DD"/>
    <w:pPr>
      <w:spacing w:before="100" w:beforeAutospacing="1" w:after="100" w:afterAutospacing="1"/>
      <w:jc w:val="left"/>
    </w:pPr>
    <w:rPr>
      <w:rFonts w:ascii="Times New Roman" w:eastAsia="Times New Roman" w:hAnsi="Times New Roman" w:cs="Times New Roman"/>
      <w:sz w:val="24"/>
      <w:szCs w:val="24"/>
    </w:rPr>
  </w:style>
  <w:style w:type="character" w:customStyle="1" w:styleId="tn1">
    <w:name w:val="tn1"/>
    <w:basedOn w:val="DefaultParagraphFont"/>
    <w:uiPriority w:val="99"/>
    <w:rsid w:val="00FA36DD"/>
  </w:style>
  <w:style w:type="character" w:customStyle="1" w:styleId="apple-tab-span">
    <w:name w:val="apple-tab-span"/>
    <w:basedOn w:val="DefaultParagraphFont"/>
    <w:uiPriority w:val="99"/>
    <w:rsid w:val="00C537BC"/>
  </w:style>
  <w:style w:type="paragraph" w:styleId="TOCHeading">
    <w:name w:val="TOC Heading"/>
    <w:basedOn w:val="Heading1"/>
    <w:next w:val="Normal"/>
    <w:uiPriority w:val="39"/>
    <w:qFormat/>
    <w:rsid w:val="00690611"/>
    <w:pPr>
      <w:keepLines/>
      <w:numPr>
        <w:numId w:val="0"/>
      </w:numPr>
      <w:tabs>
        <w:tab w:val="clear" w:pos="28"/>
      </w:tabs>
      <w:spacing w:before="240" w:after="0" w:line="259" w:lineRule="auto"/>
      <w:ind w:left="432" w:hanging="432"/>
      <w:jc w:val="left"/>
      <w:outlineLvl w:val="9"/>
    </w:pPr>
    <w:rPr>
      <w:rFonts w:ascii="Cambria" w:hAnsi="Cambria" w:cs="Cambria"/>
      <w:b/>
      <w:bCs w:val="0"/>
      <w:caps w:val="0"/>
      <w:noProof w:val="0"/>
      <w:color w:val="365F91"/>
      <w:lang w:val="en-US"/>
    </w:rPr>
  </w:style>
  <w:style w:type="paragraph" w:styleId="TOC4">
    <w:name w:val="toc 4"/>
    <w:basedOn w:val="Normal"/>
    <w:next w:val="Normal"/>
    <w:autoRedefine/>
    <w:uiPriority w:val="99"/>
    <w:semiHidden/>
    <w:locked/>
    <w:rsid w:val="00690611"/>
    <w:pPr>
      <w:spacing w:after="100" w:line="259" w:lineRule="auto"/>
      <w:ind w:left="660"/>
      <w:jc w:val="left"/>
    </w:pPr>
    <w:rPr>
      <w:rFonts w:ascii="Calibri" w:eastAsia="Times New Roman" w:hAnsi="Calibri" w:cs="Calibri"/>
    </w:rPr>
  </w:style>
  <w:style w:type="paragraph" w:styleId="TOC5">
    <w:name w:val="toc 5"/>
    <w:basedOn w:val="Normal"/>
    <w:next w:val="Normal"/>
    <w:autoRedefine/>
    <w:uiPriority w:val="99"/>
    <w:semiHidden/>
    <w:locked/>
    <w:rsid w:val="00690611"/>
    <w:pPr>
      <w:spacing w:after="100" w:line="259" w:lineRule="auto"/>
      <w:ind w:left="880"/>
      <w:jc w:val="left"/>
    </w:pPr>
    <w:rPr>
      <w:rFonts w:ascii="Calibri" w:eastAsia="Times New Roman" w:hAnsi="Calibri" w:cs="Calibri"/>
    </w:rPr>
  </w:style>
  <w:style w:type="paragraph" w:styleId="TOC6">
    <w:name w:val="toc 6"/>
    <w:basedOn w:val="Normal"/>
    <w:next w:val="Normal"/>
    <w:autoRedefine/>
    <w:uiPriority w:val="99"/>
    <w:semiHidden/>
    <w:locked/>
    <w:rsid w:val="00690611"/>
    <w:pPr>
      <w:spacing w:after="100" w:line="259" w:lineRule="auto"/>
      <w:ind w:left="1100"/>
      <w:jc w:val="left"/>
    </w:pPr>
    <w:rPr>
      <w:rFonts w:ascii="Calibri" w:eastAsia="Times New Roman" w:hAnsi="Calibri" w:cs="Calibri"/>
    </w:rPr>
  </w:style>
  <w:style w:type="paragraph" w:styleId="TOC7">
    <w:name w:val="toc 7"/>
    <w:basedOn w:val="Normal"/>
    <w:next w:val="Normal"/>
    <w:autoRedefine/>
    <w:uiPriority w:val="99"/>
    <w:semiHidden/>
    <w:locked/>
    <w:rsid w:val="00690611"/>
    <w:pPr>
      <w:spacing w:after="100" w:line="259" w:lineRule="auto"/>
      <w:ind w:left="1320"/>
      <w:jc w:val="left"/>
    </w:pPr>
    <w:rPr>
      <w:rFonts w:ascii="Calibri" w:eastAsia="Times New Roman" w:hAnsi="Calibri" w:cs="Calibri"/>
    </w:rPr>
  </w:style>
  <w:style w:type="paragraph" w:styleId="TOC8">
    <w:name w:val="toc 8"/>
    <w:basedOn w:val="Normal"/>
    <w:next w:val="Normal"/>
    <w:autoRedefine/>
    <w:uiPriority w:val="99"/>
    <w:semiHidden/>
    <w:locked/>
    <w:rsid w:val="00690611"/>
    <w:pPr>
      <w:spacing w:after="100" w:line="259" w:lineRule="auto"/>
      <w:ind w:left="1540"/>
      <w:jc w:val="left"/>
    </w:pPr>
    <w:rPr>
      <w:rFonts w:ascii="Calibri" w:eastAsia="Times New Roman" w:hAnsi="Calibri" w:cs="Calibri"/>
    </w:rPr>
  </w:style>
  <w:style w:type="paragraph" w:styleId="TOC9">
    <w:name w:val="toc 9"/>
    <w:basedOn w:val="Normal"/>
    <w:next w:val="Normal"/>
    <w:autoRedefine/>
    <w:uiPriority w:val="99"/>
    <w:semiHidden/>
    <w:locked/>
    <w:rsid w:val="00690611"/>
    <w:pPr>
      <w:spacing w:after="100" w:line="259" w:lineRule="auto"/>
      <w:ind w:left="1760"/>
      <w:jc w:val="left"/>
    </w:pPr>
    <w:rPr>
      <w:rFonts w:ascii="Calibri" w:eastAsia="Times New Roman" w:hAnsi="Calibri" w:cs="Calibri"/>
    </w:rPr>
  </w:style>
  <w:style w:type="character" w:customStyle="1" w:styleId="trs">
    <w:name w:val="trs"/>
    <w:rsid w:val="009434E9"/>
  </w:style>
  <w:style w:type="character" w:customStyle="1" w:styleId="izmred1">
    <w:name w:val="izm_red1"/>
    <w:uiPriority w:val="99"/>
    <w:rsid w:val="003510B0"/>
    <w:rPr>
      <w:color w:val="FF0000"/>
    </w:rPr>
  </w:style>
  <w:style w:type="paragraph" w:customStyle="1" w:styleId="8podpodnas">
    <w:name w:val="8podpodnas"/>
    <w:basedOn w:val="Normal"/>
    <w:rsid w:val="00FC7B1A"/>
    <w:pPr>
      <w:shd w:val="clear" w:color="auto" w:fill="FFFFFF"/>
      <w:spacing w:before="240" w:after="240"/>
      <w:jc w:val="center"/>
    </w:pPr>
    <w:rPr>
      <w:rFonts w:ascii="Times New Roman" w:eastAsia="Times New Roman" w:hAnsi="Times New Roman" w:cs="Times New Roman"/>
      <w:i/>
      <w:iCs/>
      <w:sz w:val="28"/>
      <w:szCs w:val="28"/>
      <w:lang w:val="sr-Latn-CS" w:eastAsia="sr-Latn-CS"/>
    </w:rPr>
  </w:style>
  <w:style w:type="table" w:customStyle="1" w:styleId="GridTable2-Accent51">
    <w:name w:val="Grid Table 2 - Accent 51"/>
    <w:uiPriority w:val="99"/>
    <w:rsid w:val="002F692F"/>
    <w:rPr>
      <w:rFonts w:cs="Calibri"/>
      <w:sz w:val="20"/>
      <w:szCs w:val="20"/>
    </w:rPr>
    <w:tblPr>
      <w:tblStyleRowBandSize w:val="1"/>
      <w:tblStyleColBandSize w:val="1"/>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style>
  <w:style w:type="table" w:customStyle="1" w:styleId="GridTable5Dark-Accent51">
    <w:name w:val="Grid Table 5 Dark - Accent 51"/>
    <w:uiPriority w:val="99"/>
    <w:rsid w:val="004B1B4D"/>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style>
  <w:style w:type="paragraph" w:customStyle="1" w:styleId="HeadingNPM">
    <w:name w:val="Heading NPM"/>
    <w:basedOn w:val="Heading2"/>
    <w:link w:val="HeadingNPMChar"/>
    <w:qFormat/>
    <w:rsid w:val="00E62C75"/>
    <w:pPr>
      <w:numPr>
        <w:ilvl w:val="0"/>
        <w:numId w:val="0"/>
      </w:numPr>
      <w:ind w:left="567" w:hanging="567"/>
    </w:pPr>
  </w:style>
  <w:style w:type="character" w:customStyle="1" w:styleId="HeadingNPMChar">
    <w:name w:val="Heading NPM Char"/>
    <w:link w:val="HeadingNPM"/>
    <w:locked/>
    <w:rsid w:val="00E62C75"/>
    <w:rPr>
      <w:rFonts w:ascii="Book Antiqua" w:hAnsi="Book Antiqua" w:cs="Book Antiqua"/>
      <w:b/>
      <w:bCs/>
      <w:caps/>
      <w:noProof/>
      <w:sz w:val="28"/>
      <w:szCs w:val="28"/>
      <w:lang w:val="en-GB"/>
    </w:rPr>
  </w:style>
  <w:style w:type="character" w:customStyle="1" w:styleId="Bodytext0">
    <w:name w:val="Body text_"/>
    <w:link w:val="BodyText1"/>
    <w:locked/>
    <w:rsid w:val="00DE2E6F"/>
    <w:rPr>
      <w:rFonts w:ascii="Angsana New" w:hAnsi="Angsana New" w:cs="Angsana New"/>
      <w:sz w:val="23"/>
      <w:szCs w:val="23"/>
      <w:shd w:val="clear" w:color="auto" w:fill="FFFFFF"/>
    </w:rPr>
  </w:style>
  <w:style w:type="paragraph" w:customStyle="1" w:styleId="BodyText1">
    <w:name w:val="Body Text1"/>
    <w:basedOn w:val="Normal"/>
    <w:link w:val="Bodytext0"/>
    <w:rsid w:val="00DE2E6F"/>
    <w:pPr>
      <w:shd w:val="clear" w:color="auto" w:fill="FFFFFF"/>
      <w:spacing w:before="120" w:line="206" w:lineRule="exact"/>
    </w:pPr>
    <w:rPr>
      <w:rFonts w:ascii="Angsana New" w:hAnsi="Angsana New" w:cs="Angsana New"/>
      <w:sz w:val="23"/>
      <w:szCs w:val="23"/>
    </w:rPr>
  </w:style>
  <w:style w:type="character" w:customStyle="1" w:styleId="Bodytext5">
    <w:name w:val="Body text (5)_"/>
    <w:link w:val="Bodytext50"/>
    <w:uiPriority w:val="99"/>
    <w:locked/>
    <w:rsid w:val="00DE2E6F"/>
    <w:rPr>
      <w:rFonts w:ascii="Angsana New" w:hAnsi="Angsana New" w:cs="Angsana New"/>
      <w:sz w:val="23"/>
      <w:szCs w:val="23"/>
      <w:shd w:val="clear" w:color="auto" w:fill="FFFFFF"/>
    </w:rPr>
  </w:style>
  <w:style w:type="paragraph" w:customStyle="1" w:styleId="Bodytext50">
    <w:name w:val="Body text (5)"/>
    <w:basedOn w:val="Normal"/>
    <w:link w:val="Bodytext5"/>
    <w:uiPriority w:val="99"/>
    <w:rsid w:val="00DE2E6F"/>
    <w:pPr>
      <w:shd w:val="clear" w:color="auto" w:fill="FFFFFF"/>
      <w:spacing w:after="300" w:line="240" w:lineRule="atLeast"/>
      <w:jc w:val="left"/>
    </w:pPr>
    <w:rPr>
      <w:rFonts w:ascii="Angsana New" w:hAnsi="Angsana New" w:cs="Angsana New"/>
      <w:sz w:val="23"/>
      <w:szCs w:val="23"/>
    </w:rPr>
  </w:style>
  <w:style w:type="paragraph" w:customStyle="1" w:styleId="2zakon">
    <w:name w:val="2zakon"/>
    <w:basedOn w:val="Normal"/>
    <w:uiPriority w:val="99"/>
    <w:rsid w:val="0099386D"/>
    <w:pPr>
      <w:spacing w:before="100" w:beforeAutospacing="1" w:after="100" w:afterAutospacing="1"/>
      <w:jc w:val="center"/>
    </w:pPr>
    <w:rPr>
      <w:rFonts w:ascii="Arial" w:eastAsia="Times New Roman" w:hAnsi="Arial" w:cs="Arial"/>
      <w:color w:val="0033CC"/>
      <w:sz w:val="36"/>
      <w:szCs w:val="36"/>
      <w:lang w:val="sr-Latn-CS" w:eastAsia="sr-Latn-CS"/>
    </w:rPr>
  </w:style>
  <w:style w:type="character" w:customStyle="1" w:styleId="A2">
    <w:name w:val="A2"/>
    <w:uiPriority w:val="99"/>
    <w:rsid w:val="0099386D"/>
    <w:rPr>
      <w:b/>
      <w:bCs/>
      <w:color w:val="000000"/>
      <w:sz w:val="40"/>
      <w:szCs w:val="40"/>
    </w:rPr>
  </w:style>
  <w:style w:type="paragraph" w:customStyle="1" w:styleId="normaluvuceni">
    <w:name w:val="normal_uvuceni"/>
    <w:basedOn w:val="Normal"/>
    <w:uiPriority w:val="99"/>
    <w:rsid w:val="0099386D"/>
    <w:pPr>
      <w:spacing w:before="100" w:beforeAutospacing="1" w:after="100" w:afterAutospacing="1"/>
      <w:ind w:left="1134" w:hanging="142"/>
      <w:jc w:val="left"/>
    </w:pPr>
    <w:rPr>
      <w:rFonts w:ascii="Arial" w:eastAsia="Times New Roman" w:hAnsi="Arial" w:cs="Arial"/>
    </w:rPr>
  </w:style>
  <w:style w:type="paragraph" w:customStyle="1" w:styleId="wyq060---pododeljak">
    <w:name w:val="wyq060---pododeljak"/>
    <w:basedOn w:val="Normal"/>
    <w:uiPriority w:val="99"/>
    <w:rsid w:val="0099386D"/>
    <w:pPr>
      <w:spacing w:after="0"/>
      <w:jc w:val="center"/>
    </w:pPr>
    <w:rPr>
      <w:rFonts w:ascii="Arial" w:eastAsia="Times New Roman" w:hAnsi="Arial" w:cs="Arial"/>
      <w:sz w:val="31"/>
      <w:szCs w:val="31"/>
    </w:rPr>
  </w:style>
  <w:style w:type="paragraph" w:customStyle="1" w:styleId="wyq110---naslov-clana">
    <w:name w:val="wyq110---naslov-clana"/>
    <w:basedOn w:val="Normal"/>
    <w:rsid w:val="0099386D"/>
    <w:pPr>
      <w:spacing w:before="240" w:after="240"/>
      <w:jc w:val="center"/>
    </w:pPr>
    <w:rPr>
      <w:rFonts w:ascii="Arial" w:eastAsia="Times New Roman" w:hAnsi="Arial" w:cs="Arial"/>
      <w:b/>
      <w:bCs/>
      <w:sz w:val="24"/>
      <w:szCs w:val="24"/>
    </w:rPr>
  </w:style>
  <w:style w:type="character" w:customStyle="1" w:styleId="Heading30">
    <w:name w:val="Heading #3_"/>
    <w:link w:val="Heading31"/>
    <w:uiPriority w:val="99"/>
    <w:locked/>
    <w:rsid w:val="0099386D"/>
    <w:rPr>
      <w:rFonts w:ascii="Angsana New" w:hAnsi="Angsana New" w:cs="Angsana New"/>
      <w:sz w:val="29"/>
      <w:szCs w:val="29"/>
      <w:shd w:val="clear" w:color="auto" w:fill="FFFFFF"/>
    </w:rPr>
  </w:style>
  <w:style w:type="character" w:customStyle="1" w:styleId="Heading20">
    <w:name w:val="Heading #2_"/>
    <w:link w:val="Heading21"/>
    <w:uiPriority w:val="99"/>
    <w:locked/>
    <w:rsid w:val="0099386D"/>
    <w:rPr>
      <w:rFonts w:ascii="Angsana New" w:hAnsi="Angsana New" w:cs="Angsana New"/>
      <w:sz w:val="34"/>
      <w:szCs w:val="34"/>
      <w:shd w:val="clear" w:color="auto" w:fill="FFFFFF"/>
    </w:rPr>
  </w:style>
  <w:style w:type="paragraph" w:customStyle="1" w:styleId="Heading31">
    <w:name w:val="Heading #3"/>
    <w:basedOn w:val="Normal"/>
    <w:link w:val="Heading30"/>
    <w:uiPriority w:val="99"/>
    <w:rsid w:val="0099386D"/>
    <w:pPr>
      <w:shd w:val="clear" w:color="auto" w:fill="FFFFFF"/>
      <w:spacing w:before="1260" w:after="360" w:line="240" w:lineRule="atLeast"/>
      <w:ind w:hanging="500"/>
      <w:jc w:val="left"/>
      <w:outlineLvl w:val="2"/>
    </w:pPr>
    <w:rPr>
      <w:rFonts w:ascii="Angsana New" w:eastAsia="Times New Roman" w:hAnsi="Angsana New" w:cs="Angsana New"/>
      <w:sz w:val="29"/>
      <w:szCs w:val="29"/>
    </w:rPr>
  </w:style>
  <w:style w:type="paragraph" w:customStyle="1" w:styleId="Heading21">
    <w:name w:val="Heading #2"/>
    <w:basedOn w:val="Normal"/>
    <w:link w:val="Heading20"/>
    <w:uiPriority w:val="99"/>
    <w:rsid w:val="0099386D"/>
    <w:pPr>
      <w:shd w:val="clear" w:color="auto" w:fill="FFFFFF"/>
      <w:spacing w:before="360" w:after="300" w:line="264" w:lineRule="exact"/>
      <w:ind w:hanging="500"/>
      <w:jc w:val="right"/>
      <w:outlineLvl w:val="1"/>
    </w:pPr>
    <w:rPr>
      <w:rFonts w:ascii="Angsana New" w:eastAsia="Times New Roman" w:hAnsi="Angsana New" w:cs="Angsana New"/>
      <w:sz w:val="34"/>
      <w:szCs w:val="34"/>
    </w:rPr>
  </w:style>
  <w:style w:type="table" w:styleId="TableGrid">
    <w:name w:val="Table Grid"/>
    <w:basedOn w:val="TableNormal"/>
    <w:uiPriority w:val="99"/>
    <w:locked/>
    <w:rsid w:val="0099386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rsid w:val="00D3155F"/>
    <w:rPr>
      <w:vertAlign w:val="superscript"/>
    </w:rPr>
  </w:style>
  <w:style w:type="character" w:customStyle="1" w:styleId="FontStyle13">
    <w:name w:val="Font Style13"/>
    <w:uiPriority w:val="99"/>
    <w:rsid w:val="00D3155F"/>
    <w:rPr>
      <w:rFonts w:ascii="Arial" w:hAnsi="Arial" w:cs="Arial"/>
      <w:sz w:val="20"/>
      <w:szCs w:val="20"/>
    </w:rPr>
  </w:style>
  <w:style w:type="numbering" w:customStyle="1" w:styleId="Headings">
    <w:name w:val="Headings"/>
    <w:rsid w:val="00AC17AA"/>
    <w:pPr>
      <w:numPr>
        <w:numId w:val="2"/>
      </w:numPr>
    </w:pPr>
  </w:style>
  <w:style w:type="numbering" w:customStyle="1" w:styleId="Rimska">
    <w:name w:val="Rimska"/>
    <w:rsid w:val="00AC17AA"/>
    <w:pPr>
      <w:numPr>
        <w:numId w:val="8"/>
      </w:numPr>
    </w:pPr>
  </w:style>
  <w:style w:type="numbering" w:customStyle="1" w:styleId="Rimska2">
    <w:name w:val="Rimska2"/>
    <w:rsid w:val="00AC17AA"/>
    <w:pPr>
      <w:numPr>
        <w:numId w:val="6"/>
      </w:numPr>
    </w:pPr>
  </w:style>
  <w:style w:type="numbering" w:customStyle="1" w:styleId="NoList1">
    <w:name w:val="No List1"/>
    <w:next w:val="NoList"/>
    <w:uiPriority w:val="99"/>
    <w:semiHidden/>
    <w:unhideWhenUsed/>
    <w:rsid w:val="0087003F"/>
  </w:style>
  <w:style w:type="numbering" w:customStyle="1" w:styleId="NoList11">
    <w:name w:val="No List11"/>
    <w:next w:val="NoList"/>
    <w:uiPriority w:val="99"/>
    <w:semiHidden/>
    <w:unhideWhenUsed/>
    <w:rsid w:val="0087003F"/>
  </w:style>
  <w:style w:type="numbering" w:customStyle="1" w:styleId="Headings1">
    <w:name w:val="Headings1"/>
    <w:rsid w:val="0087003F"/>
    <w:pPr>
      <w:numPr>
        <w:numId w:val="9"/>
      </w:numPr>
    </w:pPr>
  </w:style>
  <w:style w:type="numbering" w:customStyle="1" w:styleId="Rimska21">
    <w:name w:val="Rimska21"/>
    <w:rsid w:val="0087003F"/>
    <w:pPr>
      <w:numPr>
        <w:numId w:val="10"/>
      </w:numPr>
    </w:pPr>
  </w:style>
  <w:style w:type="table" w:customStyle="1" w:styleId="GridTable5Dark-Accent12">
    <w:name w:val="Grid Table 5 Dark - Accent 12"/>
    <w:basedOn w:val="TableNormal"/>
    <w:next w:val="GridTable5Dark-Accent1"/>
    <w:uiPriority w:val="50"/>
    <w:rsid w:val="0087003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42">
    <w:name w:val="Grid Table 5 Dark - Accent 42"/>
    <w:basedOn w:val="TableNormal"/>
    <w:next w:val="GridTable5Dark-Accent4"/>
    <w:uiPriority w:val="50"/>
    <w:rsid w:val="0087003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62">
    <w:name w:val="Grid Table 5 Dark - Accent 62"/>
    <w:basedOn w:val="TableNormal"/>
    <w:next w:val="GridTable5Dark-Accent6"/>
    <w:uiPriority w:val="50"/>
    <w:rsid w:val="0087003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Style11">
    <w:name w:val="Style11"/>
    <w:basedOn w:val="TableColorful3"/>
    <w:uiPriority w:val="99"/>
    <w:rsid w:val="0087003F"/>
    <w:pPr>
      <w:spacing w:after="0" w:line="240" w:lineRule="auto"/>
    </w:pPr>
    <w:rPr>
      <w:rFonts w:ascii="Book Antiqua" w:hAnsi="Book Antiqua" w:cs="Times New Roman"/>
      <w:color w:val="000000"/>
    </w:rPr>
    <w:tblPr>
      <w:jc w:val="center"/>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Pr>
    <w:trPr>
      <w:jc w:val="center"/>
    </w:trPr>
    <w:tcPr>
      <w:shd w:val="clear" w:color="auto" w:fill="D9E2F3"/>
      <w:vAlign w:val="center"/>
    </w:tcPr>
    <w:tblStylePr w:type="firstRow">
      <w:tblPr/>
      <w:tcPr>
        <w:tcBorders>
          <w:bottom w:val="single" w:sz="6" w:space="0" w:color="000000"/>
          <w:tl2br w:val="none" w:sz="0" w:space="0" w:color="auto"/>
          <w:tr2bl w:val="none" w:sz="0" w:space="0" w:color="auto"/>
        </w:tcBorders>
        <w:shd w:val="solid" w:color="00000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GridLight2">
    <w:name w:val="Table Grid Light2"/>
    <w:basedOn w:val="TableNormal"/>
    <w:next w:val="TableGridLight"/>
    <w:uiPriority w:val="40"/>
    <w:rsid w:val="0087003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Colorful31">
    <w:name w:val="Table Colorful 31"/>
    <w:basedOn w:val="TableNormal"/>
    <w:next w:val="TableColorful3"/>
    <w:uiPriority w:val="99"/>
    <w:semiHidden/>
    <w:unhideWhenUsed/>
    <w:rsid w:val="0087003F"/>
    <w:pPr>
      <w:spacing w:after="120" w:line="259"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uiPriority w:val="99"/>
    <w:semiHidden/>
    <w:unhideWhenUsed/>
    <w:rsid w:val="0087003F"/>
    <w:pPr>
      <w:spacing w:after="120" w:line="259"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tyle21">
    <w:name w:val="Style21"/>
    <w:basedOn w:val="TableNormal"/>
    <w:uiPriority w:val="99"/>
    <w:rsid w:val="0087003F"/>
    <w:tblPr/>
  </w:style>
  <w:style w:type="numbering" w:customStyle="1" w:styleId="Rimska1">
    <w:name w:val="Rimska1"/>
    <w:rsid w:val="0087003F"/>
  </w:style>
  <w:style w:type="table" w:styleId="GridTable5Dark-Accent1">
    <w:name w:val="Grid Table 5 Dark Accent 1"/>
    <w:basedOn w:val="TableNormal"/>
    <w:uiPriority w:val="50"/>
    <w:rsid w:val="008700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4">
    <w:name w:val="Grid Table 5 Dark Accent 4"/>
    <w:basedOn w:val="TableNormal"/>
    <w:uiPriority w:val="50"/>
    <w:rsid w:val="008700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6">
    <w:name w:val="Grid Table 5 Dark Accent 6"/>
    <w:basedOn w:val="TableNormal"/>
    <w:uiPriority w:val="50"/>
    <w:rsid w:val="008700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GridLight">
    <w:name w:val="Grid Table Light"/>
    <w:basedOn w:val="TableNormal"/>
    <w:uiPriority w:val="40"/>
    <w:rsid w:val="008700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Char1CharChar">
    <w:name w:val="Char Char1 Char Char"/>
    <w:basedOn w:val="Normal"/>
    <w:rsid w:val="0096634B"/>
    <w:pPr>
      <w:spacing w:after="160" w:line="240" w:lineRule="exact"/>
      <w:jc w:val="left"/>
    </w:pPr>
    <w:rPr>
      <w:rFonts w:ascii="Tahoma" w:eastAsia="Times New Roman" w:hAnsi="Tahoma" w:cs="Times New Roman"/>
      <w:sz w:val="20"/>
      <w:szCs w:val="20"/>
      <w:lang w:eastAsia="en-GB"/>
    </w:rPr>
  </w:style>
  <w:style w:type="paragraph" w:customStyle="1" w:styleId="Footnotesrefss">
    <w:name w:val="Footnotes refss"/>
    <w:aliases w:val="BVI fnr Car Car,BVI fnr Car,BVI fnr Car Car Car Car,BVI fnr Char Car Car Car,BVI fnr Car Car Car Car Char Char,BVI fnr Car Car Car Car Char Char Char Char Char,16 Point,Superscript 6 Point,Footnote Reference Number,снос"/>
    <w:basedOn w:val="Normal"/>
    <w:rsid w:val="00612637"/>
    <w:pPr>
      <w:spacing w:after="160" w:line="240" w:lineRule="exact"/>
    </w:pPr>
    <w:rPr>
      <w:rFonts w:ascii="Times New Roman" w:eastAsiaTheme="minorHAnsi" w:hAnsi="Times New Roman" w:cstheme="minorBidi"/>
      <w:position w:val="-2"/>
      <w:sz w:val="20"/>
      <w:szCs w:val="20"/>
      <w:vertAlign w:val="superscript"/>
    </w:rPr>
  </w:style>
  <w:style w:type="paragraph" w:customStyle="1" w:styleId="izmenanaslov">
    <w:name w:val="izmena_naslov"/>
    <w:basedOn w:val="Normal"/>
    <w:rsid w:val="00E40E2B"/>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CharCharCharChar">
    <w:name w:val="Char Char Char Char"/>
    <w:basedOn w:val="Normal"/>
    <w:rsid w:val="001329FF"/>
    <w:pPr>
      <w:spacing w:after="160" w:line="240" w:lineRule="exact"/>
      <w:jc w:val="left"/>
    </w:pPr>
    <w:rPr>
      <w:rFonts w:ascii="Tahoma" w:eastAsia="Times New Roman" w:hAnsi="Tahoma" w:cs="Times New Roman"/>
      <w:sz w:val="20"/>
      <w:szCs w:val="20"/>
      <w:lang w:val="en-GB"/>
    </w:rPr>
  </w:style>
  <w:style w:type="paragraph" w:customStyle="1" w:styleId="msonormal0">
    <w:name w:val="msonormal"/>
    <w:basedOn w:val="Normal"/>
    <w:rsid w:val="00DF4BD7"/>
    <w:pPr>
      <w:spacing w:before="100" w:beforeAutospacing="1" w:after="100" w:afterAutospacing="1"/>
      <w:jc w:val="left"/>
    </w:pPr>
    <w:rPr>
      <w:rFonts w:ascii="Times New Roman" w:eastAsia="Times New Roman" w:hAnsi="Times New Roman" w:cs="Times New Roman"/>
      <w:sz w:val="24"/>
      <w:szCs w:val="24"/>
      <w:lang w:val="sr-Latn-RS" w:eastAsia="sr-Latn-RS"/>
    </w:rPr>
  </w:style>
  <w:style w:type="paragraph" w:customStyle="1" w:styleId="font5">
    <w:name w:val="font5"/>
    <w:basedOn w:val="Normal"/>
    <w:rsid w:val="00DF4BD7"/>
    <w:pPr>
      <w:spacing w:before="100" w:beforeAutospacing="1" w:after="100" w:afterAutospacing="1"/>
      <w:jc w:val="left"/>
    </w:pPr>
    <w:rPr>
      <w:rFonts w:eastAsia="Times New Roman" w:cs="Times New Roman"/>
      <w:i/>
      <w:iCs/>
      <w:color w:val="000000"/>
      <w:sz w:val="20"/>
      <w:szCs w:val="20"/>
      <w:lang w:val="sr-Latn-RS" w:eastAsia="sr-Latn-RS"/>
    </w:rPr>
  </w:style>
  <w:style w:type="paragraph" w:customStyle="1" w:styleId="xl65">
    <w:name w:val="xl65"/>
    <w:basedOn w:val="Normal"/>
    <w:rsid w:val="00DF4BD7"/>
    <w:pPr>
      <w:pBdr>
        <w:top w:val="single" w:sz="8" w:space="0" w:color="4BACC6"/>
        <w:left w:val="single" w:sz="8" w:space="0" w:color="4BACC6"/>
        <w:bottom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66">
    <w:name w:val="xl66"/>
    <w:basedOn w:val="Normal"/>
    <w:rsid w:val="00DF4BD7"/>
    <w:pPr>
      <w:pBdr>
        <w:top w:val="single" w:sz="8" w:space="0" w:color="4BACC6"/>
        <w:bottom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67">
    <w:name w:val="xl67"/>
    <w:basedOn w:val="Normal"/>
    <w:rsid w:val="00DF4BD7"/>
    <w:pPr>
      <w:pBdr>
        <w:left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68">
    <w:name w:val="xl68"/>
    <w:basedOn w:val="Normal"/>
    <w:rsid w:val="00DF4BD7"/>
    <w:pP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69">
    <w:name w:val="xl69"/>
    <w:basedOn w:val="Normal"/>
    <w:rsid w:val="00DF4BD7"/>
    <w:pPr>
      <w:pBdr>
        <w:top w:val="single" w:sz="8" w:space="0" w:color="4BACC6"/>
        <w:left w:val="single" w:sz="8" w:space="0" w:color="4BACC6"/>
        <w:bottom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70">
    <w:name w:val="xl70"/>
    <w:basedOn w:val="Normal"/>
    <w:rsid w:val="00DF4BD7"/>
    <w:pPr>
      <w:pBdr>
        <w:top w:val="single" w:sz="8" w:space="0" w:color="4BACC6"/>
        <w:bottom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71">
    <w:name w:val="xl71"/>
    <w:basedOn w:val="Normal"/>
    <w:rsid w:val="00DF4BD7"/>
    <w:pPr>
      <w:pBdr>
        <w:top w:val="single" w:sz="8" w:space="0" w:color="4BACC6"/>
        <w:bottom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72">
    <w:name w:val="xl72"/>
    <w:basedOn w:val="Normal"/>
    <w:rsid w:val="00DF4BD7"/>
    <w:pP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73">
    <w:name w:val="xl73"/>
    <w:basedOn w:val="Normal"/>
    <w:rsid w:val="00DF4BD7"/>
    <w:pPr>
      <w:pBdr>
        <w:left w:val="single" w:sz="8" w:space="0" w:color="4BACC6"/>
        <w:bottom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74">
    <w:name w:val="xl74"/>
    <w:basedOn w:val="Normal"/>
    <w:rsid w:val="00DF4BD7"/>
    <w:pPr>
      <w:pBdr>
        <w:left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75">
    <w:name w:val="xl75"/>
    <w:basedOn w:val="Normal"/>
    <w:rsid w:val="00DF4BD7"/>
    <w:pP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76">
    <w:name w:val="xl76"/>
    <w:basedOn w:val="Normal"/>
    <w:rsid w:val="00DF4BD7"/>
    <w:pPr>
      <w:pBdr>
        <w:left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77">
    <w:name w:val="xl77"/>
    <w:basedOn w:val="Normal"/>
    <w:rsid w:val="00DF4BD7"/>
    <w:pPr>
      <w:pBdr>
        <w:top w:val="single" w:sz="8" w:space="0" w:color="4BACC6"/>
        <w:left w:val="single" w:sz="8" w:space="0" w:color="4BACC6"/>
        <w:bottom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78">
    <w:name w:val="xl78"/>
    <w:basedOn w:val="Normal"/>
    <w:rsid w:val="00DF4BD7"/>
    <w:pPr>
      <w:pBdr>
        <w:left w:val="single" w:sz="8" w:space="0" w:color="4BACC6"/>
        <w:bottom w:val="single" w:sz="8" w:space="0" w:color="4BACC6"/>
        <w:right w:val="single" w:sz="8" w:space="0" w:color="4BACC6"/>
      </w:pBdr>
      <w:shd w:val="clear" w:color="000000" w:fill="FFFFFF"/>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79">
    <w:name w:val="xl79"/>
    <w:basedOn w:val="Normal"/>
    <w:rsid w:val="00DF4BD7"/>
    <w:pPr>
      <w:pBdr>
        <w:bottom w:val="single" w:sz="8" w:space="0" w:color="4BACC6"/>
      </w:pBdr>
      <w:shd w:val="clear" w:color="000000" w:fill="FFFFFF"/>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80">
    <w:name w:val="xl80"/>
    <w:basedOn w:val="Normal"/>
    <w:rsid w:val="00DF4BD7"/>
    <w:pPr>
      <w:pBdr>
        <w:left w:val="single" w:sz="8" w:space="0" w:color="4BACC6"/>
        <w:bottom w:val="single" w:sz="8" w:space="0" w:color="4BACC6"/>
        <w:right w:val="single" w:sz="8" w:space="0" w:color="4BACC6"/>
      </w:pBdr>
      <w:shd w:val="clear" w:color="000000" w:fill="FFFFFF"/>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81">
    <w:name w:val="xl81"/>
    <w:basedOn w:val="Normal"/>
    <w:rsid w:val="00DF4BD7"/>
    <w:pPr>
      <w:pBdr>
        <w:left w:val="single" w:sz="8" w:space="0" w:color="4BACC6"/>
        <w:bottom w:val="single" w:sz="8" w:space="0" w:color="4BACC6"/>
        <w:right w:val="single" w:sz="8" w:space="0" w:color="4BACC6"/>
      </w:pBdr>
      <w:shd w:val="clear" w:color="000000" w:fill="DEEAF6"/>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82">
    <w:name w:val="xl82"/>
    <w:basedOn w:val="Normal"/>
    <w:rsid w:val="00DF4BD7"/>
    <w:pPr>
      <w:pBdr>
        <w:bottom w:val="single" w:sz="8" w:space="0" w:color="4BACC6"/>
      </w:pBdr>
      <w:shd w:val="clear" w:color="000000" w:fill="DEEAF6"/>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83">
    <w:name w:val="xl83"/>
    <w:basedOn w:val="Normal"/>
    <w:rsid w:val="00DF4BD7"/>
    <w:pPr>
      <w:pBdr>
        <w:left w:val="single" w:sz="8" w:space="0" w:color="4BACC6"/>
        <w:bottom w:val="single" w:sz="8" w:space="0" w:color="4BACC6"/>
        <w:right w:val="single" w:sz="8" w:space="0" w:color="4BACC6"/>
      </w:pBdr>
      <w:shd w:val="clear" w:color="000000" w:fill="DEEAF6"/>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84">
    <w:name w:val="xl84"/>
    <w:basedOn w:val="Normal"/>
    <w:rsid w:val="00DF4BD7"/>
    <w:pPr>
      <w:pBdr>
        <w:bottom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85">
    <w:name w:val="xl85"/>
    <w:basedOn w:val="Normal"/>
    <w:rsid w:val="00DF4BD7"/>
    <w:pPr>
      <w:pBdr>
        <w:bottom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86">
    <w:name w:val="xl86"/>
    <w:basedOn w:val="Normal"/>
    <w:rsid w:val="00DF4BD7"/>
    <w:pPr>
      <w:pBdr>
        <w:left w:val="single" w:sz="8" w:space="0" w:color="4BACC6"/>
        <w:bottom w:val="single" w:sz="8" w:space="0" w:color="4BACC6"/>
        <w:right w:val="single" w:sz="8" w:space="0" w:color="4BACC6"/>
      </w:pBdr>
      <w:shd w:val="clear" w:color="000000" w:fill="D9E2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87">
    <w:name w:val="xl87"/>
    <w:basedOn w:val="Normal"/>
    <w:rsid w:val="00DF4BD7"/>
    <w:pPr>
      <w:pBdr>
        <w:bottom w:val="single" w:sz="8" w:space="0" w:color="4BACC6"/>
      </w:pBdr>
      <w:shd w:val="clear" w:color="000000" w:fill="D9E2F3"/>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88">
    <w:name w:val="xl88"/>
    <w:basedOn w:val="Normal"/>
    <w:rsid w:val="00DF4BD7"/>
    <w:pPr>
      <w:pBdr>
        <w:left w:val="single" w:sz="8" w:space="0" w:color="4BACC6"/>
        <w:bottom w:val="single" w:sz="8" w:space="0" w:color="4BACC6"/>
        <w:right w:val="single" w:sz="8" w:space="0" w:color="4BACC6"/>
      </w:pBdr>
      <w:shd w:val="clear" w:color="000000" w:fill="D9E2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89">
    <w:name w:val="xl89"/>
    <w:basedOn w:val="Normal"/>
    <w:rsid w:val="00DF4BD7"/>
    <w:pPr>
      <w:pBdr>
        <w:bottom w:val="single" w:sz="8" w:space="0" w:color="4BACC6"/>
      </w:pBdr>
      <w:shd w:val="clear" w:color="000000" w:fill="D9E2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90">
    <w:name w:val="xl90"/>
    <w:basedOn w:val="Normal"/>
    <w:rsid w:val="00DF4BD7"/>
    <w:pPr>
      <w:pBdr>
        <w:left w:val="single" w:sz="8" w:space="0" w:color="4BACC6"/>
        <w:bottom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91">
    <w:name w:val="xl91"/>
    <w:basedOn w:val="Normal"/>
    <w:rsid w:val="00DF4BD7"/>
    <w:pPr>
      <w:pBdr>
        <w:bottom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92">
    <w:name w:val="xl92"/>
    <w:basedOn w:val="Normal"/>
    <w:rsid w:val="00DF4BD7"/>
    <w:pPr>
      <w:pBdr>
        <w:left w:val="single" w:sz="8" w:space="0" w:color="4BACC6"/>
        <w:bottom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93">
    <w:name w:val="xl93"/>
    <w:basedOn w:val="Normal"/>
    <w:rsid w:val="00DF4BD7"/>
    <w:pPr>
      <w:pBdr>
        <w:left w:val="single" w:sz="8" w:space="0" w:color="4BACC6"/>
        <w:bottom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94">
    <w:name w:val="xl94"/>
    <w:basedOn w:val="Normal"/>
    <w:rsid w:val="00DF4BD7"/>
    <w:pPr>
      <w:pBdr>
        <w:bottom w:val="single" w:sz="8" w:space="0" w:color="4BACC6"/>
      </w:pBdr>
      <w:shd w:val="clear" w:color="000000" w:fill="DAEEF3"/>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95">
    <w:name w:val="xl95"/>
    <w:basedOn w:val="Normal"/>
    <w:rsid w:val="00DF4BD7"/>
    <w:pPr>
      <w:pBdr>
        <w:bottom w:val="single" w:sz="8" w:space="0" w:color="4BACC6"/>
      </w:pBdr>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96">
    <w:name w:val="xl96"/>
    <w:basedOn w:val="Normal"/>
    <w:rsid w:val="00DF4BD7"/>
    <w:pPr>
      <w:pBdr>
        <w:left w:val="single" w:sz="8" w:space="0" w:color="4BACC6"/>
        <w:bottom w:val="single" w:sz="8" w:space="0" w:color="4BACC6"/>
        <w:right w:val="single" w:sz="8" w:space="0" w:color="4BACC6"/>
      </w:pBdr>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97">
    <w:name w:val="xl97"/>
    <w:basedOn w:val="Normal"/>
    <w:rsid w:val="00DF4BD7"/>
    <w:pPr>
      <w:pBdr>
        <w:left w:val="single" w:sz="8" w:space="0" w:color="4BACC6"/>
        <w:bottom w:val="single" w:sz="8" w:space="0" w:color="auto"/>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98">
    <w:name w:val="xl98"/>
    <w:basedOn w:val="Normal"/>
    <w:rsid w:val="00DF4BD7"/>
    <w:pPr>
      <w:pBdr>
        <w:bottom w:val="single" w:sz="8" w:space="0" w:color="auto"/>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99">
    <w:name w:val="xl99"/>
    <w:basedOn w:val="Normal"/>
    <w:rsid w:val="00DF4BD7"/>
    <w:pPr>
      <w:pBdr>
        <w:left w:val="single" w:sz="8" w:space="0" w:color="auto"/>
        <w:bottom w:val="single" w:sz="8" w:space="0" w:color="auto"/>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00">
    <w:name w:val="xl100"/>
    <w:basedOn w:val="Normal"/>
    <w:rsid w:val="00DF4BD7"/>
    <w:pPr>
      <w:pBdr>
        <w:bottom w:val="single" w:sz="8" w:space="0" w:color="auto"/>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01">
    <w:name w:val="xl101"/>
    <w:basedOn w:val="Normal"/>
    <w:rsid w:val="00DF4BD7"/>
    <w:pPr>
      <w:pBdr>
        <w:left w:val="single" w:sz="8" w:space="0" w:color="4BACC6"/>
        <w:bottom w:val="single" w:sz="8" w:space="0" w:color="auto"/>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02">
    <w:name w:val="xl102"/>
    <w:basedOn w:val="Normal"/>
    <w:rsid w:val="00DF4BD7"/>
    <w:pPr>
      <w:pBdr>
        <w:left w:val="single" w:sz="8" w:space="0" w:color="4BACC6"/>
        <w:bottom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03">
    <w:name w:val="xl103"/>
    <w:basedOn w:val="Normal"/>
    <w:rsid w:val="00DF4B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04">
    <w:name w:val="xl104"/>
    <w:basedOn w:val="Normal"/>
    <w:rsid w:val="00DF4B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05">
    <w:name w:val="xl105"/>
    <w:basedOn w:val="Normal"/>
    <w:rsid w:val="00DF4BD7"/>
    <w:pPr>
      <w:pBdr>
        <w:top w:val="single" w:sz="8" w:space="0" w:color="4BACC6"/>
        <w:left w:val="single" w:sz="8" w:space="0" w:color="4BACC6"/>
        <w:bottom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06">
    <w:name w:val="xl106"/>
    <w:basedOn w:val="Normal"/>
    <w:rsid w:val="00DF4BD7"/>
    <w:pPr>
      <w:pBdr>
        <w:left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07">
    <w:name w:val="xl107"/>
    <w:basedOn w:val="Normal"/>
    <w:rsid w:val="00DF4BD7"/>
    <w:pPr>
      <w:pBdr>
        <w:left w:val="single" w:sz="8" w:space="0" w:color="4BACC6"/>
        <w:bottom w:val="single" w:sz="8" w:space="0" w:color="4BACC6"/>
        <w:right w:val="single" w:sz="8" w:space="0" w:color="4BACC6"/>
      </w:pBdr>
      <w:shd w:val="clear" w:color="000000" w:fill="FFFFFF"/>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08">
    <w:name w:val="xl108"/>
    <w:basedOn w:val="Normal"/>
    <w:rsid w:val="00DF4BD7"/>
    <w:pPr>
      <w:pBdr>
        <w:left w:val="single" w:sz="8" w:space="0" w:color="4BACC6"/>
        <w:bottom w:val="single" w:sz="8" w:space="0" w:color="4BACC6"/>
        <w:right w:val="single" w:sz="8" w:space="0" w:color="4BACC6"/>
      </w:pBdr>
      <w:shd w:val="clear" w:color="000000" w:fill="FFFFFF"/>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09">
    <w:name w:val="xl109"/>
    <w:basedOn w:val="Normal"/>
    <w:rsid w:val="00DF4BD7"/>
    <w:pPr>
      <w:pBdr>
        <w:left w:val="single" w:sz="8" w:space="0" w:color="4BACC6"/>
        <w:bottom w:val="single" w:sz="8" w:space="0" w:color="4BACC6"/>
        <w:right w:val="single" w:sz="8" w:space="0" w:color="4BACC6"/>
      </w:pBdr>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0">
    <w:name w:val="xl110"/>
    <w:basedOn w:val="Normal"/>
    <w:rsid w:val="00DF4BD7"/>
    <w:pPr>
      <w:pBdr>
        <w:left w:val="single" w:sz="8" w:space="0" w:color="4BACC6"/>
        <w:bottom w:val="single" w:sz="8" w:space="0" w:color="auto"/>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11">
    <w:name w:val="xl111"/>
    <w:basedOn w:val="Normal"/>
    <w:rsid w:val="00DF4BD7"/>
    <w:pPr>
      <w:pBdr>
        <w:left w:val="single" w:sz="8" w:space="0" w:color="4BACC6"/>
        <w:bottom w:val="single" w:sz="8" w:space="0" w:color="auto"/>
        <w:right w:val="single" w:sz="8" w:space="0" w:color="auto"/>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2">
    <w:name w:val="xl112"/>
    <w:basedOn w:val="Normal"/>
    <w:rsid w:val="00DF4BD7"/>
    <w:pPr>
      <w:pBdr>
        <w:top w:val="single" w:sz="8" w:space="0" w:color="4BACC6"/>
        <w:bottom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3">
    <w:name w:val="xl113"/>
    <w:basedOn w:val="Normal"/>
    <w:rsid w:val="00DF4BD7"/>
    <w:pPr>
      <w:pBdr>
        <w:bottom w:val="single" w:sz="8" w:space="0" w:color="4BACC6"/>
      </w:pBdr>
      <w:shd w:val="clear" w:color="000000" w:fill="FFFFFF"/>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14">
    <w:name w:val="xl114"/>
    <w:basedOn w:val="Normal"/>
    <w:rsid w:val="00DF4BD7"/>
    <w:pPr>
      <w:pBdr>
        <w:bottom w:val="single" w:sz="8" w:space="0" w:color="4BACC6"/>
      </w:pBdr>
      <w:shd w:val="clear" w:color="000000" w:fill="DEEAF6"/>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5">
    <w:name w:val="xl115"/>
    <w:basedOn w:val="Normal"/>
    <w:rsid w:val="00DF4BD7"/>
    <w:pP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6">
    <w:name w:val="xl116"/>
    <w:basedOn w:val="Normal"/>
    <w:rsid w:val="00DF4BD7"/>
    <w:pPr>
      <w:pBdr>
        <w:bottom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7">
    <w:name w:val="xl117"/>
    <w:basedOn w:val="Normal"/>
    <w:rsid w:val="00DF4BD7"/>
    <w:pPr>
      <w:pBdr>
        <w:bottom w:val="single" w:sz="8" w:space="0" w:color="4BACC6"/>
      </w:pBdr>
      <w:shd w:val="clear" w:color="000000" w:fill="DAEEF3"/>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18">
    <w:name w:val="xl118"/>
    <w:basedOn w:val="Normal"/>
    <w:rsid w:val="00DF4BD7"/>
    <w:pPr>
      <w:pBdr>
        <w:bottom w:val="single" w:sz="8" w:space="0" w:color="4BACC6"/>
      </w:pBdr>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19">
    <w:name w:val="xl119"/>
    <w:basedOn w:val="Normal"/>
    <w:rsid w:val="00DF4BD7"/>
    <w:pPr>
      <w:pBdr>
        <w:bottom w:val="single" w:sz="8" w:space="0" w:color="auto"/>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20">
    <w:name w:val="xl120"/>
    <w:basedOn w:val="Normal"/>
    <w:rsid w:val="00DF4BD7"/>
    <w:pPr>
      <w:pBdr>
        <w:bottom w:val="single" w:sz="8" w:space="0" w:color="auto"/>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21">
    <w:name w:val="xl121"/>
    <w:basedOn w:val="Normal"/>
    <w:rsid w:val="00DF4BD7"/>
    <w:pPr>
      <w:pBdr>
        <w:top w:val="single" w:sz="8" w:space="0" w:color="4BACC6"/>
        <w:left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22">
    <w:name w:val="xl122"/>
    <w:basedOn w:val="Normal"/>
    <w:rsid w:val="00DF4BD7"/>
    <w:pPr>
      <w:pBdr>
        <w:top w:val="single" w:sz="8" w:space="0" w:color="4BACC6"/>
        <w:left w:val="single" w:sz="8" w:space="0" w:color="4BACC6"/>
        <w:right w:val="single" w:sz="8" w:space="0" w:color="4BACC6"/>
      </w:pBdr>
      <w:spacing w:before="100" w:beforeAutospacing="1" w:after="100" w:afterAutospacing="1"/>
      <w:jc w:val="center"/>
      <w:textAlignment w:val="center"/>
    </w:pPr>
    <w:rPr>
      <w:rFonts w:eastAsia="Times New Roman" w:cs="Times New Roman"/>
      <w:sz w:val="20"/>
      <w:szCs w:val="20"/>
      <w:lang w:val="sr-Latn-RS" w:eastAsia="sr-Latn-RS"/>
    </w:rPr>
  </w:style>
  <w:style w:type="paragraph" w:customStyle="1" w:styleId="xl123">
    <w:name w:val="xl123"/>
    <w:basedOn w:val="Normal"/>
    <w:rsid w:val="00DF4BD7"/>
    <w:pPr>
      <w:pBdr>
        <w:top w:val="single" w:sz="8" w:space="0" w:color="4BACC6"/>
        <w:left w:val="single" w:sz="8" w:space="0" w:color="4BACC6"/>
        <w:right w:val="single" w:sz="8" w:space="0" w:color="4BACC6"/>
      </w:pBdr>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24">
    <w:name w:val="xl124"/>
    <w:basedOn w:val="Normal"/>
    <w:rsid w:val="00DF4BD7"/>
    <w:pPr>
      <w:pBdr>
        <w:top w:val="single" w:sz="8" w:space="0" w:color="4BACC6"/>
        <w:left w:val="single" w:sz="8" w:space="0" w:color="4BACC6"/>
        <w:bottom w:val="single" w:sz="8" w:space="0" w:color="4BACC6"/>
        <w:right w:val="single" w:sz="8" w:space="0" w:color="4BACC6"/>
      </w:pBdr>
      <w:shd w:val="clear" w:color="000000" w:fill="FFFFFF"/>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25">
    <w:name w:val="xl125"/>
    <w:basedOn w:val="Normal"/>
    <w:rsid w:val="00DF4BD7"/>
    <w:pPr>
      <w:pBdr>
        <w:top w:val="single" w:sz="8" w:space="0" w:color="4BACC6"/>
        <w:left w:val="single" w:sz="8" w:space="0" w:color="4BACC6"/>
        <w:bottom w:val="single" w:sz="8" w:space="0" w:color="4BACC6"/>
        <w:right w:val="single" w:sz="8" w:space="0" w:color="4BACC6"/>
      </w:pBdr>
      <w:shd w:val="clear" w:color="000000" w:fill="FFFFFF"/>
      <w:spacing w:before="100" w:beforeAutospacing="1" w:after="100" w:afterAutospacing="1"/>
      <w:jc w:val="center"/>
      <w:textAlignment w:val="center"/>
    </w:pPr>
    <w:rPr>
      <w:rFonts w:eastAsia="Times New Roman" w:cs="Times New Roman"/>
      <w:color w:val="000000"/>
      <w:sz w:val="20"/>
      <w:szCs w:val="20"/>
      <w:lang w:val="sr-Latn-RS" w:eastAsia="sr-Latn-RS"/>
    </w:rPr>
  </w:style>
  <w:style w:type="paragraph" w:customStyle="1" w:styleId="xl126">
    <w:name w:val="xl126"/>
    <w:basedOn w:val="Normal"/>
    <w:rsid w:val="00DF4BD7"/>
    <w:pPr>
      <w:pBdr>
        <w:top w:val="single" w:sz="8" w:space="0" w:color="4BACC6"/>
        <w:left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xl127">
    <w:name w:val="xl127"/>
    <w:basedOn w:val="Normal"/>
    <w:rsid w:val="00DF4BD7"/>
    <w:pPr>
      <w:pBdr>
        <w:top w:val="single" w:sz="8" w:space="0" w:color="4BACC6"/>
        <w:left w:val="single" w:sz="8" w:space="0" w:color="4BACC6"/>
        <w:right w:val="single" w:sz="8" w:space="0" w:color="4BACC6"/>
      </w:pBdr>
      <w:shd w:val="clear" w:color="000000" w:fill="DAEEF3"/>
      <w:spacing w:before="100" w:beforeAutospacing="1" w:after="100" w:afterAutospacing="1"/>
      <w:jc w:val="center"/>
      <w:textAlignment w:val="center"/>
    </w:pPr>
    <w:rPr>
      <w:rFonts w:eastAsia="Times New Roman" w:cs="Times New Roman"/>
      <w:b/>
      <w:bCs/>
      <w:color w:val="000000"/>
      <w:sz w:val="20"/>
      <w:szCs w:val="20"/>
      <w:lang w:val="sr-Latn-RS" w:eastAsia="sr-Latn-RS"/>
    </w:rPr>
  </w:style>
  <w:style w:type="paragraph" w:customStyle="1" w:styleId="auto-style25">
    <w:name w:val="auto-style25"/>
    <w:basedOn w:val="Normal"/>
    <w:rsid w:val="00A653CF"/>
    <w:pPr>
      <w:spacing w:before="100" w:beforeAutospacing="1" w:after="100" w:afterAutospacing="1"/>
      <w:jc w:val="left"/>
    </w:pPr>
    <w:rPr>
      <w:rFonts w:ascii="Times New Roman" w:eastAsiaTheme="minorHAnsi" w:hAnsi="Times New Roman" w:cs="Times New Roman"/>
      <w:sz w:val="24"/>
      <w:szCs w:val="24"/>
    </w:rPr>
  </w:style>
  <w:style w:type="character" w:customStyle="1" w:styleId="style20">
    <w:name w:val="style2"/>
    <w:basedOn w:val="DefaultParagraphFont"/>
    <w:rsid w:val="00A653CF"/>
  </w:style>
  <w:style w:type="paragraph" w:customStyle="1" w:styleId="CharCharChar2Char5">
    <w:name w:val="Char Char Char2 Char5"/>
    <w:basedOn w:val="Normal"/>
    <w:rsid w:val="0042274F"/>
    <w:pPr>
      <w:spacing w:after="160" w:line="240" w:lineRule="exact"/>
      <w:jc w:val="left"/>
    </w:pPr>
    <w:rPr>
      <w:rFonts w:ascii="Tahoma" w:eastAsia="Times New Roman" w:hAnsi="Tahoma" w:cs="Times New Roman"/>
      <w:sz w:val="20"/>
      <w:szCs w:val="20"/>
    </w:rPr>
  </w:style>
  <w:style w:type="paragraph" w:customStyle="1" w:styleId="LO-normal">
    <w:name w:val="LO-normal"/>
    <w:basedOn w:val="Normal"/>
    <w:rsid w:val="00913E4A"/>
    <w:pPr>
      <w:suppressAutoHyphens/>
      <w:spacing w:before="280" w:after="280"/>
      <w:jc w:val="left"/>
    </w:pPr>
    <w:rPr>
      <w:rFonts w:ascii="Arial" w:eastAsia="Times New Roman" w:hAnsi="Arial" w:cs="Arial"/>
      <w:lang w:eastAsia="en-GB"/>
    </w:rPr>
  </w:style>
  <w:style w:type="character" w:customStyle="1" w:styleId="A1">
    <w:name w:val="A1"/>
    <w:uiPriority w:val="99"/>
    <w:rsid w:val="00732486"/>
    <w:rPr>
      <w:rFonts w:cs="Resavska BG Sans"/>
      <w:b/>
      <w:bCs/>
      <w:color w:val="000000"/>
      <w:sz w:val="28"/>
      <w:szCs w:val="28"/>
    </w:rPr>
  </w:style>
  <w:style w:type="character" w:customStyle="1" w:styleId="lat">
    <w:name w:val="lat"/>
    <w:rsid w:val="00932DEA"/>
  </w:style>
  <w:style w:type="paragraph" w:customStyle="1" w:styleId="BodyAA">
    <w:name w:val="Body A A"/>
    <w:rsid w:val="00056EF7"/>
    <w:pPr>
      <w:pBdr>
        <w:top w:val="nil"/>
        <w:left w:val="nil"/>
        <w:bottom w:val="nil"/>
        <w:right w:val="nil"/>
        <w:between w:val="nil"/>
        <w:bar w:val="nil"/>
      </w:pBdr>
    </w:pPr>
    <w:rPr>
      <w:rFonts w:ascii="Times New Roman" w:eastAsia="Times New Roman" w:hAnsi="Times New Roman"/>
      <w:color w:val="000000"/>
      <w:sz w:val="24"/>
      <w:szCs w:val="24"/>
      <w:u w:color="000000"/>
      <w:bdr w:val="nil"/>
      <w:lang w:eastAsia="sr-Latn-RS"/>
      <w14:textOutline w14:w="12700" w14:cap="flat" w14:cmpd="sng" w14:algn="ctr">
        <w14:noFill/>
        <w14:prstDash w14:val="solid"/>
        <w14:miter w14:lim="400000"/>
      </w14:textOutline>
    </w:rPr>
  </w:style>
  <w:style w:type="character" w:styleId="SubtleReference">
    <w:name w:val="Subtle Reference"/>
    <w:basedOn w:val="DefaultParagraphFont"/>
    <w:uiPriority w:val="31"/>
    <w:qFormat/>
    <w:rsid w:val="00393B94"/>
    <w:rPr>
      <w:smallCaps/>
      <w:color w:val="5A5A5A" w:themeColor="text1" w:themeTint="A5"/>
    </w:rPr>
  </w:style>
  <w:style w:type="paragraph" w:customStyle="1" w:styleId="BA11Just">
    <w:name w:val="BA 11  Just"/>
    <w:basedOn w:val="Normal"/>
    <w:autoRedefine/>
    <w:rsid w:val="006B4C7A"/>
    <w:pPr>
      <w:tabs>
        <w:tab w:val="left" w:pos="0"/>
      </w:tabs>
    </w:pPr>
    <w:rPr>
      <w:rFonts w:eastAsia="Times New Roman" w:cs="Times New Roman"/>
      <w:lang w:val="ru-RU"/>
    </w:rPr>
  </w:style>
  <w:style w:type="paragraph" w:customStyle="1" w:styleId="Pa19">
    <w:name w:val="Pa19"/>
    <w:basedOn w:val="Default"/>
    <w:next w:val="Default"/>
    <w:uiPriority w:val="99"/>
    <w:rsid w:val="006B4C7A"/>
    <w:pPr>
      <w:spacing w:line="225" w:lineRule="atLeast"/>
    </w:pPr>
    <w:rPr>
      <w:rFonts w:ascii="Resavska BG Sans" w:eastAsiaTheme="minorHAnsi" w:hAnsi="Resavska BG Sans" w:cstheme="minorBidi"/>
      <w:color w:val="auto"/>
    </w:rPr>
  </w:style>
  <w:style w:type="paragraph" w:customStyle="1" w:styleId="CharCharChar2Char4">
    <w:name w:val="Char Char Char2 Char4"/>
    <w:basedOn w:val="Normal"/>
    <w:rsid w:val="00A14BE0"/>
    <w:pPr>
      <w:spacing w:after="160" w:line="240" w:lineRule="exact"/>
      <w:jc w:val="left"/>
    </w:pPr>
    <w:rPr>
      <w:rFonts w:ascii="Tahoma" w:eastAsia="Times New Roman" w:hAnsi="Tahoma" w:cs="Times New Roman"/>
      <w:sz w:val="20"/>
      <w:szCs w:val="20"/>
    </w:rPr>
  </w:style>
  <w:style w:type="paragraph" w:customStyle="1" w:styleId="CharCharChar2Char0">
    <w:name w:val="Char Char Char2 Char"/>
    <w:basedOn w:val="Normal"/>
    <w:rsid w:val="00A22A17"/>
    <w:pPr>
      <w:spacing w:after="160" w:line="240" w:lineRule="exact"/>
      <w:jc w:val="left"/>
    </w:pPr>
    <w:rPr>
      <w:rFonts w:ascii="Tahoma" w:eastAsia="Times New Roman" w:hAnsi="Tahoma" w:cs="Times New Roman"/>
      <w:sz w:val="20"/>
      <w:szCs w:val="20"/>
    </w:rPr>
  </w:style>
  <w:style w:type="character" w:customStyle="1" w:styleId="Hyperlink1">
    <w:name w:val="Hyperlink1"/>
    <w:basedOn w:val="DefaultParagraphFont"/>
    <w:uiPriority w:val="99"/>
    <w:semiHidden/>
    <w:unhideWhenUsed/>
    <w:rsid w:val="001D6948"/>
    <w:rPr>
      <w:color w:val="0563C1"/>
      <w:u w:val="single"/>
    </w:rPr>
  </w:style>
  <w:style w:type="character" w:customStyle="1" w:styleId="NormalWebChar">
    <w:name w:val="Normal (Web) Char"/>
    <w:basedOn w:val="DefaultParagraphFont"/>
    <w:link w:val="NormalWeb"/>
    <w:uiPriority w:val="99"/>
    <w:locked/>
    <w:rsid w:val="007012F9"/>
    <w:rPr>
      <w:rFonts w:ascii="Times New Roman" w:eastAsia="Times New Roman" w:hAnsi="Times New Roman"/>
      <w:sz w:val="24"/>
      <w:szCs w:val="24"/>
    </w:rPr>
  </w:style>
  <w:style w:type="character" w:styleId="PageNumber">
    <w:name w:val="page number"/>
    <w:basedOn w:val="DefaultParagraphFont"/>
    <w:uiPriority w:val="99"/>
    <w:semiHidden/>
    <w:unhideWhenUsed/>
    <w:rsid w:val="009F0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7091">
      <w:bodyDiv w:val="1"/>
      <w:marLeft w:val="0"/>
      <w:marRight w:val="0"/>
      <w:marTop w:val="0"/>
      <w:marBottom w:val="0"/>
      <w:divBdr>
        <w:top w:val="none" w:sz="0" w:space="0" w:color="auto"/>
        <w:left w:val="none" w:sz="0" w:space="0" w:color="auto"/>
        <w:bottom w:val="none" w:sz="0" w:space="0" w:color="auto"/>
        <w:right w:val="none" w:sz="0" w:space="0" w:color="auto"/>
      </w:divBdr>
    </w:div>
    <w:div w:id="35854403">
      <w:marLeft w:val="0"/>
      <w:marRight w:val="0"/>
      <w:marTop w:val="0"/>
      <w:marBottom w:val="0"/>
      <w:divBdr>
        <w:top w:val="none" w:sz="0" w:space="0" w:color="auto"/>
        <w:left w:val="none" w:sz="0" w:space="0" w:color="auto"/>
        <w:bottom w:val="none" w:sz="0" w:space="0" w:color="auto"/>
        <w:right w:val="none" w:sz="0" w:space="0" w:color="auto"/>
      </w:divBdr>
    </w:div>
    <w:div w:id="35854404">
      <w:marLeft w:val="0"/>
      <w:marRight w:val="0"/>
      <w:marTop w:val="0"/>
      <w:marBottom w:val="0"/>
      <w:divBdr>
        <w:top w:val="none" w:sz="0" w:space="0" w:color="auto"/>
        <w:left w:val="none" w:sz="0" w:space="0" w:color="auto"/>
        <w:bottom w:val="none" w:sz="0" w:space="0" w:color="auto"/>
        <w:right w:val="none" w:sz="0" w:space="0" w:color="auto"/>
      </w:divBdr>
    </w:div>
    <w:div w:id="35854405">
      <w:marLeft w:val="0"/>
      <w:marRight w:val="0"/>
      <w:marTop w:val="0"/>
      <w:marBottom w:val="0"/>
      <w:divBdr>
        <w:top w:val="none" w:sz="0" w:space="0" w:color="auto"/>
        <w:left w:val="none" w:sz="0" w:space="0" w:color="auto"/>
        <w:bottom w:val="none" w:sz="0" w:space="0" w:color="auto"/>
        <w:right w:val="none" w:sz="0" w:space="0" w:color="auto"/>
      </w:divBdr>
    </w:div>
    <w:div w:id="35854406">
      <w:marLeft w:val="0"/>
      <w:marRight w:val="0"/>
      <w:marTop w:val="0"/>
      <w:marBottom w:val="0"/>
      <w:divBdr>
        <w:top w:val="none" w:sz="0" w:space="0" w:color="auto"/>
        <w:left w:val="none" w:sz="0" w:space="0" w:color="auto"/>
        <w:bottom w:val="none" w:sz="0" w:space="0" w:color="auto"/>
        <w:right w:val="none" w:sz="0" w:space="0" w:color="auto"/>
      </w:divBdr>
    </w:div>
    <w:div w:id="35854407">
      <w:marLeft w:val="0"/>
      <w:marRight w:val="0"/>
      <w:marTop w:val="0"/>
      <w:marBottom w:val="0"/>
      <w:divBdr>
        <w:top w:val="none" w:sz="0" w:space="0" w:color="auto"/>
        <w:left w:val="none" w:sz="0" w:space="0" w:color="auto"/>
        <w:bottom w:val="none" w:sz="0" w:space="0" w:color="auto"/>
        <w:right w:val="none" w:sz="0" w:space="0" w:color="auto"/>
      </w:divBdr>
    </w:div>
    <w:div w:id="35854408">
      <w:marLeft w:val="0"/>
      <w:marRight w:val="0"/>
      <w:marTop w:val="0"/>
      <w:marBottom w:val="0"/>
      <w:divBdr>
        <w:top w:val="none" w:sz="0" w:space="0" w:color="auto"/>
        <w:left w:val="none" w:sz="0" w:space="0" w:color="auto"/>
        <w:bottom w:val="none" w:sz="0" w:space="0" w:color="auto"/>
        <w:right w:val="none" w:sz="0" w:space="0" w:color="auto"/>
      </w:divBdr>
    </w:div>
    <w:div w:id="35854409">
      <w:marLeft w:val="0"/>
      <w:marRight w:val="0"/>
      <w:marTop w:val="0"/>
      <w:marBottom w:val="0"/>
      <w:divBdr>
        <w:top w:val="none" w:sz="0" w:space="0" w:color="auto"/>
        <w:left w:val="none" w:sz="0" w:space="0" w:color="auto"/>
        <w:bottom w:val="none" w:sz="0" w:space="0" w:color="auto"/>
        <w:right w:val="none" w:sz="0" w:space="0" w:color="auto"/>
      </w:divBdr>
    </w:div>
    <w:div w:id="35854410">
      <w:marLeft w:val="0"/>
      <w:marRight w:val="0"/>
      <w:marTop w:val="0"/>
      <w:marBottom w:val="0"/>
      <w:divBdr>
        <w:top w:val="none" w:sz="0" w:space="0" w:color="auto"/>
        <w:left w:val="none" w:sz="0" w:space="0" w:color="auto"/>
        <w:bottom w:val="none" w:sz="0" w:space="0" w:color="auto"/>
        <w:right w:val="none" w:sz="0" w:space="0" w:color="auto"/>
      </w:divBdr>
    </w:div>
    <w:div w:id="35854411">
      <w:marLeft w:val="0"/>
      <w:marRight w:val="0"/>
      <w:marTop w:val="0"/>
      <w:marBottom w:val="0"/>
      <w:divBdr>
        <w:top w:val="none" w:sz="0" w:space="0" w:color="auto"/>
        <w:left w:val="none" w:sz="0" w:space="0" w:color="auto"/>
        <w:bottom w:val="none" w:sz="0" w:space="0" w:color="auto"/>
        <w:right w:val="none" w:sz="0" w:space="0" w:color="auto"/>
      </w:divBdr>
    </w:div>
    <w:div w:id="35854412">
      <w:marLeft w:val="0"/>
      <w:marRight w:val="0"/>
      <w:marTop w:val="0"/>
      <w:marBottom w:val="0"/>
      <w:divBdr>
        <w:top w:val="none" w:sz="0" w:space="0" w:color="auto"/>
        <w:left w:val="none" w:sz="0" w:space="0" w:color="auto"/>
        <w:bottom w:val="none" w:sz="0" w:space="0" w:color="auto"/>
        <w:right w:val="none" w:sz="0" w:space="0" w:color="auto"/>
      </w:divBdr>
    </w:div>
    <w:div w:id="35854413">
      <w:marLeft w:val="0"/>
      <w:marRight w:val="0"/>
      <w:marTop w:val="0"/>
      <w:marBottom w:val="0"/>
      <w:divBdr>
        <w:top w:val="none" w:sz="0" w:space="0" w:color="auto"/>
        <w:left w:val="none" w:sz="0" w:space="0" w:color="auto"/>
        <w:bottom w:val="none" w:sz="0" w:space="0" w:color="auto"/>
        <w:right w:val="none" w:sz="0" w:space="0" w:color="auto"/>
      </w:divBdr>
    </w:div>
    <w:div w:id="35854414">
      <w:marLeft w:val="0"/>
      <w:marRight w:val="0"/>
      <w:marTop w:val="0"/>
      <w:marBottom w:val="0"/>
      <w:divBdr>
        <w:top w:val="none" w:sz="0" w:space="0" w:color="auto"/>
        <w:left w:val="none" w:sz="0" w:space="0" w:color="auto"/>
        <w:bottom w:val="none" w:sz="0" w:space="0" w:color="auto"/>
        <w:right w:val="none" w:sz="0" w:space="0" w:color="auto"/>
      </w:divBdr>
    </w:div>
    <w:div w:id="35854415">
      <w:marLeft w:val="0"/>
      <w:marRight w:val="0"/>
      <w:marTop w:val="0"/>
      <w:marBottom w:val="0"/>
      <w:divBdr>
        <w:top w:val="none" w:sz="0" w:space="0" w:color="auto"/>
        <w:left w:val="none" w:sz="0" w:space="0" w:color="auto"/>
        <w:bottom w:val="none" w:sz="0" w:space="0" w:color="auto"/>
        <w:right w:val="none" w:sz="0" w:space="0" w:color="auto"/>
      </w:divBdr>
    </w:div>
    <w:div w:id="35854416">
      <w:marLeft w:val="0"/>
      <w:marRight w:val="0"/>
      <w:marTop w:val="0"/>
      <w:marBottom w:val="0"/>
      <w:divBdr>
        <w:top w:val="none" w:sz="0" w:space="0" w:color="auto"/>
        <w:left w:val="none" w:sz="0" w:space="0" w:color="auto"/>
        <w:bottom w:val="none" w:sz="0" w:space="0" w:color="auto"/>
        <w:right w:val="none" w:sz="0" w:space="0" w:color="auto"/>
      </w:divBdr>
    </w:div>
    <w:div w:id="35854417">
      <w:marLeft w:val="0"/>
      <w:marRight w:val="0"/>
      <w:marTop w:val="0"/>
      <w:marBottom w:val="0"/>
      <w:divBdr>
        <w:top w:val="none" w:sz="0" w:space="0" w:color="auto"/>
        <w:left w:val="none" w:sz="0" w:space="0" w:color="auto"/>
        <w:bottom w:val="none" w:sz="0" w:space="0" w:color="auto"/>
        <w:right w:val="none" w:sz="0" w:space="0" w:color="auto"/>
      </w:divBdr>
    </w:div>
    <w:div w:id="35854418">
      <w:marLeft w:val="0"/>
      <w:marRight w:val="0"/>
      <w:marTop w:val="0"/>
      <w:marBottom w:val="0"/>
      <w:divBdr>
        <w:top w:val="none" w:sz="0" w:space="0" w:color="auto"/>
        <w:left w:val="none" w:sz="0" w:space="0" w:color="auto"/>
        <w:bottom w:val="none" w:sz="0" w:space="0" w:color="auto"/>
        <w:right w:val="none" w:sz="0" w:space="0" w:color="auto"/>
      </w:divBdr>
    </w:div>
    <w:div w:id="35854419">
      <w:marLeft w:val="0"/>
      <w:marRight w:val="0"/>
      <w:marTop w:val="0"/>
      <w:marBottom w:val="0"/>
      <w:divBdr>
        <w:top w:val="none" w:sz="0" w:space="0" w:color="auto"/>
        <w:left w:val="none" w:sz="0" w:space="0" w:color="auto"/>
        <w:bottom w:val="none" w:sz="0" w:space="0" w:color="auto"/>
        <w:right w:val="none" w:sz="0" w:space="0" w:color="auto"/>
      </w:divBdr>
    </w:div>
    <w:div w:id="35854420">
      <w:marLeft w:val="0"/>
      <w:marRight w:val="0"/>
      <w:marTop w:val="0"/>
      <w:marBottom w:val="0"/>
      <w:divBdr>
        <w:top w:val="none" w:sz="0" w:space="0" w:color="auto"/>
        <w:left w:val="none" w:sz="0" w:space="0" w:color="auto"/>
        <w:bottom w:val="none" w:sz="0" w:space="0" w:color="auto"/>
        <w:right w:val="none" w:sz="0" w:space="0" w:color="auto"/>
      </w:divBdr>
    </w:div>
    <w:div w:id="35854421">
      <w:marLeft w:val="0"/>
      <w:marRight w:val="0"/>
      <w:marTop w:val="0"/>
      <w:marBottom w:val="0"/>
      <w:divBdr>
        <w:top w:val="none" w:sz="0" w:space="0" w:color="auto"/>
        <w:left w:val="none" w:sz="0" w:space="0" w:color="auto"/>
        <w:bottom w:val="none" w:sz="0" w:space="0" w:color="auto"/>
        <w:right w:val="none" w:sz="0" w:space="0" w:color="auto"/>
      </w:divBdr>
    </w:div>
    <w:div w:id="35854422">
      <w:marLeft w:val="0"/>
      <w:marRight w:val="0"/>
      <w:marTop w:val="0"/>
      <w:marBottom w:val="0"/>
      <w:divBdr>
        <w:top w:val="none" w:sz="0" w:space="0" w:color="auto"/>
        <w:left w:val="none" w:sz="0" w:space="0" w:color="auto"/>
        <w:bottom w:val="none" w:sz="0" w:space="0" w:color="auto"/>
        <w:right w:val="none" w:sz="0" w:space="0" w:color="auto"/>
      </w:divBdr>
    </w:div>
    <w:div w:id="35854423">
      <w:marLeft w:val="0"/>
      <w:marRight w:val="0"/>
      <w:marTop w:val="0"/>
      <w:marBottom w:val="0"/>
      <w:divBdr>
        <w:top w:val="none" w:sz="0" w:space="0" w:color="auto"/>
        <w:left w:val="none" w:sz="0" w:space="0" w:color="auto"/>
        <w:bottom w:val="none" w:sz="0" w:space="0" w:color="auto"/>
        <w:right w:val="none" w:sz="0" w:space="0" w:color="auto"/>
      </w:divBdr>
    </w:div>
    <w:div w:id="35854424">
      <w:marLeft w:val="0"/>
      <w:marRight w:val="0"/>
      <w:marTop w:val="0"/>
      <w:marBottom w:val="0"/>
      <w:divBdr>
        <w:top w:val="none" w:sz="0" w:space="0" w:color="auto"/>
        <w:left w:val="none" w:sz="0" w:space="0" w:color="auto"/>
        <w:bottom w:val="none" w:sz="0" w:space="0" w:color="auto"/>
        <w:right w:val="none" w:sz="0" w:space="0" w:color="auto"/>
      </w:divBdr>
    </w:div>
    <w:div w:id="35854425">
      <w:marLeft w:val="0"/>
      <w:marRight w:val="0"/>
      <w:marTop w:val="0"/>
      <w:marBottom w:val="0"/>
      <w:divBdr>
        <w:top w:val="none" w:sz="0" w:space="0" w:color="auto"/>
        <w:left w:val="none" w:sz="0" w:space="0" w:color="auto"/>
        <w:bottom w:val="none" w:sz="0" w:space="0" w:color="auto"/>
        <w:right w:val="none" w:sz="0" w:space="0" w:color="auto"/>
      </w:divBdr>
    </w:div>
    <w:div w:id="35854426">
      <w:marLeft w:val="0"/>
      <w:marRight w:val="0"/>
      <w:marTop w:val="0"/>
      <w:marBottom w:val="0"/>
      <w:divBdr>
        <w:top w:val="none" w:sz="0" w:space="0" w:color="auto"/>
        <w:left w:val="none" w:sz="0" w:space="0" w:color="auto"/>
        <w:bottom w:val="none" w:sz="0" w:space="0" w:color="auto"/>
        <w:right w:val="none" w:sz="0" w:space="0" w:color="auto"/>
      </w:divBdr>
    </w:div>
    <w:div w:id="35854427">
      <w:marLeft w:val="0"/>
      <w:marRight w:val="0"/>
      <w:marTop w:val="0"/>
      <w:marBottom w:val="0"/>
      <w:divBdr>
        <w:top w:val="none" w:sz="0" w:space="0" w:color="auto"/>
        <w:left w:val="none" w:sz="0" w:space="0" w:color="auto"/>
        <w:bottom w:val="none" w:sz="0" w:space="0" w:color="auto"/>
        <w:right w:val="none" w:sz="0" w:space="0" w:color="auto"/>
      </w:divBdr>
    </w:div>
    <w:div w:id="35854428">
      <w:marLeft w:val="0"/>
      <w:marRight w:val="0"/>
      <w:marTop w:val="0"/>
      <w:marBottom w:val="0"/>
      <w:divBdr>
        <w:top w:val="none" w:sz="0" w:space="0" w:color="auto"/>
        <w:left w:val="none" w:sz="0" w:space="0" w:color="auto"/>
        <w:bottom w:val="none" w:sz="0" w:space="0" w:color="auto"/>
        <w:right w:val="none" w:sz="0" w:space="0" w:color="auto"/>
      </w:divBdr>
    </w:div>
    <w:div w:id="35854429">
      <w:marLeft w:val="0"/>
      <w:marRight w:val="0"/>
      <w:marTop w:val="0"/>
      <w:marBottom w:val="0"/>
      <w:divBdr>
        <w:top w:val="none" w:sz="0" w:space="0" w:color="auto"/>
        <w:left w:val="none" w:sz="0" w:space="0" w:color="auto"/>
        <w:bottom w:val="none" w:sz="0" w:space="0" w:color="auto"/>
        <w:right w:val="none" w:sz="0" w:space="0" w:color="auto"/>
      </w:divBdr>
    </w:div>
    <w:div w:id="35854430">
      <w:marLeft w:val="0"/>
      <w:marRight w:val="0"/>
      <w:marTop w:val="0"/>
      <w:marBottom w:val="0"/>
      <w:divBdr>
        <w:top w:val="none" w:sz="0" w:space="0" w:color="auto"/>
        <w:left w:val="none" w:sz="0" w:space="0" w:color="auto"/>
        <w:bottom w:val="none" w:sz="0" w:space="0" w:color="auto"/>
        <w:right w:val="none" w:sz="0" w:space="0" w:color="auto"/>
      </w:divBdr>
    </w:div>
    <w:div w:id="35854431">
      <w:marLeft w:val="0"/>
      <w:marRight w:val="0"/>
      <w:marTop w:val="0"/>
      <w:marBottom w:val="0"/>
      <w:divBdr>
        <w:top w:val="none" w:sz="0" w:space="0" w:color="auto"/>
        <w:left w:val="none" w:sz="0" w:space="0" w:color="auto"/>
        <w:bottom w:val="none" w:sz="0" w:space="0" w:color="auto"/>
        <w:right w:val="none" w:sz="0" w:space="0" w:color="auto"/>
      </w:divBdr>
    </w:div>
    <w:div w:id="35854432">
      <w:marLeft w:val="0"/>
      <w:marRight w:val="0"/>
      <w:marTop w:val="0"/>
      <w:marBottom w:val="0"/>
      <w:divBdr>
        <w:top w:val="none" w:sz="0" w:space="0" w:color="auto"/>
        <w:left w:val="none" w:sz="0" w:space="0" w:color="auto"/>
        <w:bottom w:val="none" w:sz="0" w:space="0" w:color="auto"/>
        <w:right w:val="none" w:sz="0" w:space="0" w:color="auto"/>
      </w:divBdr>
    </w:div>
    <w:div w:id="35854433">
      <w:marLeft w:val="0"/>
      <w:marRight w:val="0"/>
      <w:marTop w:val="0"/>
      <w:marBottom w:val="0"/>
      <w:divBdr>
        <w:top w:val="none" w:sz="0" w:space="0" w:color="auto"/>
        <w:left w:val="none" w:sz="0" w:space="0" w:color="auto"/>
        <w:bottom w:val="none" w:sz="0" w:space="0" w:color="auto"/>
        <w:right w:val="none" w:sz="0" w:space="0" w:color="auto"/>
      </w:divBdr>
    </w:div>
    <w:div w:id="35854434">
      <w:marLeft w:val="0"/>
      <w:marRight w:val="0"/>
      <w:marTop w:val="0"/>
      <w:marBottom w:val="0"/>
      <w:divBdr>
        <w:top w:val="none" w:sz="0" w:space="0" w:color="auto"/>
        <w:left w:val="none" w:sz="0" w:space="0" w:color="auto"/>
        <w:bottom w:val="none" w:sz="0" w:space="0" w:color="auto"/>
        <w:right w:val="none" w:sz="0" w:space="0" w:color="auto"/>
      </w:divBdr>
    </w:div>
    <w:div w:id="35854435">
      <w:marLeft w:val="0"/>
      <w:marRight w:val="0"/>
      <w:marTop w:val="0"/>
      <w:marBottom w:val="0"/>
      <w:divBdr>
        <w:top w:val="none" w:sz="0" w:space="0" w:color="auto"/>
        <w:left w:val="none" w:sz="0" w:space="0" w:color="auto"/>
        <w:bottom w:val="none" w:sz="0" w:space="0" w:color="auto"/>
        <w:right w:val="none" w:sz="0" w:space="0" w:color="auto"/>
      </w:divBdr>
    </w:div>
    <w:div w:id="35854436">
      <w:marLeft w:val="0"/>
      <w:marRight w:val="0"/>
      <w:marTop w:val="0"/>
      <w:marBottom w:val="0"/>
      <w:divBdr>
        <w:top w:val="none" w:sz="0" w:space="0" w:color="auto"/>
        <w:left w:val="none" w:sz="0" w:space="0" w:color="auto"/>
        <w:bottom w:val="none" w:sz="0" w:space="0" w:color="auto"/>
        <w:right w:val="none" w:sz="0" w:space="0" w:color="auto"/>
      </w:divBdr>
    </w:div>
    <w:div w:id="35854437">
      <w:marLeft w:val="0"/>
      <w:marRight w:val="0"/>
      <w:marTop w:val="0"/>
      <w:marBottom w:val="0"/>
      <w:divBdr>
        <w:top w:val="none" w:sz="0" w:space="0" w:color="auto"/>
        <w:left w:val="none" w:sz="0" w:space="0" w:color="auto"/>
        <w:bottom w:val="none" w:sz="0" w:space="0" w:color="auto"/>
        <w:right w:val="none" w:sz="0" w:space="0" w:color="auto"/>
      </w:divBdr>
    </w:div>
    <w:div w:id="35854438">
      <w:marLeft w:val="0"/>
      <w:marRight w:val="0"/>
      <w:marTop w:val="0"/>
      <w:marBottom w:val="0"/>
      <w:divBdr>
        <w:top w:val="none" w:sz="0" w:space="0" w:color="auto"/>
        <w:left w:val="none" w:sz="0" w:space="0" w:color="auto"/>
        <w:bottom w:val="none" w:sz="0" w:space="0" w:color="auto"/>
        <w:right w:val="none" w:sz="0" w:space="0" w:color="auto"/>
      </w:divBdr>
    </w:div>
    <w:div w:id="35854439">
      <w:marLeft w:val="0"/>
      <w:marRight w:val="0"/>
      <w:marTop w:val="0"/>
      <w:marBottom w:val="0"/>
      <w:divBdr>
        <w:top w:val="none" w:sz="0" w:space="0" w:color="auto"/>
        <w:left w:val="none" w:sz="0" w:space="0" w:color="auto"/>
        <w:bottom w:val="none" w:sz="0" w:space="0" w:color="auto"/>
        <w:right w:val="none" w:sz="0" w:space="0" w:color="auto"/>
      </w:divBdr>
    </w:div>
    <w:div w:id="35854440">
      <w:marLeft w:val="0"/>
      <w:marRight w:val="0"/>
      <w:marTop w:val="0"/>
      <w:marBottom w:val="0"/>
      <w:divBdr>
        <w:top w:val="none" w:sz="0" w:space="0" w:color="auto"/>
        <w:left w:val="none" w:sz="0" w:space="0" w:color="auto"/>
        <w:bottom w:val="none" w:sz="0" w:space="0" w:color="auto"/>
        <w:right w:val="none" w:sz="0" w:space="0" w:color="auto"/>
      </w:divBdr>
    </w:div>
    <w:div w:id="35854441">
      <w:marLeft w:val="0"/>
      <w:marRight w:val="0"/>
      <w:marTop w:val="0"/>
      <w:marBottom w:val="0"/>
      <w:divBdr>
        <w:top w:val="none" w:sz="0" w:space="0" w:color="auto"/>
        <w:left w:val="none" w:sz="0" w:space="0" w:color="auto"/>
        <w:bottom w:val="none" w:sz="0" w:space="0" w:color="auto"/>
        <w:right w:val="none" w:sz="0" w:space="0" w:color="auto"/>
      </w:divBdr>
    </w:div>
    <w:div w:id="35854442">
      <w:marLeft w:val="0"/>
      <w:marRight w:val="0"/>
      <w:marTop w:val="0"/>
      <w:marBottom w:val="0"/>
      <w:divBdr>
        <w:top w:val="none" w:sz="0" w:space="0" w:color="auto"/>
        <w:left w:val="none" w:sz="0" w:space="0" w:color="auto"/>
        <w:bottom w:val="none" w:sz="0" w:space="0" w:color="auto"/>
        <w:right w:val="none" w:sz="0" w:space="0" w:color="auto"/>
      </w:divBdr>
    </w:div>
    <w:div w:id="176314823">
      <w:bodyDiv w:val="1"/>
      <w:marLeft w:val="0"/>
      <w:marRight w:val="0"/>
      <w:marTop w:val="0"/>
      <w:marBottom w:val="0"/>
      <w:divBdr>
        <w:top w:val="none" w:sz="0" w:space="0" w:color="auto"/>
        <w:left w:val="none" w:sz="0" w:space="0" w:color="auto"/>
        <w:bottom w:val="none" w:sz="0" w:space="0" w:color="auto"/>
        <w:right w:val="none" w:sz="0" w:space="0" w:color="auto"/>
      </w:divBdr>
    </w:div>
    <w:div w:id="198663624">
      <w:bodyDiv w:val="1"/>
      <w:marLeft w:val="0"/>
      <w:marRight w:val="0"/>
      <w:marTop w:val="0"/>
      <w:marBottom w:val="0"/>
      <w:divBdr>
        <w:top w:val="none" w:sz="0" w:space="0" w:color="auto"/>
        <w:left w:val="none" w:sz="0" w:space="0" w:color="auto"/>
        <w:bottom w:val="none" w:sz="0" w:space="0" w:color="auto"/>
        <w:right w:val="none" w:sz="0" w:space="0" w:color="auto"/>
      </w:divBdr>
    </w:div>
    <w:div w:id="201939384">
      <w:bodyDiv w:val="1"/>
      <w:marLeft w:val="0"/>
      <w:marRight w:val="0"/>
      <w:marTop w:val="0"/>
      <w:marBottom w:val="0"/>
      <w:divBdr>
        <w:top w:val="none" w:sz="0" w:space="0" w:color="auto"/>
        <w:left w:val="none" w:sz="0" w:space="0" w:color="auto"/>
        <w:bottom w:val="none" w:sz="0" w:space="0" w:color="auto"/>
        <w:right w:val="none" w:sz="0" w:space="0" w:color="auto"/>
      </w:divBdr>
    </w:div>
    <w:div w:id="222372772">
      <w:bodyDiv w:val="1"/>
      <w:marLeft w:val="0"/>
      <w:marRight w:val="0"/>
      <w:marTop w:val="0"/>
      <w:marBottom w:val="0"/>
      <w:divBdr>
        <w:top w:val="none" w:sz="0" w:space="0" w:color="auto"/>
        <w:left w:val="none" w:sz="0" w:space="0" w:color="auto"/>
        <w:bottom w:val="none" w:sz="0" w:space="0" w:color="auto"/>
        <w:right w:val="none" w:sz="0" w:space="0" w:color="auto"/>
      </w:divBdr>
    </w:div>
    <w:div w:id="295064897">
      <w:bodyDiv w:val="1"/>
      <w:marLeft w:val="0"/>
      <w:marRight w:val="0"/>
      <w:marTop w:val="0"/>
      <w:marBottom w:val="0"/>
      <w:divBdr>
        <w:top w:val="none" w:sz="0" w:space="0" w:color="auto"/>
        <w:left w:val="none" w:sz="0" w:space="0" w:color="auto"/>
        <w:bottom w:val="none" w:sz="0" w:space="0" w:color="auto"/>
        <w:right w:val="none" w:sz="0" w:space="0" w:color="auto"/>
      </w:divBdr>
    </w:div>
    <w:div w:id="312638548">
      <w:bodyDiv w:val="1"/>
      <w:marLeft w:val="0"/>
      <w:marRight w:val="0"/>
      <w:marTop w:val="0"/>
      <w:marBottom w:val="0"/>
      <w:divBdr>
        <w:top w:val="none" w:sz="0" w:space="0" w:color="auto"/>
        <w:left w:val="none" w:sz="0" w:space="0" w:color="auto"/>
        <w:bottom w:val="none" w:sz="0" w:space="0" w:color="auto"/>
        <w:right w:val="none" w:sz="0" w:space="0" w:color="auto"/>
      </w:divBdr>
    </w:div>
    <w:div w:id="346903985">
      <w:bodyDiv w:val="1"/>
      <w:marLeft w:val="0"/>
      <w:marRight w:val="0"/>
      <w:marTop w:val="0"/>
      <w:marBottom w:val="0"/>
      <w:divBdr>
        <w:top w:val="none" w:sz="0" w:space="0" w:color="auto"/>
        <w:left w:val="none" w:sz="0" w:space="0" w:color="auto"/>
        <w:bottom w:val="none" w:sz="0" w:space="0" w:color="auto"/>
        <w:right w:val="none" w:sz="0" w:space="0" w:color="auto"/>
      </w:divBdr>
    </w:div>
    <w:div w:id="363675535">
      <w:bodyDiv w:val="1"/>
      <w:marLeft w:val="0"/>
      <w:marRight w:val="0"/>
      <w:marTop w:val="0"/>
      <w:marBottom w:val="0"/>
      <w:divBdr>
        <w:top w:val="none" w:sz="0" w:space="0" w:color="auto"/>
        <w:left w:val="none" w:sz="0" w:space="0" w:color="auto"/>
        <w:bottom w:val="none" w:sz="0" w:space="0" w:color="auto"/>
        <w:right w:val="none" w:sz="0" w:space="0" w:color="auto"/>
      </w:divBdr>
    </w:div>
    <w:div w:id="367804833">
      <w:bodyDiv w:val="1"/>
      <w:marLeft w:val="0"/>
      <w:marRight w:val="0"/>
      <w:marTop w:val="0"/>
      <w:marBottom w:val="0"/>
      <w:divBdr>
        <w:top w:val="none" w:sz="0" w:space="0" w:color="auto"/>
        <w:left w:val="none" w:sz="0" w:space="0" w:color="auto"/>
        <w:bottom w:val="none" w:sz="0" w:space="0" w:color="auto"/>
        <w:right w:val="none" w:sz="0" w:space="0" w:color="auto"/>
      </w:divBdr>
    </w:div>
    <w:div w:id="386075664">
      <w:bodyDiv w:val="1"/>
      <w:marLeft w:val="0"/>
      <w:marRight w:val="0"/>
      <w:marTop w:val="0"/>
      <w:marBottom w:val="0"/>
      <w:divBdr>
        <w:top w:val="none" w:sz="0" w:space="0" w:color="auto"/>
        <w:left w:val="none" w:sz="0" w:space="0" w:color="auto"/>
        <w:bottom w:val="none" w:sz="0" w:space="0" w:color="auto"/>
        <w:right w:val="none" w:sz="0" w:space="0" w:color="auto"/>
      </w:divBdr>
    </w:div>
    <w:div w:id="473834294">
      <w:bodyDiv w:val="1"/>
      <w:marLeft w:val="0"/>
      <w:marRight w:val="0"/>
      <w:marTop w:val="0"/>
      <w:marBottom w:val="0"/>
      <w:divBdr>
        <w:top w:val="none" w:sz="0" w:space="0" w:color="auto"/>
        <w:left w:val="none" w:sz="0" w:space="0" w:color="auto"/>
        <w:bottom w:val="none" w:sz="0" w:space="0" w:color="auto"/>
        <w:right w:val="none" w:sz="0" w:space="0" w:color="auto"/>
      </w:divBdr>
    </w:div>
    <w:div w:id="647781967">
      <w:bodyDiv w:val="1"/>
      <w:marLeft w:val="0"/>
      <w:marRight w:val="0"/>
      <w:marTop w:val="0"/>
      <w:marBottom w:val="0"/>
      <w:divBdr>
        <w:top w:val="none" w:sz="0" w:space="0" w:color="auto"/>
        <w:left w:val="none" w:sz="0" w:space="0" w:color="auto"/>
        <w:bottom w:val="none" w:sz="0" w:space="0" w:color="auto"/>
        <w:right w:val="none" w:sz="0" w:space="0" w:color="auto"/>
      </w:divBdr>
    </w:div>
    <w:div w:id="693769105">
      <w:bodyDiv w:val="1"/>
      <w:marLeft w:val="0"/>
      <w:marRight w:val="0"/>
      <w:marTop w:val="0"/>
      <w:marBottom w:val="0"/>
      <w:divBdr>
        <w:top w:val="none" w:sz="0" w:space="0" w:color="auto"/>
        <w:left w:val="none" w:sz="0" w:space="0" w:color="auto"/>
        <w:bottom w:val="none" w:sz="0" w:space="0" w:color="auto"/>
        <w:right w:val="none" w:sz="0" w:space="0" w:color="auto"/>
      </w:divBdr>
    </w:div>
    <w:div w:id="739251344">
      <w:bodyDiv w:val="1"/>
      <w:marLeft w:val="0"/>
      <w:marRight w:val="0"/>
      <w:marTop w:val="0"/>
      <w:marBottom w:val="0"/>
      <w:divBdr>
        <w:top w:val="none" w:sz="0" w:space="0" w:color="auto"/>
        <w:left w:val="none" w:sz="0" w:space="0" w:color="auto"/>
        <w:bottom w:val="none" w:sz="0" w:space="0" w:color="auto"/>
        <w:right w:val="none" w:sz="0" w:space="0" w:color="auto"/>
      </w:divBdr>
    </w:div>
    <w:div w:id="879628448">
      <w:bodyDiv w:val="1"/>
      <w:marLeft w:val="0"/>
      <w:marRight w:val="0"/>
      <w:marTop w:val="0"/>
      <w:marBottom w:val="0"/>
      <w:divBdr>
        <w:top w:val="none" w:sz="0" w:space="0" w:color="auto"/>
        <w:left w:val="none" w:sz="0" w:space="0" w:color="auto"/>
        <w:bottom w:val="none" w:sz="0" w:space="0" w:color="auto"/>
        <w:right w:val="none" w:sz="0" w:space="0" w:color="auto"/>
      </w:divBdr>
    </w:div>
    <w:div w:id="931860821">
      <w:bodyDiv w:val="1"/>
      <w:marLeft w:val="0"/>
      <w:marRight w:val="0"/>
      <w:marTop w:val="0"/>
      <w:marBottom w:val="0"/>
      <w:divBdr>
        <w:top w:val="none" w:sz="0" w:space="0" w:color="auto"/>
        <w:left w:val="none" w:sz="0" w:space="0" w:color="auto"/>
        <w:bottom w:val="none" w:sz="0" w:space="0" w:color="auto"/>
        <w:right w:val="none" w:sz="0" w:space="0" w:color="auto"/>
      </w:divBdr>
    </w:div>
    <w:div w:id="958103393">
      <w:bodyDiv w:val="1"/>
      <w:marLeft w:val="0"/>
      <w:marRight w:val="0"/>
      <w:marTop w:val="0"/>
      <w:marBottom w:val="0"/>
      <w:divBdr>
        <w:top w:val="none" w:sz="0" w:space="0" w:color="auto"/>
        <w:left w:val="none" w:sz="0" w:space="0" w:color="auto"/>
        <w:bottom w:val="none" w:sz="0" w:space="0" w:color="auto"/>
        <w:right w:val="none" w:sz="0" w:space="0" w:color="auto"/>
      </w:divBdr>
    </w:div>
    <w:div w:id="959797497">
      <w:bodyDiv w:val="1"/>
      <w:marLeft w:val="0"/>
      <w:marRight w:val="0"/>
      <w:marTop w:val="0"/>
      <w:marBottom w:val="0"/>
      <w:divBdr>
        <w:top w:val="none" w:sz="0" w:space="0" w:color="auto"/>
        <w:left w:val="none" w:sz="0" w:space="0" w:color="auto"/>
        <w:bottom w:val="none" w:sz="0" w:space="0" w:color="auto"/>
        <w:right w:val="none" w:sz="0" w:space="0" w:color="auto"/>
      </w:divBdr>
    </w:div>
    <w:div w:id="1165704282">
      <w:bodyDiv w:val="1"/>
      <w:marLeft w:val="0"/>
      <w:marRight w:val="0"/>
      <w:marTop w:val="0"/>
      <w:marBottom w:val="0"/>
      <w:divBdr>
        <w:top w:val="none" w:sz="0" w:space="0" w:color="auto"/>
        <w:left w:val="none" w:sz="0" w:space="0" w:color="auto"/>
        <w:bottom w:val="none" w:sz="0" w:space="0" w:color="auto"/>
        <w:right w:val="none" w:sz="0" w:space="0" w:color="auto"/>
      </w:divBdr>
    </w:div>
    <w:div w:id="1170024422">
      <w:bodyDiv w:val="1"/>
      <w:marLeft w:val="0"/>
      <w:marRight w:val="0"/>
      <w:marTop w:val="0"/>
      <w:marBottom w:val="0"/>
      <w:divBdr>
        <w:top w:val="none" w:sz="0" w:space="0" w:color="auto"/>
        <w:left w:val="none" w:sz="0" w:space="0" w:color="auto"/>
        <w:bottom w:val="none" w:sz="0" w:space="0" w:color="auto"/>
        <w:right w:val="none" w:sz="0" w:space="0" w:color="auto"/>
      </w:divBdr>
    </w:div>
    <w:div w:id="1307662868">
      <w:bodyDiv w:val="1"/>
      <w:marLeft w:val="0"/>
      <w:marRight w:val="0"/>
      <w:marTop w:val="0"/>
      <w:marBottom w:val="0"/>
      <w:divBdr>
        <w:top w:val="none" w:sz="0" w:space="0" w:color="auto"/>
        <w:left w:val="none" w:sz="0" w:space="0" w:color="auto"/>
        <w:bottom w:val="none" w:sz="0" w:space="0" w:color="auto"/>
        <w:right w:val="none" w:sz="0" w:space="0" w:color="auto"/>
      </w:divBdr>
    </w:div>
    <w:div w:id="1325284283">
      <w:bodyDiv w:val="1"/>
      <w:marLeft w:val="0"/>
      <w:marRight w:val="0"/>
      <w:marTop w:val="0"/>
      <w:marBottom w:val="0"/>
      <w:divBdr>
        <w:top w:val="none" w:sz="0" w:space="0" w:color="auto"/>
        <w:left w:val="none" w:sz="0" w:space="0" w:color="auto"/>
        <w:bottom w:val="none" w:sz="0" w:space="0" w:color="auto"/>
        <w:right w:val="none" w:sz="0" w:space="0" w:color="auto"/>
      </w:divBdr>
    </w:div>
    <w:div w:id="1325745698">
      <w:bodyDiv w:val="1"/>
      <w:marLeft w:val="0"/>
      <w:marRight w:val="0"/>
      <w:marTop w:val="0"/>
      <w:marBottom w:val="0"/>
      <w:divBdr>
        <w:top w:val="none" w:sz="0" w:space="0" w:color="auto"/>
        <w:left w:val="none" w:sz="0" w:space="0" w:color="auto"/>
        <w:bottom w:val="none" w:sz="0" w:space="0" w:color="auto"/>
        <w:right w:val="none" w:sz="0" w:space="0" w:color="auto"/>
      </w:divBdr>
    </w:div>
    <w:div w:id="1326666006">
      <w:bodyDiv w:val="1"/>
      <w:marLeft w:val="0"/>
      <w:marRight w:val="0"/>
      <w:marTop w:val="0"/>
      <w:marBottom w:val="0"/>
      <w:divBdr>
        <w:top w:val="none" w:sz="0" w:space="0" w:color="auto"/>
        <w:left w:val="none" w:sz="0" w:space="0" w:color="auto"/>
        <w:bottom w:val="none" w:sz="0" w:space="0" w:color="auto"/>
        <w:right w:val="none" w:sz="0" w:space="0" w:color="auto"/>
      </w:divBdr>
    </w:div>
    <w:div w:id="1382289346">
      <w:bodyDiv w:val="1"/>
      <w:marLeft w:val="0"/>
      <w:marRight w:val="0"/>
      <w:marTop w:val="0"/>
      <w:marBottom w:val="0"/>
      <w:divBdr>
        <w:top w:val="none" w:sz="0" w:space="0" w:color="auto"/>
        <w:left w:val="none" w:sz="0" w:space="0" w:color="auto"/>
        <w:bottom w:val="none" w:sz="0" w:space="0" w:color="auto"/>
        <w:right w:val="none" w:sz="0" w:space="0" w:color="auto"/>
      </w:divBdr>
    </w:div>
    <w:div w:id="1400513556">
      <w:bodyDiv w:val="1"/>
      <w:marLeft w:val="0"/>
      <w:marRight w:val="0"/>
      <w:marTop w:val="0"/>
      <w:marBottom w:val="0"/>
      <w:divBdr>
        <w:top w:val="none" w:sz="0" w:space="0" w:color="auto"/>
        <w:left w:val="none" w:sz="0" w:space="0" w:color="auto"/>
        <w:bottom w:val="none" w:sz="0" w:space="0" w:color="auto"/>
        <w:right w:val="none" w:sz="0" w:space="0" w:color="auto"/>
      </w:divBdr>
    </w:div>
    <w:div w:id="1414930102">
      <w:bodyDiv w:val="1"/>
      <w:marLeft w:val="0"/>
      <w:marRight w:val="0"/>
      <w:marTop w:val="0"/>
      <w:marBottom w:val="0"/>
      <w:divBdr>
        <w:top w:val="none" w:sz="0" w:space="0" w:color="auto"/>
        <w:left w:val="none" w:sz="0" w:space="0" w:color="auto"/>
        <w:bottom w:val="none" w:sz="0" w:space="0" w:color="auto"/>
        <w:right w:val="none" w:sz="0" w:space="0" w:color="auto"/>
      </w:divBdr>
    </w:div>
    <w:div w:id="1444960423">
      <w:bodyDiv w:val="1"/>
      <w:marLeft w:val="0"/>
      <w:marRight w:val="0"/>
      <w:marTop w:val="0"/>
      <w:marBottom w:val="0"/>
      <w:divBdr>
        <w:top w:val="none" w:sz="0" w:space="0" w:color="auto"/>
        <w:left w:val="none" w:sz="0" w:space="0" w:color="auto"/>
        <w:bottom w:val="none" w:sz="0" w:space="0" w:color="auto"/>
        <w:right w:val="none" w:sz="0" w:space="0" w:color="auto"/>
      </w:divBdr>
    </w:div>
    <w:div w:id="1476874952">
      <w:bodyDiv w:val="1"/>
      <w:marLeft w:val="0"/>
      <w:marRight w:val="0"/>
      <w:marTop w:val="0"/>
      <w:marBottom w:val="0"/>
      <w:divBdr>
        <w:top w:val="none" w:sz="0" w:space="0" w:color="auto"/>
        <w:left w:val="none" w:sz="0" w:space="0" w:color="auto"/>
        <w:bottom w:val="none" w:sz="0" w:space="0" w:color="auto"/>
        <w:right w:val="none" w:sz="0" w:space="0" w:color="auto"/>
      </w:divBdr>
    </w:div>
    <w:div w:id="1514684629">
      <w:bodyDiv w:val="1"/>
      <w:marLeft w:val="0"/>
      <w:marRight w:val="0"/>
      <w:marTop w:val="0"/>
      <w:marBottom w:val="0"/>
      <w:divBdr>
        <w:top w:val="none" w:sz="0" w:space="0" w:color="auto"/>
        <w:left w:val="none" w:sz="0" w:space="0" w:color="auto"/>
        <w:bottom w:val="none" w:sz="0" w:space="0" w:color="auto"/>
        <w:right w:val="none" w:sz="0" w:space="0" w:color="auto"/>
      </w:divBdr>
    </w:div>
    <w:div w:id="1521049618">
      <w:bodyDiv w:val="1"/>
      <w:marLeft w:val="0"/>
      <w:marRight w:val="0"/>
      <w:marTop w:val="0"/>
      <w:marBottom w:val="0"/>
      <w:divBdr>
        <w:top w:val="none" w:sz="0" w:space="0" w:color="auto"/>
        <w:left w:val="none" w:sz="0" w:space="0" w:color="auto"/>
        <w:bottom w:val="none" w:sz="0" w:space="0" w:color="auto"/>
        <w:right w:val="none" w:sz="0" w:space="0" w:color="auto"/>
      </w:divBdr>
    </w:div>
    <w:div w:id="1537698538">
      <w:bodyDiv w:val="1"/>
      <w:marLeft w:val="0"/>
      <w:marRight w:val="0"/>
      <w:marTop w:val="0"/>
      <w:marBottom w:val="0"/>
      <w:divBdr>
        <w:top w:val="none" w:sz="0" w:space="0" w:color="auto"/>
        <w:left w:val="none" w:sz="0" w:space="0" w:color="auto"/>
        <w:bottom w:val="none" w:sz="0" w:space="0" w:color="auto"/>
        <w:right w:val="none" w:sz="0" w:space="0" w:color="auto"/>
      </w:divBdr>
    </w:div>
    <w:div w:id="1572890145">
      <w:bodyDiv w:val="1"/>
      <w:marLeft w:val="0"/>
      <w:marRight w:val="0"/>
      <w:marTop w:val="0"/>
      <w:marBottom w:val="0"/>
      <w:divBdr>
        <w:top w:val="none" w:sz="0" w:space="0" w:color="auto"/>
        <w:left w:val="none" w:sz="0" w:space="0" w:color="auto"/>
        <w:bottom w:val="none" w:sz="0" w:space="0" w:color="auto"/>
        <w:right w:val="none" w:sz="0" w:space="0" w:color="auto"/>
      </w:divBdr>
    </w:div>
    <w:div w:id="1600524192">
      <w:bodyDiv w:val="1"/>
      <w:marLeft w:val="0"/>
      <w:marRight w:val="0"/>
      <w:marTop w:val="0"/>
      <w:marBottom w:val="0"/>
      <w:divBdr>
        <w:top w:val="none" w:sz="0" w:space="0" w:color="auto"/>
        <w:left w:val="none" w:sz="0" w:space="0" w:color="auto"/>
        <w:bottom w:val="none" w:sz="0" w:space="0" w:color="auto"/>
        <w:right w:val="none" w:sz="0" w:space="0" w:color="auto"/>
      </w:divBdr>
    </w:div>
    <w:div w:id="1644458090">
      <w:bodyDiv w:val="1"/>
      <w:marLeft w:val="0"/>
      <w:marRight w:val="0"/>
      <w:marTop w:val="0"/>
      <w:marBottom w:val="0"/>
      <w:divBdr>
        <w:top w:val="none" w:sz="0" w:space="0" w:color="auto"/>
        <w:left w:val="none" w:sz="0" w:space="0" w:color="auto"/>
        <w:bottom w:val="none" w:sz="0" w:space="0" w:color="auto"/>
        <w:right w:val="none" w:sz="0" w:space="0" w:color="auto"/>
      </w:divBdr>
    </w:div>
    <w:div w:id="1665475169">
      <w:bodyDiv w:val="1"/>
      <w:marLeft w:val="0"/>
      <w:marRight w:val="0"/>
      <w:marTop w:val="0"/>
      <w:marBottom w:val="0"/>
      <w:divBdr>
        <w:top w:val="none" w:sz="0" w:space="0" w:color="auto"/>
        <w:left w:val="none" w:sz="0" w:space="0" w:color="auto"/>
        <w:bottom w:val="none" w:sz="0" w:space="0" w:color="auto"/>
        <w:right w:val="none" w:sz="0" w:space="0" w:color="auto"/>
      </w:divBdr>
    </w:div>
    <w:div w:id="1745057427">
      <w:bodyDiv w:val="1"/>
      <w:marLeft w:val="0"/>
      <w:marRight w:val="0"/>
      <w:marTop w:val="0"/>
      <w:marBottom w:val="0"/>
      <w:divBdr>
        <w:top w:val="none" w:sz="0" w:space="0" w:color="auto"/>
        <w:left w:val="none" w:sz="0" w:space="0" w:color="auto"/>
        <w:bottom w:val="none" w:sz="0" w:space="0" w:color="auto"/>
        <w:right w:val="none" w:sz="0" w:space="0" w:color="auto"/>
      </w:divBdr>
    </w:div>
    <w:div w:id="1761558971">
      <w:bodyDiv w:val="1"/>
      <w:marLeft w:val="0"/>
      <w:marRight w:val="0"/>
      <w:marTop w:val="0"/>
      <w:marBottom w:val="0"/>
      <w:divBdr>
        <w:top w:val="none" w:sz="0" w:space="0" w:color="auto"/>
        <w:left w:val="none" w:sz="0" w:space="0" w:color="auto"/>
        <w:bottom w:val="none" w:sz="0" w:space="0" w:color="auto"/>
        <w:right w:val="none" w:sz="0" w:space="0" w:color="auto"/>
      </w:divBdr>
    </w:div>
    <w:div w:id="1793594346">
      <w:bodyDiv w:val="1"/>
      <w:marLeft w:val="0"/>
      <w:marRight w:val="0"/>
      <w:marTop w:val="0"/>
      <w:marBottom w:val="0"/>
      <w:divBdr>
        <w:top w:val="none" w:sz="0" w:space="0" w:color="auto"/>
        <w:left w:val="none" w:sz="0" w:space="0" w:color="auto"/>
        <w:bottom w:val="none" w:sz="0" w:space="0" w:color="auto"/>
        <w:right w:val="none" w:sz="0" w:space="0" w:color="auto"/>
      </w:divBdr>
    </w:div>
    <w:div w:id="1844398250">
      <w:bodyDiv w:val="1"/>
      <w:marLeft w:val="0"/>
      <w:marRight w:val="0"/>
      <w:marTop w:val="0"/>
      <w:marBottom w:val="0"/>
      <w:divBdr>
        <w:top w:val="none" w:sz="0" w:space="0" w:color="auto"/>
        <w:left w:val="none" w:sz="0" w:space="0" w:color="auto"/>
        <w:bottom w:val="none" w:sz="0" w:space="0" w:color="auto"/>
        <w:right w:val="none" w:sz="0" w:space="0" w:color="auto"/>
      </w:divBdr>
    </w:div>
    <w:div w:id="1858150497">
      <w:bodyDiv w:val="1"/>
      <w:marLeft w:val="0"/>
      <w:marRight w:val="0"/>
      <w:marTop w:val="0"/>
      <w:marBottom w:val="0"/>
      <w:divBdr>
        <w:top w:val="none" w:sz="0" w:space="0" w:color="auto"/>
        <w:left w:val="none" w:sz="0" w:space="0" w:color="auto"/>
        <w:bottom w:val="none" w:sz="0" w:space="0" w:color="auto"/>
        <w:right w:val="none" w:sz="0" w:space="0" w:color="auto"/>
      </w:divBdr>
    </w:div>
    <w:div w:id="1885174518">
      <w:bodyDiv w:val="1"/>
      <w:marLeft w:val="0"/>
      <w:marRight w:val="0"/>
      <w:marTop w:val="0"/>
      <w:marBottom w:val="0"/>
      <w:divBdr>
        <w:top w:val="none" w:sz="0" w:space="0" w:color="auto"/>
        <w:left w:val="none" w:sz="0" w:space="0" w:color="auto"/>
        <w:bottom w:val="none" w:sz="0" w:space="0" w:color="auto"/>
        <w:right w:val="none" w:sz="0" w:space="0" w:color="auto"/>
      </w:divBdr>
    </w:div>
    <w:div w:id="2015574090">
      <w:bodyDiv w:val="1"/>
      <w:marLeft w:val="0"/>
      <w:marRight w:val="0"/>
      <w:marTop w:val="0"/>
      <w:marBottom w:val="0"/>
      <w:divBdr>
        <w:top w:val="none" w:sz="0" w:space="0" w:color="auto"/>
        <w:left w:val="none" w:sz="0" w:space="0" w:color="auto"/>
        <w:bottom w:val="none" w:sz="0" w:space="0" w:color="auto"/>
        <w:right w:val="none" w:sz="0" w:space="0" w:color="auto"/>
      </w:divBdr>
    </w:div>
    <w:div w:id="2020960375">
      <w:bodyDiv w:val="1"/>
      <w:marLeft w:val="0"/>
      <w:marRight w:val="0"/>
      <w:marTop w:val="0"/>
      <w:marBottom w:val="0"/>
      <w:divBdr>
        <w:top w:val="none" w:sz="0" w:space="0" w:color="auto"/>
        <w:left w:val="none" w:sz="0" w:space="0" w:color="auto"/>
        <w:bottom w:val="none" w:sz="0" w:space="0" w:color="auto"/>
        <w:right w:val="none" w:sz="0" w:space="0" w:color="auto"/>
      </w:divBdr>
    </w:div>
    <w:div w:id="2097286430">
      <w:bodyDiv w:val="1"/>
      <w:marLeft w:val="0"/>
      <w:marRight w:val="0"/>
      <w:marTop w:val="0"/>
      <w:marBottom w:val="0"/>
      <w:divBdr>
        <w:top w:val="none" w:sz="0" w:space="0" w:color="auto"/>
        <w:left w:val="none" w:sz="0" w:space="0" w:color="auto"/>
        <w:bottom w:val="none" w:sz="0" w:space="0" w:color="auto"/>
        <w:right w:val="none" w:sz="0" w:space="0" w:color="auto"/>
      </w:divBdr>
    </w:div>
    <w:div w:id="2109504261">
      <w:bodyDiv w:val="1"/>
      <w:marLeft w:val="0"/>
      <w:marRight w:val="0"/>
      <w:marTop w:val="0"/>
      <w:marBottom w:val="0"/>
      <w:divBdr>
        <w:top w:val="none" w:sz="0" w:space="0" w:color="auto"/>
        <w:left w:val="none" w:sz="0" w:space="0" w:color="auto"/>
        <w:bottom w:val="none" w:sz="0" w:space="0" w:color="auto"/>
        <w:right w:val="none" w:sz="0" w:space="0" w:color="auto"/>
      </w:divBdr>
    </w:div>
    <w:div w:id="214342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5.xml"/></Relationships>
</file>

<file path=word/_rels/footnotes.xml.rels><?xml version="1.0" encoding="UTF-8" standalone="yes"?>
<Relationships xmlns="http://schemas.openxmlformats.org/package/2006/relationships"><Relationship Id="rId26" Type="http://schemas.openxmlformats.org/officeDocument/2006/relationships/hyperlink" Target="https://www.ombudsman.rs/index.php/2011-12-11-11-34-45/7860-n-pl-c-ni-ucni-r-d-sn-v-z-s-v-riv-nj-pr-v-n-zdr-vs-v-n-sigur-nj" TargetMode="External"/><Relationship Id="rId21" Type="http://schemas.openxmlformats.org/officeDocument/2006/relationships/hyperlink" Target="https://n1info.rs/vesti/pasalic-starije-zene-na-selu-ugrozene-i-nedovoljno-vidljive/" TargetMode="External"/><Relationship Id="rId42" Type="http://schemas.openxmlformats.org/officeDocument/2006/relationships/hyperlink" Target="https://www.ombudsman.rs/index.php/2012-02-07-14-03-33/7928-p-r-b-n-individu-lni-pl-n-p-drsh-z-sv-u-zr-vu-p-r-dicn-g-n-silj" TargetMode="External"/><Relationship Id="rId47" Type="http://schemas.openxmlformats.org/officeDocument/2006/relationships/hyperlink" Target="https://lls.ombudsman.org.rs/index.php?option=com_content&amp;view=article&amp;id=500:z-sh-i-ni-gr-d-n-u-vrdi-n-pr-viln-s-i-u-r-du-pz-sr-s-i-r-vic&amp;catid=88:2011-10-24-12-47-37&amp;Itemid=76" TargetMode="External"/><Relationship Id="rId63" Type="http://schemas.openxmlformats.org/officeDocument/2006/relationships/hyperlink" Target="https://www.ombudsman.rs/index.php/2012-02-07-14-03-33/7709-nsz-inf-r-ci-u-p-r-bi-z-z-p-shlj-v-nj-d-ucini-d-s-upn-lici-r-z-z-p-sl-nj" TargetMode="External"/><Relationship Id="rId68" Type="http://schemas.openxmlformats.org/officeDocument/2006/relationships/hyperlink" Target="https://www.ombudsman.rs/index.php/2011-12-25-10-17-15/2011-12-26-10-05-05/7745-n-r-l-z-sh-i-ni-gr-d-n-p-v-d-n-p-d-l-l-ni-n-p-r-dicu-d-n-v-crnj" TargetMode="External"/><Relationship Id="rId84" Type="http://schemas.openxmlformats.org/officeDocument/2006/relationships/hyperlink" Target="http://www.ombudsman.rs/attachments/2181_Beogradski%20principi.pdf" TargetMode="External"/><Relationship Id="rId89" Type="http://schemas.openxmlformats.org/officeDocument/2006/relationships/hyperlink" Target="https://assembly.coe.int/nw/xml/XRef/Xref-XML2HTML-en.asp?fileid=17133&amp;lang=en" TargetMode="External"/><Relationship Id="rId16" Type="http://schemas.openxmlformats.org/officeDocument/2006/relationships/hyperlink" Target="https://www.ombudsman.rs/index.php/2011-12-11-11-34-45/7877-ishlj-nj-z-sh-i-ni-gr-d-n-z-un-pr-d-nj-p-l-z-s-ri-ih-s-b-u-r-publici-srbi-i" TargetMode="External"/><Relationship Id="rId11" Type="http://schemas.openxmlformats.org/officeDocument/2006/relationships/hyperlink" Target="https://www.srbija.gov.rs/dokument/45678/strategije-programi-planovi-.php" TargetMode="External"/><Relationship Id="rId32" Type="http://schemas.openxmlformats.org/officeDocument/2006/relationships/hyperlink" Target="https://www.ombudsman.rs/index.php/2012-02-07-14-03-33/7790-n-dl-zni-rg-ni-d-pr-dl-z-iz-n-i-d-pun-z-n-spr-c-v-nju-n-silj-u-p-r-dici-i-b-zb-d-pri-nu-z-n-i-n-l-l-n-ucini-c-n-silj-u-p-r-dici" TargetMode="External"/><Relationship Id="rId37" Type="http://schemas.openxmlformats.org/officeDocument/2006/relationships/hyperlink" Target="https://www.ombudsman.rs/index.php/2011-12-11-11-34-45/7506-un-pr-di-i-h-niz-spr-c-v-nj-i-z-sh-i-d-s-su-ln-g-uzn-ir-v-nj-n-f-ul-i" TargetMode="External"/><Relationship Id="rId53" Type="http://schemas.openxmlformats.org/officeDocument/2006/relationships/hyperlink" Target="https://www.ombudsman.rs/index.php/2012-02-07-14-03-33/7853-izv-sh-sluc-u-vi-n-s-ih-r-dni-ng-z-v-nih-n-izgr-dnji-f-bri-gu-u-zr-nj-ninu-s-pr-p-ru" TargetMode="External"/><Relationship Id="rId58" Type="http://schemas.openxmlformats.org/officeDocument/2006/relationships/hyperlink" Target="https://ombudsman.rs/index.php/2011-12-11-11-34-45/6793-pr-cizni-ur-di-i-usl-v-z-pr-nj-ug-s-i-ljs-ih-b" TargetMode="External"/><Relationship Id="rId74" Type="http://schemas.openxmlformats.org/officeDocument/2006/relationships/hyperlink" Target="https://www.ombudsman.rs/index.php/2012-02-07-14-03-33/7831-l-ln-s-upr-v-b-v-zn-d-drz-v-zgr-d-d-n-z-l-vl-snici-gu-n-s-i-sh-n-p-sl-dic-p-ziv-ili-zdr-vlj" TargetMode="External"/><Relationship Id="rId79" Type="http://schemas.openxmlformats.org/officeDocument/2006/relationships/hyperlink" Target="https://ombudsman.rs/index.php/2011-12-25-10-17-15/2011-12-26-10-05-05/7733-r-g-di-r-nj-up-z-r-nj-n-sh-drush-vu" TargetMode="External"/><Relationship Id="rId5" Type="http://schemas.openxmlformats.org/officeDocument/2006/relationships/hyperlink" Target="https://www.ombudsman.rs/index.php/2011-12-25-10-17-15/2011-12-26-10-05-05/7808-p-sh-lic-p-r-bni-n-vi-pr-li-z-z-sh-i-u-z-n-d-p-r-dicn-g-n-silj" TargetMode="External"/><Relationship Id="rId90" Type="http://schemas.openxmlformats.org/officeDocument/2006/relationships/hyperlink" Target="http://www.venice.coe.int/webforms/documents/CDL(2011)079-e.aspx" TargetMode="External"/><Relationship Id="rId95" Type="http://schemas.openxmlformats.org/officeDocument/2006/relationships/hyperlink" Target="https://ombudsman.rs/attachments/3057_Resolution%20CoE.pdf" TargetMode="External"/><Relationship Id="rId22" Type="http://schemas.openxmlformats.org/officeDocument/2006/relationships/hyperlink" Target="https://ombudsman.rs/index.php/2011-12-25-10-17-15/2011-12-25-10-19-19/7739-432" TargetMode="External"/><Relationship Id="rId27" Type="http://schemas.openxmlformats.org/officeDocument/2006/relationships/hyperlink" Target="https://www.ombudsman.rs/index.php/2011-12-11-11-34-45/7710-z-sh-i-ni-gr-d-n-upu-i-ishlj-nj-n-n-cr-z-n-iz-n-i-d-pun-z-n-fin-nsi-s-p-drshci-p-r-dici-s-d-c" TargetMode="External"/><Relationship Id="rId43" Type="http://schemas.openxmlformats.org/officeDocument/2006/relationships/hyperlink" Target="https://www.ombudsman.rs/index.php/2011-12-25-10-17-15/2011-12-26-10-05-05/7728-pr-pus-i-n-dl-znih-rg-n-u-sluc-u-ubis-v-u-s-r-c-d-u-n-b-z-ni-s-si" TargetMode="External"/><Relationship Id="rId48" Type="http://schemas.openxmlformats.org/officeDocument/2006/relationships/hyperlink" Target="https://lls.ombudsman.org.rs/index.php?option=com_content&amp;view=article&amp;id=499:pr-p-ru-ruzn-z-v-ru-u-b-gr-du-ns-v-n-p-vr-d-lic-lish-nih-sl-b-d-s-r-u-d-v-n-d-u-n-v-i&amp;catid=88&amp;Itemid=76" TargetMode="External"/><Relationship Id="rId64" Type="http://schemas.openxmlformats.org/officeDocument/2006/relationships/hyperlink" Target="https://www.ombudsman.rs/index.php/2012-02-07-14-03-33/7760-r-public-i-g-d-s-i-z-v-d-b-z-dl-g-nj-d-dluci-z-lbi-pri-uzi-c" TargetMode="External"/><Relationship Id="rId69" Type="http://schemas.openxmlformats.org/officeDocument/2006/relationships/hyperlink" Target="https://www.ombudsman.rs/index.php/2012-02-07-14-03-33/7795-n-s-ruc-n-i-n-s-v-s-n-r-d-z-p-sl-nih-u-csr-n-v-crnj-pr-h-di-n-sr-ci-s-d-g-dil-u-r-d-vu" TargetMode="External"/><Relationship Id="rId80" Type="http://schemas.openxmlformats.org/officeDocument/2006/relationships/hyperlink" Target="https://ombudsman.rs/index.php/2011-12-25-10-17-15/2011-12-26-10-05-05/7730-z-sh-i-ni-gr-d-n-u-vrdi-pr-pus-n-dl-znih-rg-n-u-sluc-u-z-n-riv-nj-d-iz-iri-v" TargetMode="External"/><Relationship Id="rId85" Type="http://schemas.openxmlformats.org/officeDocument/2006/relationships/hyperlink" Target="https://documents.un.org/doc/undoc/gen/n94/116/24/pdf/n9411624.pdf?token=MQsjnQabPuJGbcGaB6&amp;fe=true" TargetMode="External"/><Relationship Id="rId3" Type="http://schemas.openxmlformats.org/officeDocument/2006/relationships/hyperlink" Target="https://ombudsman.rs/index.php/2011-12-25-10-17-15/2011-12-26-10-05-05/7673-n-dl-zni-rg-ni-uv-zili-ishlj-nj-z-sh-i-ni-gr-d-n-pri-d-n-sh-nju-n-v-ur-db-subv-nci-i-z-up-vinu-s-n-p-sn-vu-r-d-nj-d" TargetMode="External"/><Relationship Id="rId12" Type="http://schemas.openxmlformats.org/officeDocument/2006/relationships/hyperlink" Target="https://ljudskaprava.gov.rs/sites/default/files/dokument_file/zakljucna_zapazanja_komiteta_za_prava_osoba_sa_invaliditetom_srb.pdf" TargetMode="External"/><Relationship Id="rId17" Type="http://schemas.openxmlformats.org/officeDocument/2006/relationships/hyperlink" Target="https://ombudsman.rs/index.php/2011-12-25-10-17-15/2011-12-26-10-05-05/7806-z-sh-i-ni-gr-d-n-p-s-i-il-v-n-br-ic" TargetMode="External"/><Relationship Id="rId25" Type="http://schemas.openxmlformats.org/officeDocument/2006/relationships/hyperlink" Target="https://www.ombudsman.rs/index.php/izvestaji/posebnii-izvestaji/7910-p-s-b-n-izv-sh-z-sh-i-ni-gr-d-n-n-silju-u-sh-l" TargetMode="External"/><Relationship Id="rId33" Type="http://schemas.openxmlformats.org/officeDocument/2006/relationships/hyperlink" Target="https://www.ombudsman.rs/index.php/2012-02-07-14-03-33/7923-pr-p-ru-z-z-sh-i-u-d-c-u-sluc-vi-p-r-dicn-g-n-silj" TargetMode="External"/><Relationship Id="rId38" Type="http://schemas.openxmlformats.org/officeDocument/2006/relationships/hyperlink" Target="https://www.ombudsman.rs/index.php/izvestaji/posebnii-izvestaji/7910-p-s-b-n-izv-sh-z-sh-i-ni-gr-d-n-n-silju-u-sh-l" TargetMode="External"/><Relationship Id="rId46" Type="http://schemas.openxmlformats.org/officeDocument/2006/relationships/hyperlink" Target="https://www.ombudsman.rs/index.php/2012-02-07-14-03-33/7934-z-sh-i-ni-gr-d-n-p-v-c-i-f-nd-s-n-v-z-s-ci-ln-s-n-v-nj" TargetMode="External"/><Relationship Id="rId59" Type="http://schemas.openxmlformats.org/officeDocument/2006/relationships/hyperlink" Target="https://www.valjevskaposla.info/plan-kvaliteta-vazduha-predat-nadleznom-ministarstvu-na-usvajanje-gasovod-stigao-do-lukavca/" TargetMode="External"/><Relationship Id="rId67" Type="http://schemas.openxmlformats.org/officeDocument/2006/relationships/hyperlink" Target="https://www.ombudsman.rs/index.php/2012-02-07-14-03-33/7792-uzic-sh-l-sub-ic-d-p-s-upi-p-pr-sudi-upr-vn-g-sud" TargetMode="External"/><Relationship Id="rId20" Type="http://schemas.openxmlformats.org/officeDocument/2006/relationships/hyperlink" Target="https://bezbedni-novinari.mpanel.app/storage/files/documents/2023-izvestaj-o-radu-srg.pdf" TargetMode="External"/><Relationship Id="rId41" Type="http://schemas.openxmlformats.org/officeDocument/2006/relationships/hyperlink" Target="https://www.ombudsman.rs/index.php/2011-12-11-11-34-45/7710-z-sh-i-ni-gr-d-n-upu-i-ishlj-nj-n-n-cr-z-n-iz-n-i-d-pun-z-n-fin-nsi-s-p-drshci-p-r-dici-s-d-c" TargetMode="External"/><Relationship Id="rId54" Type="http://schemas.openxmlformats.org/officeDocument/2006/relationships/hyperlink" Target="http://we2.cekos.com/ce/index.xhtml?&amp;file=f94887&amp;action=propis&amp;path=09488701.html&amp;domain=0&amp;mark=false&amp;queries=zakon+o+pravima+pacijenata&amp;searchType=1&amp;regulationType=1&amp;domain=0&amp;myFavorites=false&amp;dateFrom=&amp;dateTo=&amp;groups=-%40--%40--%40--%40--%40-" TargetMode="External"/><Relationship Id="rId62" Type="http://schemas.openxmlformats.org/officeDocument/2006/relationships/hyperlink" Target="https://www.ombudsman.rs/index.php/2012-02-07-14-03-33/7791-upr-v-z-gr-rn-pl-c-nj-d-p-s-upi-p-usv-n-z-h-vu-pri-uzilj" TargetMode="External"/><Relationship Id="rId70" Type="http://schemas.openxmlformats.org/officeDocument/2006/relationships/hyperlink" Target="https://www.ombudsman.rs/index.php/2011-12-25-10-17-15/2011-12-26-10-05-05/7818-z-sh-i-ni-gr-d-n-n-r-lish-r-d-csr-n-vi-b-c-n-n-r-g-di" TargetMode="External"/><Relationship Id="rId75" Type="http://schemas.openxmlformats.org/officeDocument/2006/relationships/hyperlink" Target="https://www.ombudsman.rs/index.php/2012-02-07-14-03-33/7853-izv-sh-sluc-u-vi-n-s-ih-r-dni-ng-z-v-nih-n-izgr-dnji-f-bri-gu-u-zr-nj-ninu-s-pr-p-ru" TargetMode="External"/><Relationship Id="rId83" Type="http://schemas.openxmlformats.org/officeDocument/2006/relationships/hyperlink" Target="https://www.mpravde.gov.rs/files/Revidirani%20AP23%202207.pdf" TargetMode="External"/><Relationship Id="rId88" Type="http://schemas.openxmlformats.org/officeDocument/2006/relationships/hyperlink" Target="https://ombudsman.rs/attachments/3057_Resolution%20CoE.pdf" TargetMode="External"/><Relationship Id="rId91" Type="http://schemas.openxmlformats.org/officeDocument/2006/relationships/hyperlink" Target="https://digitallibrary.un.org/record/1301905/files/A_72_230-EN.pdf" TargetMode="External"/><Relationship Id="rId96" Type="http://schemas.openxmlformats.org/officeDocument/2006/relationships/hyperlink" Target="http://www.venice.coe.int/webforms/documents/CDL(2011)079-e.aspx" TargetMode="External"/><Relationship Id="rId1" Type="http://schemas.openxmlformats.org/officeDocument/2006/relationships/hyperlink" Target="https://www.ombudsman.rs/index.php/2011-12-11-11-34-45/7860-n-pl-c-ni-ucni-r-d-sn-v-z-s-v-riv-nj-pr-v-n-zdr-vs-v-n-sigur-nj" TargetMode="External"/><Relationship Id="rId6" Type="http://schemas.openxmlformats.org/officeDocument/2006/relationships/hyperlink" Target="https://www.ombudsman.rs/index.php/2011-12-25-10-17-15/2011-12-26-10-05-05/7796-p-sh-lic-p-zv-gr-d-n-d-pri-v-sv-u-vrs-u-n-silj" TargetMode="External"/><Relationship Id="rId15" Type="http://schemas.openxmlformats.org/officeDocument/2006/relationships/hyperlink" Target="https://www.srbija.gov.rs/dokument/45678/strategije-programi-planovi-.php" TargetMode="External"/><Relationship Id="rId23" Type="http://schemas.openxmlformats.org/officeDocument/2006/relationships/hyperlink" Target="https://www.ombudsman.rs/index.php/izvestaji/posebnii-izvestaji/5927-in-luzivn-br-z-v-nj-uslug-d-d-n-p-drsh-d-ci-i-uc-nici-u-br-z-v-nju" TargetMode="External"/><Relationship Id="rId28" Type="http://schemas.openxmlformats.org/officeDocument/2006/relationships/hyperlink" Target="https://ombudsman.rs/index.php/2011-12-25-10-17-15/2011-12-26-10-05-05/7673-n-dl-zni-rg-ni-uv-zili-ishlj-nj-z-sh-i-ni-gr-d-n-pri-d-n-sh-nju-n-v-ur-db-subv-nci-i-z-up-vinu-s-n-p-sn-vu-r-d-nj-d" TargetMode="External"/><Relationship Id="rId36" Type="http://schemas.openxmlformats.org/officeDocument/2006/relationships/hyperlink" Target="https://www.ombudsman.rs/attachments/article/7859/Poseban%20izvestaj%20Zastitnika%20gradjana.pdf" TargetMode="External"/><Relationship Id="rId49" Type="http://schemas.openxmlformats.org/officeDocument/2006/relationships/hyperlink" Target="https://lls.ombudsman.org.rs/index.php?option=com_content&amp;view=article&amp;id=498:ruzni-z-v-r-u-n-v-s-du-ni-guci-d-br-nu-p-s-u-pri-v-r-ni-u&amp;catid=88:2011-10-24-12-47-37&amp;Itemid=76" TargetMode="External"/><Relationship Id="rId57" Type="http://schemas.openxmlformats.org/officeDocument/2006/relationships/hyperlink" Target="https://ombudsman.rs/index.php/2012-02-07-14-03-33/7861-z-sh-i-ni-gr-d-n-upu-i-pr-p-ru-gr-ds-i-sluzb" TargetMode="External"/><Relationship Id="rId10" Type="http://schemas.openxmlformats.org/officeDocument/2006/relationships/hyperlink" Target="https://ombudsman.rs/attachments/article/6882/Misljenje.doc" TargetMode="External"/><Relationship Id="rId31" Type="http://schemas.openxmlformats.org/officeDocument/2006/relationships/hyperlink" Target="https://www.ombudsman.rs/index.php/2011-12-25-10-17-15/2011-12-26-10-05-05/7796-p-sh-lic-p-zv-gr-d-n-d-pri-v-sv-u-vrs-u-n-silj" TargetMode="External"/><Relationship Id="rId44" Type="http://schemas.openxmlformats.org/officeDocument/2006/relationships/hyperlink" Target="https://www.ombudsman.rs/index.php/2012-02-07-14-03-33/7671-up-d-p-s-upi-u-s-l-du-s-z-n-sluzb-n-up-r-bi-zi-i-pis" TargetMode="External"/><Relationship Id="rId52" Type="http://schemas.openxmlformats.org/officeDocument/2006/relationships/hyperlink" Target="https://lls.ombudsman.org.rs/index.php?option=com_content&amp;view=article&amp;id=495:a&amp;catid=88:2011-10-24-12-47-37&amp;Itemid=76" TargetMode="External"/><Relationship Id="rId60" Type="http://schemas.openxmlformats.org/officeDocument/2006/relationships/hyperlink" Target="https://www.ombudsman.rs/index.php/2012-02-07-14-03-33/7648-z-sh-i-ni-gr-d-n-upu-i-sis-s-u-pr-p-ru-u-r-public-g-g-s-z-v-du-i-inis-rs-vu-gr-d-vin-rs-v-s-br-c-i-infru-s-ru-ur" TargetMode="External"/><Relationship Id="rId65" Type="http://schemas.openxmlformats.org/officeDocument/2006/relationships/hyperlink" Target="https://www.ombudsman.rs/index.php/2012-02-07-14-03-33/7759-z-lb-n-isi-psh-in-r-c-prili-d-n-sh-nj-r-sh-nj-ni-p-s-upil-p-pr-sud-upr-vn-g-sud" TargetMode="External"/><Relationship Id="rId73" Type="http://schemas.openxmlformats.org/officeDocument/2006/relationships/hyperlink" Target="https://www.ombudsman.rs/index.php/2012-02-07-14-03-33/7863-z-sh-i-ni-gr-d-n-u-vrdi-pr-pus-rg-n-upr-v" TargetMode="External"/><Relationship Id="rId78" Type="http://schemas.openxmlformats.org/officeDocument/2006/relationships/hyperlink" Target="https://www.ombudsman.rs/index.php/izvestaji/posebnii-izvestaji/7858-p-s-b-n-izv-sh-z-sh-i-ni-gr-d-n-z-s-uplj-n-s-i-uslug-s-ci-ln-i-zdr-vs-v-n-z-sh-i-z-s-ri-z-n-ziv-n-s-lu" TargetMode="External"/><Relationship Id="rId81" Type="http://schemas.openxmlformats.org/officeDocument/2006/relationships/hyperlink" Target="https://ombudsman.rs/index.php/izvestaji/posebnii-izvestaji/7858-p-s-b-n-izv-sh-z-sh-i-ni-gr-d-n-z-s-uplj-n-s-i-uslug-s-ci-ln-i-zdr-vs-v-n-z-sh-i-z-s-ri-z-n-ziv-n-s-lu" TargetMode="External"/><Relationship Id="rId86" Type="http://schemas.openxmlformats.org/officeDocument/2006/relationships/hyperlink" Target="https://documents.un.org/doc/undoc/gen/n11/468/96/pdf/n1146896.pdf?token=9uBMNfUYCqOCJ86uwF&amp;fe=true" TargetMode="External"/><Relationship Id="rId94" Type="http://schemas.openxmlformats.org/officeDocument/2006/relationships/hyperlink" Target="https://assembly.coe.int/nw/xml/XRef/Xref-XML2HTML-en.asp?fileid=17133&amp;lang=en" TargetMode="External"/><Relationship Id="rId99" Type="http://schemas.openxmlformats.org/officeDocument/2006/relationships/hyperlink" Target="https://documents.un.org/doc/undoc/gen/n22/764/62/pdf/n2276462.pdf?token=eDyAGEZZ7p8Xm1gbX9&amp;fe=true" TargetMode="External"/><Relationship Id="rId4" Type="http://schemas.openxmlformats.org/officeDocument/2006/relationships/hyperlink" Target="https://www.ombudsman.rs/index.php/2011-12-25-10-17-15/2011-12-26-10-05-05/7681-n-dl-zni-rg-ni-pr-pus-ili-d-p-r-d-zr-vu-n-silj-sh-i-i-dv-g-dishnj-d-iz-vrshc" TargetMode="External"/><Relationship Id="rId9" Type="http://schemas.openxmlformats.org/officeDocument/2006/relationships/hyperlink" Target="https://www.ombudsman.rs/index.php/2012-02-07-14-03-33/7928-p-r-b-n-individu-lni-pl-n-p-drsh-z-sv-u-zr-vu-p-r-dicn-g-n-silj" TargetMode="External"/><Relationship Id="rId13" Type="http://schemas.openxmlformats.org/officeDocument/2006/relationships/hyperlink" Target="https://www.srbija.gov.rs/dokument/45678/strategije-programi-planovi-.php" TargetMode="External"/><Relationship Id="rId18" Type="http://schemas.openxmlformats.org/officeDocument/2006/relationships/hyperlink" Target="https://www.bazenuns.rs/srpski/napadi-na-novinare" TargetMode="External"/><Relationship Id="rId39" Type="http://schemas.openxmlformats.org/officeDocument/2006/relationships/hyperlink" Target="https://www.srbija.gov.rs/dokument/45678/strategije-programi-planovi-.php" TargetMode="External"/><Relationship Id="rId34" Type="http://schemas.openxmlformats.org/officeDocument/2006/relationships/hyperlink" Target="https://www.ombudsman.rs/index.php/2012-02-07-14-03-33/7928-p-r-b-n-individu-lni-pl-n-p-drsh-z-sv-u-zr-vu-p-r-dicn-g-n-silj" TargetMode="External"/><Relationship Id="rId50" Type="http://schemas.openxmlformats.org/officeDocument/2006/relationships/hyperlink" Target="https://lls.ombudsman.org.rs/index.php?option=com_content&amp;view=article&amp;id=496:n-z-ni-i-p-s-up-nj-p-lici-s-ih-sluzb-ni-ps-z-un-p-vr-d-n-pr-v-gr-d-nin-n-n-p-vr-div-s-fizic-g-i-psihic-g-in-gri-i-pr-v-n-d-s-ns-v&amp;catid=88:2011-10-24-12-47-37&amp;Itemid=76" TargetMode="External"/><Relationship Id="rId55" Type="http://schemas.openxmlformats.org/officeDocument/2006/relationships/hyperlink" Target="http://we2.cekos.com/ce/index.xhtml?&amp;file=f141799&amp;action=propis&amp;path=14179901.html&amp;domain=0&amp;mark=false&amp;queries=zakon+o+pravima+pacijenata&amp;searchType=1&amp;regulationType=1&amp;domain=0&amp;myFavorites=false&amp;dateFrom=&amp;dateTo=&amp;groups=-%40--%40--%40--%40--%40-" TargetMode="External"/><Relationship Id="rId76" Type="http://schemas.openxmlformats.org/officeDocument/2006/relationships/hyperlink" Target="https://www.ombudsman.rs/index.php/2012-02-07-14-03-33/7880-z-sh-i-ni-gr-d-n-upu-i-pr-p-ru-inis-rs-vu-pr-sv-zb-g-n-pr-viln-s-i-u-r-du-dicins-g-f-ul" TargetMode="External"/><Relationship Id="rId97" Type="http://schemas.openxmlformats.org/officeDocument/2006/relationships/hyperlink" Target="https://search.coe.int/cm/pages/result_details.aspx?objectid=0900001680a1f4da" TargetMode="External"/><Relationship Id="rId7" Type="http://schemas.openxmlformats.org/officeDocument/2006/relationships/hyperlink" Target="https://www.ombudsman.rs/index.php/2012-02-07-14-03-33/7790-n-dl-zni-rg-ni-d-pr-dl-z-iz-n-i-d-pun-z-n-spr-c-v-nju-n-silj-u-p-r-dici-i-b-zb-d-pri-nu-z-n-i-n-l-l-n-ucini-c-n-silj-u-p-r-dici" TargetMode="External"/><Relationship Id="rId71" Type="http://schemas.openxmlformats.org/officeDocument/2006/relationships/hyperlink" Target="https://www.ombudsman.rs/index.php/2011-12-25-10-17-15/2011-12-26-10-05-05/7845-z-sh-i-ni-gr-d-n-riv-z-s-r-d-c-u-n-v-b-c-u" TargetMode="External"/><Relationship Id="rId92" Type="http://schemas.openxmlformats.org/officeDocument/2006/relationships/hyperlink" Target="https://digitallibrary.un.org/record/1466810" TargetMode="External"/><Relationship Id="rId2" Type="http://schemas.openxmlformats.org/officeDocument/2006/relationships/hyperlink" Target="https://www.srbija.gov.rs/dokument/45678/strategije-programi-planovi-.php" TargetMode="External"/><Relationship Id="rId29" Type="http://schemas.openxmlformats.org/officeDocument/2006/relationships/hyperlink" Target="https://www.ombudsman.rs/index.php/2011-12-25-10-17-15/2011-12-26-10-05-05/7681-n-dl-zni-rg-ni-pr-pus-ili-d-p-r-d-zr-vu-n-silj-sh-i-i-dv-g-dishnj-d-iz-vrshc" TargetMode="External"/><Relationship Id="rId24" Type="http://schemas.openxmlformats.org/officeDocument/2006/relationships/hyperlink" Target="https://www.ombudsman.rs/%20index.php/2011-12-11-11-34-45/7855-ishlj-nj-z-sh-i-ni-gr-d-n-n-d-pun-z-n-z-sh-i-i-lic-s-n-lni-s-nj" TargetMode="External"/><Relationship Id="rId40" Type="http://schemas.openxmlformats.org/officeDocument/2006/relationships/hyperlink" Target="https://www.ombudsman.rs/index.php/2011-12-11-11-34-45/7710-z-sh-i-ni-gr-d-n-upu-i-ishlj-nj-n-n-cr-z-n-iz-n-i-d-pun-z-n-fin-nsi-s-p-drshci-p-r-dici-s-d-c" TargetMode="External"/><Relationship Id="rId45" Type="http://schemas.openxmlformats.org/officeDocument/2006/relationships/hyperlink" Target="https://www.ombudsman.rs/index.php/2011-12-11-11-34-45/7698-inis-rs-v-d-d-n-s-r-sh-nj-upisu-i-n-d-n-zi-u-n-ci-n-ln-njin" TargetMode="External"/><Relationship Id="rId66" Type="http://schemas.openxmlformats.org/officeDocument/2006/relationships/hyperlink" Target="https://www.ombudsman.rs/index.php/2012-02-07-14-03-33/7862-r-public-f-ndu-z-p-nzi-s-i-inv-lids-sigur-nj-upuc-n-pr-p-ru" TargetMode="External"/><Relationship Id="rId87" Type="http://schemas.openxmlformats.org/officeDocument/2006/relationships/hyperlink" Target="https://documents.un.org/doc/undoc/gen/n12/488/38/pdf/n1248838.pdf?token=1kkSKOIvHruM4mCWks&amp;fe=true" TargetMode="External"/><Relationship Id="rId61" Type="http://schemas.openxmlformats.org/officeDocument/2006/relationships/hyperlink" Target="https://www.ombudsman.rs/index.php/2012-02-07-14-03-33/7883-rgz-d-guci-uvid-u-p-d-n-p-r-n-s-i-gr-d-ni-i-ziv-u-in-s-r-ns-vu" TargetMode="External"/><Relationship Id="rId82" Type="http://schemas.openxmlformats.org/officeDocument/2006/relationships/hyperlink" Target="https://ombudsman.rs/index.php/izvestaji/posebnii-izvestaji/7910-p-s-b-n-izv-sh-z-sh-i-ni-gr-d-n-n-silju-u-sh-l" TargetMode="External"/><Relationship Id="rId19" Type="http://schemas.openxmlformats.org/officeDocument/2006/relationships/hyperlink" Target="https://nuns.rs/rjt-statistika-napada-na-novinare-od-2016-do-kraja-oktobra-2023/" TargetMode="External"/><Relationship Id="rId14" Type="http://schemas.openxmlformats.org/officeDocument/2006/relationships/hyperlink" Target="https://www.ombudsman.rs/index.php/2011-12-11-11-34-45/7832-s-ri-i-d-s-zn-c-ni-u-ljuc-u-vni-i-p-li-ic-i-ziv-u-srbi-i" TargetMode="External"/><Relationship Id="rId30" Type="http://schemas.openxmlformats.org/officeDocument/2006/relationships/hyperlink" Target="https://www.ombudsman.rs/index.php/2011-12-25-10-17-15/2011-12-26-10-05-05/7808-p-sh-lic-p-r-bni-n-vi-pr-li-z-z-sh-i-u-z-n-d-p-r-dicn-g-n-silj" TargetMode="External"/><Relationship Id="rId35" Type="http://schemas.openxmlformats.org/officeDocument/2006/relationships/hyperlink" Target="https://www.ombudsman.rs/index.php/2011-12-25-10-17-15/2011-12-26-10-05-05/7762-pr-rsh-ni-p-s-up-pr-iv-ins-ru-n-r-zb-g-pr-n-s-p-r-d-n-drush-v-ni-r-z" TargetMode="External"/><Relationship Id="rId56" Type="http://schemas.openxmlformats.org/officeDocument/2006/relationships/hyperlink" Target="https://www.ombudsman.rs/index.php/2012-02-07-14-03-33/7804-s-r-ri-z-insp-ci-s-p-sl-v-u-p-nc-vu-b-z-dl-g-nj-d-pr-duz-sv-r-z-spr-v-d-nj-r-sh-nj-u-l-nj-nju-b-spr-vn-izv-d-nih-r-d-v" TargetMode="External"/><Relationship Id="rId77" Type="http://schemas.openxmlformats.org/officeDocument/2006/relationships/hyperlink" Target="https://www.ombudsman.rs/attachments/article/7910/Poseban%20izvestaj%20Zastitnika%20gradjana%20o%20nasilju%20u%20skolama.pdf" TargetMode="External"/><Relationship Id="rId8" Type="http://schemas.openxmlformats.org/officeDocument/2006/relationships/hyperlink" Target="https://www.ombudsman.rs/index.php/2012-02-07-14-03-33/7923-pr-p-ru-z-z-sh-i-u-d-c-u-sluc-vi-p-r-dicn-g-n-silj" TargetMode="External"/><Relationship Id="rId51" Type="http://schemas.openxmlformats.org/officeDocument/2006/relationships/hyperlink" Target="https://lls.ombudsman.org.rs/index.php?option=com_content&amp;view=article&amp;id=501:n-z-ni-i-p-s-up-nj-p-lici-s-ih-sluzb-ni-pi-z-l-zni-p-vr-d-n-pr-v-gr-d-n-n-n-p-vr-div-s-fizic-g-i-psihic-g-in-gri-i-pr-v-n-d-s-ns-v&amp;catid=88:2011-10-24-12-47-37&amp;Itemid=76" TargetMode="External"/><Relationship Id="rId72" Type="http://schemas.openxmlformats.org/officeDocument/2006/relationships/hyperlink" Target="https://www.ombudsman.rs/index.php/2011-12-25-10-17-15/2011-12-26-10-05-05/7839-p-sh-lic-d-n-n-n-p-r-nu-g-ispi-n-g-p-s-up-u-vrdili-s-d-d-v-cic-h-spi-liz-v-n-u-irsh-v-ni-nj-ni-siblinzi-n-u-licn-i-ni-i-bg" TargetMode="External"/><Relationship Id="rId93" Type="http://schemas.openxmlformats.org/officeDocument/2006/relationships/hyperlink" Target="https://documents.un.org/doc/undoc/gen/n94/116/24/pdf/n9411624.pdf?token=DpM4mgyURkQrq6vZjC&amp;fe=true" TargetMode="External"/><Relationship Id="rId98" Type="http://schemas.openxmlformats.org/officeDocument/2006/relationships/hyperlink" Target="https://documents.un.org/doc/undoc/gen/n20/373/10/pdf/n2037310.pdf?token=afiGRBEdgTuDbQsHZt&amp;fe=tru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344300125397452E-2"/>
          <c:y val="5.6737588652482268E-2"/>
          <c:w val="0.87423145098659893"/>
          <c:h val="0.4904481487686379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('Права 2018'!$A$63:$A$67,'Права 2018'!$A$68:$A$73)</c:f>
              <c:strCache>
                <c:ptCount val="11"/>
                <c:pt idx="0">
                  <c:v>Права на добру управу</c:v>
                </c:pt>
                <c:pt idx="1">
                  <c:v>Економско-имовинска права </c:v>
                </c:pt>
                <c:pt idx="2">
                  <c:v>Посебна права у области права детета </c:v>
                </c:pt>
                <c:pt idx="3">
                  <c:v>Социјална и културна права</c:v>
                </c:pt>
                <c:pt idx="4">
                  <c:v>Грађанска и политичка права </c:v>
                </c:pt>
                <c:pt idx="5">
                  <c:v>Посебна права у области родне равноправности</c:v>
                </c:pt>
                <c:pt idx="6">
                  <c:v>Посебна права у области лица лишених слободе</c:v>
                </c:pt>
                <c:pt idx="7">
                  <c:v>Посебна права у области права лица са инвалидитетом</c:v>
                </c:pt>
                <c:pt idx="8">
                  <c:v>Посебна права у области права припадника националних мањина</c:v>
                </c:pt>
                <c:pt idx="9">
                  <c:v>Права старијих</c:v>
                </c:pt>
                <c:pt idx="10">
                  <c:v>Права ЛГБТИ+</c:v>
                </c:pt>
              </c:strCache>
            </c:strRef>
          </c:cat>
          <c:val>
            <c:numRef>
              <c:f>('Права 2018'!$B$63:$B$67,'Права 2018'!$B$68:$B$73)</c:f>
              <c:numCache>
                <c:formatCode>General</c:formatCode>
                <c:ptCount val="11"/>
                <c:pt idx="0">
                  <c:v>1550</c:v>
                </c:pt>
                <c:pt idx="1">
                  <c:v>1213</c:v>
                </c:pt>
                <c:pt idx="2">
                  <c:v>832</c:v>
                </c:pt>
                <c:pt idx="3">
                  <c:v>660</c:v>
                </c:pt>
                <c:pt idx="4">
                  <c:v>631</c:v>
                </c:pt>
                <c:pt idx="5">
                  <c:v>102</c:v>
                </c:pt>
                <c:pt idx="6">
                  <c:v>78</c:v>
                </c:pt>
                <c:pt idx="7">
                  <c:v>60</c:v>
                </c:pt>
                <c:pt idx="8">
                  <c:v>30</c:v>
                </c:pt>
                <c:pt idx="9">
                  <c:v>22</c:v>
                </c:pt>
                <c:pt idx="10">
                  <c:v>3</c:v>
                </c:pt>
              </c:numCache>
            </c:numRef>
          </c:val>
          <c:extLst>
            <c:ext xmlns:c16="http://schemas.microsoft.com/office/drawing/2014/chart" uri="{C3380CC4-5D6E-409C-BE32-E72D297353CC}">
              <c16:uniqueId val="{00000000-7D8C-4EE2-982A-530794290815}"/>
            </c:ext>
          </c:extLst>
        </c:ser>
        <c:dLbls>
          <c:dLblPos val="outEnd"/>
          <c:showLegendKey val="0"/>
          <c:showVal val="1"/>
          <c:showCatName val="0"/>
          <c:showSerName val="0"/>
          <c:showPercent val="0"/>
          <c:showBubbleSize val="0"/>
        </c:dLbls>
        <c:gapWidth val="219"/>
        <c:overlap val="-27"/>
        <c:axId val="275695680"/>
        <c:axId val="275693328"/>
      </c:barChart>
      <c:catAx>
        <c:axId val="27569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693328"/>
        <c:crosses val="autoZero"/>
        <c:auto val="1"/>
        <c:lblAlgn val="ctr"/>
        <c:lblOffset val="100"/>
        <c:noMultiLvlLbl val="0"/>
      </c:catAx>
      <c:valAx>
        <c:axId val="27569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69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681-4321-815C-A457630CA3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681-4321-815C-A457630CA3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681-4321-815C-A457630CA3A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681-4321-815C-A457630CA3A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681-4321-815C-A457630CA3A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681-4321-815C-A457630CA3A2}"/>
              </c:ext>
            </c:extLst>
          </c:dPt>
          <c:dLbls>
            <c:dLbl>
              <c:idx val="2"/>
              <c:layout>
                <c:manualLayout>
                  <c:x val="5.1444980667739081E-2"/>
                  <c:y val="7.513014509677662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81-4321-815C-A457630CA3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Sheet1!$A$285:$A$290</c:f>
              <c:strCache>
                <c:ptCount val="6"/>
                <c:pt idx="0">
                  <c:v>Ресори управе</c:v>
                </c:pt>
                <c:pt idx="1">
                  <c:v>Права детета</c:v>
                </c:pt>
                <c:pt idx="2">
                  <c:v>Родна равноправност и ЛГБТИ</c:v>
                </c:pt>
                <c:pt idx="3">
                  <c:v>Лица лишена слободе</c:v>
                </c:pt>
                <c:pt idx="4">
                  <c:v>Особе са инвалидитетом</c:v>
                </c:pt>
                <c:pt idx="5">
                  <c:v>Националне мањине</c:v>
                </c:pt>
              </c:strCache>
            </c:strRef>
          </c:cat>
          <c:val>
            <c:numRef>
              <c:f>Sheet1!$B$285:$B$290</c:f>
              <c:numCache>
                <c:formatCode>General</c:formatCode>
                <c:ptCount val="6"/>
                <c:pt idx="0">
                  <c:v>216</c:v>
                </c:pt>
                <c:pt idx="1">
                  <c:v>56</c:v>
                </c:pt>
                <c:pt idx="2">
                  <c:v>50</c:v>
                </c:pt>
                <c:pt idx="3">
                  <c:v>37</c:v>
                </c:pt>
                <c:pt idx="4">
                  <c:v>11</c:v>
                </c:pt>
                <c:pt idx="5">
                  <c:v>2</c:v>
                </c:pt>
              </c:numCache>
            </c:numRef>
          </c:val>
          <c:extLst>
            <c:ext xmlns:c16="http://schemas.microsoft.com/office/drawing/2014/chart" uri="{C3380CC4-5D6E-409C-BE32-E72D297353CC}">
              <c16:uniqueId val="{0000000C-C681-4321-815C-A457630CA3A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274624018969797"/>
          <c:y val="0.21958465045883863"/>
          <c:w val="0.28924503095050924"/>
          <c:h val="0.4927041784010575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C09-475D-9894-F5366474DBF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C09-475D-9894-F5366474DBF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C09-475D-9894-F5366474DBF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C09-475D-9894-F5366474DBF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C09-475D-9894-F5366474DBF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C09-475D-9894-F5366474DBF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C09-475D-9894-F5366474DBF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C09-475D-9894-F5366474DBFB}"/>
              </c:ext>
            </c:extLst>
          </c:dPt>
          <c:dLbls>
            <c:dLbl>
              <c:idx val="0"/>
              <c:layout>
                <c:manualLayout>
                  <c:x val="0.20442121864811741"/>
                  <c:y val="0.35906024537630471"/>
                </c:manualLayout>
              </c:layout>
              <c:tx>
                <c:rich>
                  <a:bodyPr/>
                  <a:lstStyle/>
                  <a:p>
                    <a:r>
                      <a:rPr lang="en-US"/>
                      <a:t>Institutions and other public services</a:t>
                    </a:r>
                    <a:r>
                      <a:rPr lang="en-US" baseline="0"/>
                      <a:t>; 40,93%</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09-475D-9894-F5366474DBFB}"/>
                </c:ext>
              </c:extLst>
            </c:dLbl>
            <c:dLbl>
              <c:idx val="1"/>
              <c:layout>
                <c:manualLayout>
                  <c:x val="-0.20878714908912557"/>
                  <c:y val="0.12965113380360729"/>
                </c:manualLayout>
              </c:layout>
              <c:tx>
                <c:rich>
                  <a:bodyPr/>
                  <a:lstStyle/>
                  <a:p>
                    <a:r>
                      <a:rPr lang="en-US"/>
                      <a:t>Ministries</a:t>
                    </a:r>
                    <a:r>
                      <a:rPr lang="en-US" baseline="0"/>
                      <a:t>, </a:t>
                    </a:r>
                    <a:fld id="{844CE40B-8F65-4008-BC1F-DE6EDE96933B}"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C09-475D-9894-F5366474DBFB}"/>
                </c:ext>
              </c:extLst>
            </c:dLbl>
            <c:dLbl>
              <c:idx val="2"/>
              <c:layout>
                <c:manualLayout>
                  <c:x val="-0.19952967762437768"/>
                  <c:y val="0.26095538057742784"/>
                </c:manualLayout>
              </c:layout>
              <c:tx>
                <c:rich>
                  <a:bodyPr/>
                  <a:lstStyle/>
                  <a:p>
                    <a:r>
                      <a:rPr lang="en-US"/>
                      <a:t>Local self-government</a:t>
                    </a:r>
                    <a:r>
                      <a:rPr lang="en-US" baseline="0"/>
                      <a:t>, </a:t>
                    </a:r>
                    <a:fld id="{EC28AD5B-BB34-468E-8A6E-0BD9564B987F}"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C09-475D-9894-F5366474DBFB}"/>
                </c:ext>
              </c:extLst>
            </c:dLbl>
            <c:dLbl>
              <c:idx val="3"/>
              <c:layout>
                <c:manualLayout>
                  <c:x val="-0.30148323387827641"/>
                  <c:y val="0.15747762924983214"/>
                </c:manualLayout>
              </c:layout>
              <c:tx>
                <c:rich>
                  <a:bodyPr/>
                  <a:lstStyle/>
                  <a:p>
                    <a:r>
                      <a:rPr lang="en-US"/>
                      <a:t>Other organs and others</a:t>
                    </a:r>
                    <a:r>
                      <a:rPr lang="en-US" baseline="0"/>
                      <a:t>, </a:t>
                    </a:r>
                    <a:fld id="{600C92AE-785A-423D-9491-D5977BE785E8}"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C09-475D-9894-F5366474DBFB}"/>
                </c:ext>
              </c:extLst>
            </c:dLbl>
            <c:dLbl>
              <c:idx val="4"/>
              <c:layout>
                <c:manualLayout>
                  <c:x val="-0.33020302955404118"/>
                  <c:y val="-8.0400903375450181E-2"/>
                </c:manualLayout>
              </c:layout>
              <c:tx>
                <c:rich>
                  <a:bodyPr/>
                  <a:lstStyle/>
                  <a:p>
                    <a:r>
                      <a:rPr lang="en-US"/>
                      <a:t>Judicial authorities</a:t>
                    </a:r>
                    <a:r>
                      <a:rPr lang="en-US" baseline="0"/>
                      <a:t>, </a:t>
                    </a:r>
                    <a:fld id="{7B46643E-98DF-4D36-A12B-B30BEB41E46D}"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C09-475D-9894-F5366474DBFB}"/>
                </c:ext>
              </c:extLst>
            </c:dLbl>
            <c:dLbl>
              <c:idx val="5"/>
              <c:layout>
                <c:manualLayout>
                  <c:x val="0.35461294916610758"/>
                  <c:y val="-0.1381301348959287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Republic agencies, institutes, directorates, funds, administrations, etc.</a:t>
                    </a:r>
                    <a:r>
                      <a:rPr lang="en-US" baseline="0"/>
                      <a:t>, </a:t>
                    </a:r>
                    <a:fld id="{B7E9F0B0-DFA8-4BDB-8058-70DEAAF4C0E9}" type="VALUE">
                      <a:rPr lang="en-US" baseline="0"/>
                      <a:pPr>
                        <a:defRPr/>
                      </a:pPr>
                      <a:t>[VALUE]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8332097501265252"/>
                      <c:h val="0.11967014588292742"/>
                    </c:manualLayout>
                  </c15:layout>
                  <c15:dlblFieldTable/>
                  <c15:showDataLabelsRange val="0"/>
                </c:ext>
                <c:ext xmlns:c16="http://schemas.microsoft.com/office/drawing/2014/chart" uri="{C3380CC4-5D6E-409C-BE32-E72D297353CC}">
                  <c16:uniqueId val="{0000000B-1C09-475D-9894-F5366474DBFB}"/>
                </c:ext>
              </c:extLst>
            </c:dLbl>
            <c:dLbl>
              <c:idx val="6"/>
              <c:layout>
                <c:manualLayout>
                  <c:x val="0.38522729501861597"/>
                  <c:y val="3.290191051699935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Provincial autonomy</a:t>
                    </a:r>
                    <a:r>
                      <a:rPr lang="en-US" baseline="0"/>
                      <a:t>, </a:t>
                    </a:r>
                    <a:fld id="{B415F1BE-86B7-42C2-8150-4E745CEED3E5}" type="VALUE">
                      <a:rPr lang="en-US" baseline="0"/>
                      <a:pPr>
                        <a:defRPr/>
                      </a:pPr>
                      <a:t>[VALUE]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0569333120498517"/>
                      <c:h val="0.12913247928072039"/>
                    </c:manualLayout>
                  </c15:layout>
                  <c15:dlblFieldTable/>
                  <c15:showDataLabelsRange val="0"/>
                </c:ext>
                <c:ext xmlns:c16="http://schemas.microsoft.com/office/drawing/2014/chart" uri="{C3380CC4-5D6E-409C-BE32-E72D297353CC}">
                  <c16:uniqueId val="{0000000D-1C09-475D-9894-F5366474DBFB}"/>
                </c:ext>
              </c:extLst>
            </c:dLbl>
            <c:dLbl>
              <c:idx val="7"/>
              <c:layout>
                <c:manualLayout>
                  <c:x val="0.38414635390307156"/>
                  <c:y val="0.23008167002380517"/>
                </c:manualLayout>
              </c:layout>
              <c:tx>
                <c:rich>
                  <a:bodyPr/>
                  <a:lstStyle/>
                  <a:p>
                    <a:r>
                      <a:rPr lang="en-US"/>
                      <a:t>Independent republican bodies and independent bodies,</a:t>
                    </a:r>
                    <a:fld id="{3CF0ABA8-440B-42E9-9B9F-EFDD255C3029}" type="VALUE">
                      <a:rPr lang="en-US" baseline="0"/>
                      <a:pPr/>
                      <a:t>[VALUE]</a:t>
                    </a:fld>
                    <a:endParaRPr 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1C09-475D-9894-F5366474DB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in Microsoft Word]Deca grafikon-organi'!$A$2:$A$9</c:f>
              <c:strCache>
                <c:ptCount val="8"/>
                <c:pt idx="0">
                  <c:v>Установе и друге јавне службе</c:v>
                </c:pt>
                <c:pt idx="1">
                  <c:v>Министарства</c:v>
                </c:pt>
                <c:pt idx="2">
                  <c:v>Локална самоуправа</c:v>
                </c:pt>
                <c:pt idx="3">
                  <c:v>Остали органи и друго</c:v>
                </c:pt>
                <c:pt idx="4">
                  <c:v>Правосудни органи</c:v>
                </c:pt>
                <c:pt idx="5">
                  <c:v>Републичке агенције, заводи, дирекције, фондови, управе и др.</c:v>
                </c:pt>
                <c:pt idx="6">
                  <c:v>Покрајинска аутономија</c:v>
                </c:pt>
                <c:pt idx="7">
                  <c:v>Самостални републички органи и независна тела</c:v>
                </c:pt>
              </c:strCache>
            </c:strRef>
          </c:cat>
          <c:val>
            <c:numRef>
              <c:f>'[Chart in Microsoft Word]Deca grafikon-organi'!$C$2:$C$9</c:f>
              <c:numCache>
                <c:formatCode>0.00%</c:formatCode>
                <c:ptCount val="8"/>
                <c:pt idx="0">
                  <c:v>0.40923076923076923</c:v>
                </c:pt>
                <c:pt idx="1">
                  <c:v>0.31230769230769229</c:v>
                </c:pt>
                <c:pt idx="2">
                  <c:v>0.14615384615384616</c:v>
                </c:pt>
                <c:pt idx="3">
                  <c:v>8.461538461538462E-2</c:v>
                </c:pt>
                <c:pt idx="4">
                  <c:v>3.3846153846153845E-2</c:v>
                </c:pt>
                <c:pt idx="5">
                  <c:v>9.2307692307692316E-3</c:v>
                </c:pt>
                <c:pt idx="6">
                  <c:v>3.0769230769230769E-3</c:v>
                </c:pt>
                <c:pt idx="7">
                  <c:v>1.5384615384615385E-3</c:v>
                </c:pt>
              </c:numCache>
            </c:numRef>
          </c:val>
          <c:extLst>
            <c:ext xmlns:c16="http://schemas.microsoft.com/office/drawing/2014/chart" uri="{C3380CC4-5D6E-409C-BE32-E72D297353CC}">
              <c16:uniqueId val="{00000010-1C09-475D-9894-F5366474DBFB}"/>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4D0-4814-BDC9-6D5CCC20BD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4D0-4814-BDC9-6D5CCC20BDD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4D0-4814-BDC9-6D5CCC20BDD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4D0-4814-BDC9-6D5CCC20BDD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4D0-4814-BDC9-6D5CCC20BDD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4D0-4814-BDC9-6D5CCC20BDD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4D0-4814-BDC9-6D5CCC20BDD9}"/>
              </c:ext>
            </c:extLst>
          </c:dPt>
          <c:dLbls>
            <c:dLbl>
              <c:idx val="0"/>
              <c:layout>
                <c:manualLayout>
                  <c:x val="0.23182037439736783"/>
                  <c:y val="1.2930548411348079E-2"/>
                </c:manualLayout>
              </c:layout>
              <c:tx>
                <c:rich>
                  <a:bodyPr/>
                  <a:lstStyle/>
                  <a:p>
                    <a:r>
                      <a:rPr lang="en-US"/>
                      <a:t>Ministries</a:t>
                    </a:r>
                    <a:r>
                      <a:rPr lang="en-US" baseline="0"/>
                      <a:t>, </a:t>
                    </a:r>
                    <a:fld id="{2A5C3C2B-A1FF-467A-AB19-BF468FA88607}"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4D0-4814-BDC9-6D5CCC20BDD9}"/>
                </c:ext>
              </c:extLst>
            </c:dLbl>
            <c:dLbl>
              <c:idx val="1"/>
              <c:layout>
                <c:manualLayout>
                  <c:x val="0.16463104125942374"/>
                  <c:y val="0.15176275076168244"/>
                </c:manualLayout>
              </c:layout>
              <c:tx>
                <c:rich>
                  <a:bodyPr/>
                  <a:lstStyle/>
                  <a:p>
                    <a:r>
                      <a:rPr lang="en-US"/>
                      <a:t>Institutions and other public services</a:t>
                    </a:r>
                    <a:r>
                      <a:rPr lang="en-US" baseline="0"/>
                      <a:t>, </a:t>
                    </a:r>
                    <a:fld id="{57A5314F-5828-4786-B599-FCFB5A954D60}"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4D0-4814-BDC9-6D5CCC20BDD9}"/>
                </c:ext>
              </c:extLst>
            </c:dLbl>
            <c:dLbl>
              <c:idx val="2"/>
              <c:layout>
                <c:manualLayout>
                  <c:x val="-0.19383518340273917"/>
                  <c:y val="0.1158045125411951"/>
                </c:manualLayout>
              </c:layout>
              <c:tx>
                <c:rich>
                  <a:bodyPr/>
                  <a:lstStyle/>
                  <a:p>
                    <a:r>
                      <a:rPr lang="en-US"/>
                      <a:t>Other authorities and others</a:t>
                    </a:r>
                    <a:r>
                      <a:rPr lang="en-US" baseline="0"/>
                      <a:t>, </a:t>
                    </a:r>
                    <a:fld id="{89427548-FD68-4807-9B1E-61C77518416A}"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4D0-4814-BDC9-6D5CCC20BDD9}"/>
                </c:ext>
              </c:extLst>
            </c:dLbl>
            <c:dLbl>
              <c:idx val="3"/>
              <c:layout>
                <c:manualLayout>
                  <c:x val="-0.19765637470789729"/>
                  <c:y val="0.12608094606892731"/>
                </c:manualLayout>
              </c:layout>
              <c:tx>
                <c:rich>
                  <a:bodyPr/>
                  <a:lstStyle/>
                  <a:p>
                    <a:r>
                      <a:rPr lang="en-US"/>
                      <a:t>Judicial authorities</a:t>
                    </a:r>
                    <a:r>
                      <a:rPr lang="en-US" baseline="0"/>
                      <a:t>, </a:t>
                    </a:r>
                    <a:fld id="{12788C5A-E77D-4EEE-8FD8-3618189C93AE}"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4D0-4814-BDC9-6D5CCC20BDD9}"/>
                </c:ext>
              </c:extLst>
            </c:dLbl>
            <c:dLbl>
              <c:idx val="4"/>
              <c:layout>
                <c:manualLayout>
                  <c:x val="-0.24627569609631297"/>
                  <c:y val="-7.660398448937601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Republic agencies, institutes, directorates, funds, administrations, etc.</a:t>
                    </a:r>
                    <a:r>
                      <a:rPr lang="en-US" baseline="0"/>
                      <a:t>, </a:t>
                    </a:r>
                    <a:fld id="{8D4A92A4-3BAF-4CEA-AA6A-96348D08DE94}" type="VALUE">
                      <a:rPr lang="en-US" baseline="0"/>
                      <a:pPr>
                        <a:defRPr/>
                      </a:pPr>
                      <a:t>[VALUE]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0689043979173591"/>
                      <c:h val="0.16940954773869346"/>
                    </c:manualLayout>
                  </c15:layout>
                  <c15:dlblFieldTable/>
                  <c15:showDataLabelsRange val="0"/>
                </c:ext>
                <c:ext xmlns:c16="http://schemas.microsoft.com/office/drawing/2014/chart" uri="{C3380CC4-5D6E-409C-BE32-E72D297353CC}">
                  <c16:uniqueId val="{00000009-34D0-4814-BDC9-6D5CCC20BDD9}"/>
                </c:ext>
              </c:extLst>
            </c:dLbl>
            <c:dLbl>
              <c:idx val="5"/>
              <c:layout>
                <c:manualLayout>
                  <c:x val="0.17362363216668256"/>
                  <c:y val="-0.16202526908182099"/>
                </c:manualLayout>
              </c:layout>
              <c:tx>
                <c:rich>
                  <a:bodyPr/>
                  <a:lstStyle/>
                  <a:p>
                    <a:r>
                      <a:rPr lang="en-US"/>
                      <a:t>Local self-government</a:t>
                    </a:r>
                    <a:r>
                      <a:rPr lang="en-US" baseline="0"/>
                      <a:t>, </a:t>
                    </a:r>
                    <a:fld id="{303360D3-49C1-442D-B450-7833DC3D3B1C}"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4D0-4814-BDC9-6D5CCC20BDD9}"/>
                </c:ext>
              </c:extLst>
            </c:dLbl>
            <c:dLbl>
              <c:idx val="6"/>
              <c:layout>
                <c:manualLayout>
                  <c:x val="0.34181968201071944"/>
                  <c:y val="-0.10954294494946924"/>
                </c:manualLayout>
              </c:layout>
              <c:tx>
                <c:rich>
                  <a:bodyPr/>
                  <a:lstStyle/>
                  <a:p>
                    <a:r>
                      <a:rPr lang="en-US"/>
                      <a:t>Provincial autonomy</a:t>
                    </a:r>
                    <a:r>
                      <a:rPr lang="en-US" baseline="0"/>
                      <a:t>; 1,99%</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4D0-4814-BDC9-6D5CCC20BD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in Microsoft Word]Rodna grafikon-organi'!$A$2:$A$8</c:f>
              <c:strCache>
                <c:ptCount val="7"/>
                <c:pt idx="0">
                  <c:v>Министарства</c:v>
                </c:pt>
                <c:pt idx="1">
                  <c:v>Установе и друге јавне службе</c:v>
                </c:pt>
                <c:pt idx="2">
                  <c:v>Остали органи и друго</c:v>
                </c:pt>
                <c:pt idx="3">
                  <c:v>Правосудни органи</c:v>
                </c:pt>
                <c:pt idx="4">
                  <c:v>Републичке агенције, заводи, дирекције, фондови, управе и др.</c:v>
                </c:pt>
                <c:pt idx="5">
                  <c:v>Локална самоуправа</c:v>
                </c:pt>
                <c:pt idx="6">
                  <c:v>Покрајнска аутономија</c:v>
                </c:pt>
              </c:strCache>
            </c:strRef>
          </c:cat>
          <c:val>
            <c:numRef>
              <c:f>'[Chart in Microsoft Word]Rodna grafikon-organi'!$C$2:$C$8</c:f>
              <c:numCache>
                <c:formatCode>0.00%</c:formatCode>
                <c:ptCount val="7"/>
                <c:pt idx="0">
                  <c:v>0.29702970297029702</c:v>
                </c:pt>
                <c:pt idx="1">
                  <c:v>0.27722772277227725</c:v>
                </c:pt>
                <c:pt idx="2">
                  <c:v>0.14851485148514851</c:v>
                </c:pt>
                <c:pt idx="3">
                  <c:v>0.10891089108910891</c:v>
                </c:pt>
                <c:pt idx="4">
                  <c:v>8.9108910891089105E-2</c:v>
                </c:pt>
                <c:pt idx="5">
                  <c:v>5.9405940594059403E-2</c:v>
                </c:pt>
                <c:pt idx="6">
                  <c:v>1.9801980198019802E-2</c:v>
                </c:pt>
              </c:numCache>
            </c:numRef>
          </c:val>
          <c:extLst>
            <c:ext xmlns:c16="http://schemas.microsoft.com/office/drawing/2014/chart" uri="{C3380CC4-5D6E-409C-BE32-E72D297353CC}">
              <c16:uniqueId val="{0000000E-34D0-4814-BDC9-6D5CCC20BDD9}"/>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78D-4AC3-B216-37FFF9E753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78D-4AC3-B216-37FFF9E753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78D-4AC3-B216-37FFF9E753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78D-4AC3-B216-37FFF9E753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78D-4AC3-B216-37FFF9E753A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78D-4AC3-B216-37FFF9E753A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78D-4AC3-B216-37FFF9E753A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78D-4AC3-B216-37FFF9E753A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178D-4AC3-B216-37FFF9E753A6}"/>
              </c:ext>
            </c:extLst>
          </c:dPt>
          <c:dLbls>
            <c:dLbl>
              <c:idx val="0"/>
              <c:layout>
                <c:manualLayout>
                  <c:x val="0.19874991587590013"/>
                  <c:y val="-9.9491768074445264E-2"/>
                </c:manualLayout>
              </c:layout>
              <c:tx>
                <c:rich>
                  <a:bodyPr/>
                  <a:lstStyle/>
                  <a:p>
                    <a:r>
                      <a:rPr lang="en-US"/>
                      <a:t>Insitutions and other public services</a:t>
                    </a:r>
                    <a:r>
                      <a:rPr lang="en-US" baseline="0"/>
                      <a:t>, </a:t>
                    </a:r>
                    <a:fld id="{AD2EDC19-005E-4CA0-B194-EDCBA68C87CC}"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78D-4AC3-B216-37FFF9E753A6}"/>
                </c:ext>
              </c:extLst>
            </c:dLbl>
            <c:dLbl>
              <c:idx val="1"/>
              <c:layout>
                <c:manualLayout>
                  <c:x val="0.29478778168931918"/>
                  <c:y val="0.12946126866885002"/>
                </c:manualLayout>
              </c:layout>
              <c:tx>
                <c:rich>
                  <a:bodyPr/>
                  <a:lstStyle/>
                  <a:p>
                    <a:r>
                      <a:rPr lang="en-US"/>
                      <a:t>Republic agencies, institutes, directorates, funds, administrations, etc.,</a:t>
                    </a:r>
                    <a:fld id="{359110A1-898D-4093-94E8-0CCB74D45BA3}" type="VALUE">
                      <a:rPr lang="en-US" baseline="0"/>
                      <a:pPr/>
                      <a:t>[VALUE]</a:t>
                    </a:fld>
                    <a:endParaRPr 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78D-4AC3-B216-37FFF9E753A6}"/>
                </c:ext>
              </c:extLst>
            </c:dLbl>
            <c:dLbl>
              <c:idx val="2"/>
              <c:layout>
                <c:manualLayout>
                  <c:x val="-0.15113096439868093"/>
                  <c:y val="0.33010668021336043"/>
                </c:manualLayout>
              </c:layout>
              <c:tx>
                <c:rich>
                  <a:bodyPr/>
                  <a:lstStyle/>
                  <a:p>
                    <a:r>
                      <a:rPr lang="en-US"/>
                      <a:t>Ministries</a:t>
                    </a:r>
                    <a:r>
                      <a:rPr lang="en-US" baseline="0"/>
                      <a:t>, </a:t>
                    </a:r>
                    <a:fld id="{BE3A9827-BEF5-4DCF-9D00-CC6A15EFDF4C}"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78D-4AC3-B216-37FFF9E753A6}"/>
                </c:ext>
              </c:extLst>
            </c:dLbl>
            <c:dLbl>
              <c:idx val="3"/>
              <c:layout>
                <c:manualLayout>
                  <c:x val="-0.1671635210012099"/>
                  <c:y val="0.20236322672055373"/>
                </c:manualLayout>
              </c:layout>
              <c:tx>
                <c:rich>
                  <a:bodyPr/>
                  <a:lstStyle/>
                  <a:p>
                    <a:r>
                      <a:rPr lang="en-US"/>
                      <a:t>Other authorities and others</a:t>
                    </a:r>
                    <a:r>
                      <a:rPr lang="en-US" baseline="0"/>
                      <a:t>, </a:t>
                    </a:r>
                    <a:fld id="{6906815A-175B-4DB1-AD1D-FDC793310052}"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78D-4AC3-B216-37FFF9E753A6}"/>
                </c:ext>
              </c:extLst>
            </c:dLbl>
            <c:dLbl>
              <c:idx val="4"/>
              <c:layout>
                <c:manualLayout>
                  <c:x val="-0.26620398411736995"/>
                  <c:y val="2.3989655252037778E-2"/>
                </c:manualLayout>
              </c:layout>
              <c:tx>
                <c:rich>
                  <a:bodyPr/>
                  <a:lstStyle/>
                  <a:p>
                    <a:r>
                      <a:rPr lang="en-US"/>
                      <a:t>Local self-government</a:t>
                    </a:r>
                    <a:r>
                      <a:rPr lang="en-US" baseline="0"/>
                      <a:t>, </a:t>
                    </a:r>
                    <a:fld id="{4B7663E7-2BE3-4F27-8E81-046ECC1981BE}"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78D-4AC3-B216-37FFF9E753A6}"/>
                </c:ext>
              </c:extLst>
            </c:dLbl>
            <c:dLbl>
              <c:idx val="5"/>
              <c:layout>
                <c:manualLayout>
                  <c:x val="-0.31746901634741836"/>
                  <c:y val="-9.3938912503193736E-2"/>
                </c:manualLayout>
              </c:layout>
              <c:tx>
                <c:rich>
                  <a:bodyPr/>
                  <a:lstStyle/>
                  <a:p>
                    <a:r>
                      <a:rPr lang="en-US"/>
                      <a:t>Ministires</a:t>
                    </a:r>
                    <a:r>
                      <a:rPr lang="en-US" baseline="0"/>
                      <a:t>, </a:t>
                    </a:r>
                    <a:fld id="{60A8B59F-EDF7-4621-846B-87882F4F3009}"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78D-4AC3-B216-37FFF9E753A6}"/>
                </c:ext>
              </c:extLst>
            </c:dLbl>
            <c:dLbl>
              <c:idx val="6"/>
              <c:layout>
                <c:manualLayout>
                  <c:x val="-0.25823387504260931"/>
                  <c:y val="-0.15653413234850069"/>
                </c:manualLayout>
              </c:layout>
              <c:tx>
                <c:rich>
                  <a:bodyPr/>
                  <a:lstStyle/>
                  <a:p>
                    <a:r>
                      <a:rPr lang="en-US"/>
                      <a:t>Judicial authorities</a:t>
                    </a:r>
                    <a:r>
                      <a:rPr lang="en-US" baseline="0"/>
                      <a:t>, </a:t>
                    </a:r>
                    <a:fld id="{899559B6-F017-4FA7-9EC8-8D243F608D15}"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178D-4AC3-B216-37FFF9E753A6}"/>
                </c:ext>
              </c:extLst>
            </c:dLbl>
            <c:dLbl>
              <c:idx val="7"/>
              <c:layout>
                <c:manualLayout>
                  <c:x val="8.9736703045222694E-4"/>
                  <c:y val="-0.15006476708397062"/>
                </c:manualLayout>
              </c:layout>
              <c:tx>
                <c:rich>
                  <a:bodyPr/>
                  <a:lstStyle/>
                  <a:p>
                    <a:r>
                      <a:rPr lang="en-US"/>
                      <a:t>The highest republican authorities</a:t>
                    </a:r>
                    <a:r>
                      <a:rPr lang="en-US" baseline="0"/>
                      <a:t>, </a:t>
                    </a:r>
                    <a:fld id="{64E5B8F6-7DF0-4BA0-B182-4573EC7C4F3C}"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178D-4AC3-B216-37FFF9E753A6}"/>
                </c:ext>
              </c:extLst>
            </c:dLbl>
            <c:dLbl>
              <c:idx val="8"/>
              <c:layout>
                <c:manualLayout>
                  <c:x val="0.19969027997956154"/>
                  <c:y val="-0.14560773428501295"/>
                </c:manualLayout>
              </c:layout>
              <c:tx>
                <c:rich>
                  <a:bodyPr/>
                  <a:lstStyle/>
                  <a:p>
                    <a:r>
                      <a:rPr lang="en-US"/>
                      <a:t>Provincial autonomy</a:t>
                    </a:r>
                    <a:r>
                      <a:rPr lang="en-US" baseline="0"/>
                      <a:t>, </a:t>
                    </a:r>
                    <a:fld id="{491C9184-43CA-44CE-A908-BE5323411949}"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178D-4AC3-B216-37FFF9E753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in Microsoft Word]OSI grafikon-organi'!$A$2:$A$10</c:f>
              <c:strCache>
                <c:ptCount val="9"/>
                <c:pt idx="0">
                  <c:v>Установе и друге јавне службе</c:v>
                </c:pt>
                <c:pt idx="1">
                  <c:v>Републичке агенције, заводи, дирекције, фондови, управе и др.</c:v>
                </c:pt>
                <c:pt idx="2">
                  <c:v>Министарства</c:v>
                </c:pt>
                <c:pt idx="3">
                  <c:v>Остали органи и друго</c:v>
                </c:pt>
                <c:pt idx="4">
                  <c:v>Локална самоуправа</c:v>
                </c:pt>
                <c:pt idx="5">
                  <c:v>Министарства</c:v>
                </c:pt>
                <c:pt idx="6">
                  <c:v>Правосудни органи</c:v>
                </c:pt>
                <c:pt idx="7">
                  <c:v>Највиши републички органи</c:v>
                </c:pt>
                <c:pt idx="8">
                  <c:v>Покрајинска аутономија</c:v>
                </c:pt>
              </c:strCache>
            </c:strRef>
          </c:cat>
          <c:val>
            <c:numRef>
              <c:f>'[Chart in Microsoft Word]OSI grafikon-organi'!$C$2:$C$10</c:f>
              <c:numCache>
                <c:formatCode>0.00%</c:formatCode>
                <c:ptCount val="9"/>
                <c:pt idx="0">
                  <c:v>0.3202614379084967</c:v>
                </c:pt>
                <c:pt idx="1">
                  <c:v>0.25490196078431371</c:v>
                </c:pt>
                <c:pt idx="2">
                  <c:v>0.19607843137254902</c:v>
                </c:pt>
                <c:pt idx="3">
                  <c:v>9.1503267973856203E-2</c:v>
                </c:pt>
                <c:pt idx="4">
                  <c:v>5.8823529411764705E-2</c:v>
                </c:pt>
                <c:pt idx="5">
                  <c:v>3.9215686274509803E-2</c:v>
                </c:pt>
                <c:pt idx="6">
                  <c:v>1.9607843137254902E-2</c:v>
                </c:pt>
                <c:pt idx="7">
                  <c:v>1.3071895424836602E-2</c:v>
                </c:pt>
                <c:pt idx="8">
                  <c:v>6.5359477124183009E-3</c:v>
                </c:pt>
              </c:numCache>
            </c:numRef>
          </c:val>
          <c:extLst>
            <c:ext xmlns:c16="http://schemas.microsoft.com/office/drawing/2014/chart" uri="{C3380CC4-5D6E-409C-BE32-E72D297353CC}">
              <c16:uniqueId val="{00000012-178D-4AC3-B216-37FFF9E753A6}"/>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88-4A4A-B5B1-E321F6B4365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D88-4A4A-B5B1-E321F6B4365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D88-4A4A-B5B1-E321F6B4365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D88-4A4A-B5B1-E321F6B43658}"/>
              </c:ext>
            </c:extLst>
          </c:dPt>
          <c:dLbls>
            <c:dLbl>
              <c:idx val="0"/>
              <c:layout>
                <c:manualLayout>
                  <c:x val="0.21188013842553266"/>
                  <c:y val="-7.668687971811220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Ministries</a:t>
                    </a:r>
                    <a:r>
                      <a:rPr lang="en-US" baseline="0"/>
                      <a:t>; 39,03%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18922131244063087"/>
                      <c:h val="0.10322340594610777"/>
                    </c:manualLayout>
                  </c15:layout>
                </c:ext>
                <c:ext xmlns:c16="http://schemas.microsoft.com/office/drawing/2014/chart" uri="{C3380CC4-5D6E-409C-BE32-E72D297353CC}">
                  <c16:uniqueId val="{00000001-FD88-4A4A-B5B1-E321F6B43658}"/>
                </c:ext>
              </c:extLst>
            </c:dLbl>
            <c:dLbl>
              <c:idx val="1"/>
              <c:layout>
                <c:manualLayout>
                  <c:x val="0.32827461471162245"/>
                  <c:y val="0.1228317940565261"/>
                </c:manualLayout>
              </c:layout>
              <c:tx>
                <c:rich>
                  <a:bodyPr/>
                  <a:lstStyle/>
                  <a:p>
                    <a:r>
                      <a:rPr lang="en-US"/>
                      <a:t>Local </a:t>
                    </a:r>
                  </a:p>
                  <a:p>
                    <a:r>
                      <a:rPr lang="en-US"/>
                      <a:t>self-government</a:t>
                    </a:r>
                    <a:r>
                      <a:rPr lang="en-US" baseline="0"/>
                      <a:t>, </a:t>
                    </a:r>
                    <a:fld id="{ADF0D0FA-632C-4225-BF44-41BA221A2CD3}"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88-4A4A-B5B1-E321F6B43658}"/>
                </c:ext>
              </c:extLst>
            </c:dLbl>
            <c:dLbl>
              <c:idx val="2"/>
              <c:layout>
                <c:manualLayout>
                  <c:x val="-0.17090568005922335"/>
                  <c:y val="0.25764844129658071"/>
                </c:manualLayout>
              </c:layout>
              <c:tx>
                <c:rich>
                  <a:bodyPr/>
                  <a:lstStyle/>
                  <a:p>
                    <a:r>
                      <a:rPr lang="en-US"/>
                      <a:t>Institutions and other public services</a:t>
                    </a:r>
                    <a:r>
                      <a:rPr lang="en-US" baseline="0"/>
                      <a:t>, </a:t>
                    </a:r>
                    <a:fld id="{63BAF47B-DEF6-49CA-9F6E-E8E24CC83F57}"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D88-4A4A-B5B1-E321F6B43658}"/>
                </c:ext>
              </c:extLst>
            </c:dLbl>
            <c:dLbl>
              <c:idx val="3"/>
              <c:layout>
                <c:manualLayout>
                  <c:x val="-0.21671276667339659"/>
                  <c:y val="-8.2300158383325675E-2"/>
                </c:manualLayout>
              </c:layout>
              <c:tx>
                <c:rich>
                  <a:bodyPr/>
                  <a:lstStyle/>
                  <a:p>
                    <a:r>
                      <a:rPr lang="en-US"/>
                      <a:t>Other authorities and others</a:t>
                    </a:r>
                    <a:r>
                      <a:rPr lang="en-US" baseline="0"/>
                      <a:t>, </a:t>
                    </a:r>
                    <a:fld id="{C5EF175E-CCD9-41F8-AD12-3B8AD07947D1}"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D88-4A4A-B5B1-E321F6B436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in Microsoft Word]Rodna grafikon-organi'!$A$2:$A$5</c:f>
              <c:strCache>
                <c:ptCount val="4"/>
                <c:pt idx="0">
                  <c:v>Министарства</c:v>
                </c:pt>
                <c:pt idx="1">
                  <c:v>Локална самоуправа</c:v>
                </c:pt>
                <c:pt idx="2">
                  <c:v>Установе и друге јавне службе</c:v>
                </c:pt>
                <c:pt idx="3">
                  <c:v>Остали органи и друго</c:v>
                </c:pt>
              </c:strCache>
            </c:strRef>
          </c:cat>
          <c:val>
            <c:numRef>
              <c:f>'[Chart in Microsoft Word]Rodna grafikon-organi'!$C$2:$C$5</c:f>
              <c:numCache>
                <c:formatCode>0.00%</c:formatCode>
                <c:ptCount val="4"/>
                <c:pt idx="0">
                  <c:v>0.34146341463414637</c:v>
                </c:pt>
                <c:pt idx="1">
                  <c:v>0.24390243902439024</c:v>
                </c:pt>
                <c:pt idx="2">
                  <c:v>0.1951219512195122</c:v>
                </c:pt>
                <c:pt idx="3">
                  <c:v>0.17073170731707318</c:v>
                </c:pt>
              </c:numCache>
            </c:numRef>
          </c:val>
          <c:extLst>
            <c:ext xmlns:c16="http://schemas.microsoft.com/office/drawing/2014/chart" uri="{C3380CC4-5D6E-409C-BE32-E72D297353CC}">
              <c16:uniqueId val="{00000008-FD88-4A4A-B5B1-E321F6B43658}"/>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D1-40AC-92AB-4AEC471CE2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D1-40AC-92AB-4AEC471CE26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AD1-40AC-92AB-4AEC471CE26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AD1-40AC-92AB-4AEC471CE26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AD1-40AC-92AB-4AEC471CE26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AD1-40AC-92AB-4AEC471CE26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in Microsoft Word]Preporuke i z.inicijative'!$A$9:$A$14</c:f>
              <c:strCache>
                <c:ptCount val="6"/>
                <c:pt idx="0">
                  <c:v>Затвор</c:v>
                </c:pt>
                <c:pt idx="1">
                  <c:v>Притвор </c:v>
                </c:pt>
                <c:pt idx="2">
                  <c:v>Полицијска овлашћења</c:v>
                </c:pt>
                <c:pt idx="3">
                  <c:v>Мигранти</c:v>
                </c:pt>
                <c:pt idx="4">
                  <c:v>Психијатријске установе</c:v>
                </c:pt>
                <c:pt idx="5">
                  <c:v>Установе социјалне заштите</c:v>
                </c:pt>
              </c:strCache>
            </c:strRef>
          </c:cat>
          <c:val>
            <c:numRef>
              <c:f>'[Chart in Microsoft Word]Preporuke i z.inicijative'!$B$9:$B$14</c:f>
              <c:numCache>
                <c:formatCode>General</c:formatCode>
                <c:ptCount val="6"/>
                <c:pt idx="0">
                  <c:v>156</c:v>
                </c:pt>
                <c:pt idx="1">
                  <c:v>62</c:v>
                </c:pt>
                <c:pt idx="2">
                  <c:v>13</c:v>
                </c:pt>
                <c:pt idx="3">
                  <c:v>7</c:v>
                </c:pt>
                <c:pt idx="4">
                  <c:v>3</c:v>
                </c:pt>
                <c:pt idx="5">
                  <c:v>1</c:v>
                </c:pt>
              </c:numCache>
            </c:numRef>
          </c:val>
          <c:extLst>
            <c:ext xmlns:c16="http://schemas.microsoft.com/office/drawing/2014/chart" uri="{C3380CC4-5D6E-409C-BE32-E72D297353CC}">
              <c16:uniqueId val="{0000000C-FAD1-40AC-92AB-4AEC471CE26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0.72334</cdr:x>
      <cdr:y>0.27104</cdr:y>
    </cdr:from>
    <cdr:to>
      <cdr:x>0.9605</cdr:x>
      <cdr:y>0.32062</cdr:y>
    </cdr:to>
    <cdr:sp macro="" textlink="">
      <cdr:nvSpPr>
        <cdr:cNvPr id="2" name="Text Box 1"/>
        <cdr:cNvSpPr txBox="1"/>
      </cdr:nvSpPr>
      <cdr:spPr>
        <a:xfrm xmlns:a="http://schemas.openxmlformats.org/drawingml/2006/main">
          <a:off x="4209691" y="707366"/>
          <a:ext cx="1380226" cy="1293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0.7189</cdr:x>
      <cdr:y>0.26112</cdr:y>
    </cdr:from>
    <cdr:to>
      <cdr:x>0.99163</cdr:x>
      <cdr:y>0.78006</cdr:y>
    </cdr:to>
    <cdr:sp macro="" textlink="">
      <cdr:nvSpPr>
        <cdr:cNvPr id="5" name="Text Box 4"/>
        <cdr:cNvSpPr txBox="1"/>
      </cdr:nvSpPr>
      <cdr:spPr>
        <a:xfrm xmlns:a="http://schemas.openxmlformats.org/drawingml/2006/main">
          <a:off x="4183811" y="681486"/>
          <a:ext cx="1587261" cy="1354348"/>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0.72334</cdr:x>
      <cdr:y>0.25782</cdr:y>
    </cdr:from>
    <cdr:to>
      <cdr:x>0.8938</cdr:x>
      <cdr:y>0.32392</cdr:y>
    </cdr:to>
    <cdr:sp macro="" textlink="">
      <cdr:nvSpPr>
        <cdr:cNvPr id="6" name="Text Box 5"/>
        <cdr:cNvSpPr txBox="1"/>
      </cdr:nvSpPr>
      <cdr:spPr>
        <a:xfrm xmlns:a="http://schemas.openxmlformats.org/drawingml/2006/main">
          <a:off x="4209691" y="672860"/>
          <a:ext cx="992037" cy="1725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0.68925</cdr:x>
      <cdr:y>0.21485</cdr:y>
    </cdr:from>
    <cdr:to>
      <cdr:x>0.99015</cdr:x>
      <cdr:y>0.80981</cdr:y>
    </cdr:to>
    <cdr:sp macro="" textlink="">
      <cdr:nvSpPr>
        <cdr:cNvPr id="8" name="Text Box 7"/>
        <cdr:cNvSpPr txBox="1"/>
      </cdr:nvSpPr>
      <cdr:spPr>
        <a:xfrm xmlns:a="http://schemas.openxmlformats.org/drawingml/2006/main">
          <a:off x="4011284" y="560717"/>
          <a:ext cx="1751162" cy="1552754"/>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US" sz="900"/>
            <a:t>Administration departments</a:t>
          </a:r>
        </a:p>
        <a:p xmlns:a="http://schemas.openxmlformats.org/drawingml/2006/main">
          <a:endParaRPr lang="en-US" sz="500"/>
        </a:p>
        <a:p xmlns:a="http://schemas.openxmlformats.org/drawingml/2006/main">
          <a:r>
            <a:rPr lang="en-US" sz="900"/>
            <a:t>Child rights</a:t>
          </a:r>
        </a:p>
        <a:p xmlns:a="http://schemas.openxmlformats.org/drawingml/2006/main">
          <a:endParaRPr lang="en-US" sz="500"/>
        </a:p>
        <a:p xmlns:a="http://schemas.openxmlformats.org/drawingml/2006/main">
          <a:r>
            <a:rPr lang="en-US" sz="900"/>
            <a:t>Gender equality</a:t>
          </a:r>
        </a:p>
        <a:p xmlns:a="http://schemas.openxmlformats.org/drawingml/2006/main">
          <a:endParaRPr lang="en-US" sz="500"/>
        </a:p>
        <a:p xmlns:a="http://schemas.openxmlformats.org/drawingml/2006/main">
          <a:r>
            <a:rPr lang="en-US" sz="900"/>
            <a:t>Persons deprived of liberty</a:t>
          </a:r>
        </a:p>
        <a:p xmlns:a="http://schemas.openxmlformats.org/drawingml/2006/main">
          <a:endParaRPr lang="en-US" sz="500"/>
        </a:p>
        <a:p xmlns:a="http://schemas.openxmlformats.org/drawingml/2006/main">
          <a:r>
            <a:rPr lang="en-US" sz="900"/>
            <a:t>Disabled persons</a:t>
          </a:r>
        </a:p>
        <a:p xmlns:a="http://schemas.openxmlformats.org/drawingml/2006/main">
          <a:endParaRPr lang="en-US" sz="500"/>
        </a:p>
        <a:p xmlns:a="http://schemas.openxmlformats.org/drawingml/2006/main">
          <a:r>
            <a:rPr lang="en-US" sz="900"/>
            <a:t>National minorities</a:t>
          </a:r>
        </a:p>
        <a:p xmlns:a="http://schemas.openxmlformats.org/drawingml/2006/main">
          <a:endParaRPr lang="en-US" sz="900"/>
        </a:p>
        <a:p xmlns:a="http://schemas.openxmlformats.org/drawingml/2006/main">
          <a:endParaRPr 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46AD5-18D0-45EC-A006-E1989D2F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69848</Words>
  <Characters>377183</Characters>
  <Application>Microsoft Office Word</Application>
  <DocSecurity>0</DocSecurity>
  <Lines>7116</Lines>
  <Paragraphs>2328</Paragraphs>
  <ScaleCrop>false</ScaleCrop>
  <HeadingPairs>
    <vt:vector size="2" baseType="variant">
      <vt:variant>
        <vt:lpstr>Title</vt:lpstr>
      </vt:variant>
      <vt:variant>
        <vt:i4>1</vt:i4>
      </vt:variant>
    </vt:vector>
  </HeadingPairs>
  <TitlesOfParts>
    <vt:vector size="1" baseType="lpstr">
      <vt:lpstr>НАСЛОВНА + САДРЖАЈ + ТАБЕЛА ГРАФИКОНА + ТАБЕЛА</vt:lpstr>
    </vt:vector>
  </TitlesOfParts>
  <Company/>
  <LinksUpToDate>false</LinksUpToDate>
  <CharactersWithSpaces>444703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НАСЛОВНА + САДРЖАЈ + ТАБЕЛА ГРАФИКОНА + ТАБЕЛА</dc:title>
  <dc:subject/>
  <dc:creator/>
  <cp:keywords/>
  <dc:description/>
  <cp:lastModifiedBy/>
  <cp:revision>1</cp:revision>
  <dcterms:created xsi:type="dcterms:W3CDTF">2024-04-15T09:43:00Z</dcterms:created>
  <dcterms:modified xsi:type="dcterms:W3CDTF">2024-04-15T09:43:00Z</dcterms:modified>
</cp:coreProperties>
</file>