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8460" w14:textId="4A6962DF" w:rsidR="000D610C" w:rsidRPr="00B25C35" w:rsidRDefault="000D610C" w:rsidP="00004E49">
      <w:pPr>
        <w:jc w:val="both"/>
        <w:rPr>
          <w:rFonts w:ascii="Book Antiqua" w:hAnsi="Book Antiqua" w:cs="Arial"/>
          <w:sz w:val="22"/>
          <w:szCs w:val="22"/>
          <w:lang w:val="sr-Cyrl-RS"/>
        </w:rPr>
      </w:pPr>
      <w:r w:rsidRPr="00B25C35">
        <w:rPr>
          <w:rFonts w:ascii="Book Antiqua" w:hAnsi="Book Antiqua" w:cs="Arial"/>
          <w:sz w:val="22"/>
          <w:szCs w:val="22"/>
          <w:lang w:val="sr-Cyrl-RS"/>
        </w:rPr>
        <w:t xml:space="preserve">На основу члана 37. став 3. Закона о Заштитнику грађана („Сл. гласник РС“, бр. 105/2021), поступајући по притужби </w:t>
      </w:r>
      <w:r w:rsidR="00A64E53">
        <w:rPr>
          <w:rFonts w:ascii="Book Antiqua" w:hAnsi="Book Antiqua" w:cs="Arial"/>
          <w:sz w:val="22"/>
          <w:szCs w:val="22"/>
          <w:lang w:val="sr-Cyrl-RS"/>
        </w:rPr>
        <w:t>АА</w:t>
      </w:r>
      <w:r w:rsidRPr="00B25C35">
        <w:rPr>
          <w:rFonts w:ascii="Book Antiqua" w:hAnsi="Book Antiqua" w:cs="Arial"/>
          <w:sz w:val="22"/>
          <w:szCs w:val="22"/>
          <w:lang w:val="sr-Cyrl-RS"/>
        </w:rPr>
        <w:t>, Заштитник грађана сачињава следећи</w:t>
      </w:r>
    </w:p>
    <w:p w14:paraId="57610268" w14:textId="77777777" w:rsidR="000D610C" w:rsidRPr="00B25C35" w:rsidRDefault="000D610C" w:rsidP="00004E49">
      <w:pPr>
        <w:jc w:val="both"/>
        <w:rPr>
          <w:rFonts w:ascii="Book Antiqua" w:hAnsi="Book Antiqua" w:cs="Arial"/>
          <w:sz w:val="22"/>
          <w:szCs w:val="22"/>
          <w:lang w:val="sr-Cyrl-RS"/>
        </w:rPr>
      </w:pPr>
    </w:p>
    <w:p w14:paraId="3FA63E13" w14:textId="77777777" w:rsidR="00004E49" w:rsidRPr="00B25C35" w:rsidRDefault="00004E49" w:rsidP="00004E49">
      <w:pPr>
        <w:jc w:val="center"/>
        <w:rPr>
          <w:rFonts w:ascii="Book Antiqua" w:hAnsi="Book Antiqua" w:cs="Arial"/>
          <w:b/>
          <w:sz w:val="22"/>
          <w:szCs w:val="22"/>
          <w:lang w:val="sr-Cyrl-RS"/>
        </w:rPr>
      </w:pPr>
    </w:p>
    <w:p w14:paraId="67A84720" w14:textId="77777777" w:rsidR="000D610C" w:rsidRPr="00B25C35" w:rsidRDefault="000D610C" w:rsidP="00004E49">
      <w:pPr>
        <w:jc w:val="center"/>
        <w:rPr>
          <w:rFonts w:ascii="Book Antiqua" w:hAnsi="Book Antiqua" w:cs="Arial"/>
          <w:b/>
          <w:sz w:val="22"/>
          <w:szCs w:val="22"/>
          <w:lang w:val="sr-Cyrl-RS"/>
        </w:rPr>
      </w:pPr>
      <w:r w:rsidRPr="00B25C35">
        <w:rPr>
          <w:rFonts w:ascii="Book Antiqua" w:hAnsi="Book Antiqua" w:cs="Arial"/>
          <w:b/>
          <w:sz w:val="22"/>
          <w:szCs w:val="22"/>
          <w:lang w:val="sr-Cyrl-RS"/>
        </w:rPr>
        <w:t>ИЗВЕШТАЈ ЗАШТИТНИКА ГРАЂАНА НАКОН СПРОВЕДЕНОГ ИСПИТНОГ ПОСТУПКА СА ПРЕПОРУКАМА</w:t>
      </w:r>
    </w:p>
    <w:p w14:paraId="3DBD89DD" w14:textId="77777777" w:rsidR="00412B9A" w:rsidRPr="00B25C35" w:rsidRDefault="00412B9A" w:rsidP="00004E49">
      <w:pPr>
        <w:jc w:val="center"/>
        <w:rPr>
          <w:rFonts w:ascii="Book Antiqua" w:hAnsi="Book Antiqua" w:cs="Arial"/>
          <w:b/>
          <w:sz w:val="22"/>
          <w:szCs w:val="22"/>
          <w:lang w:val="sr-Cyrl-RS"/>
        </w:rPr>
      </w:pPr>
    </w:p>
    <w:p w14:paraId="2B5ECB10" w14:textId="77777777" w:rsidR="00004E49" w:rsidRPr="00B25C35" w:rsidRDefault="00004E49" w:rsidP="00004E49">
      <w:pPr>
        <w:jc w:val="center"/>
        <w:rPr>
          <w:rFonts w:ascii="Book Antiqua" w:hAnsi="Book Antiqua" w:cs="Arial"/>
          <w:b/>
          <w:sz w:val="22"/>
          <w:szCs w:val="22"/>
          <w:lang w:val="sr-Cyrl-RS"/>
        </w:rPr>
      </w:pPr>
    </w:p>
    <w:p w14:paraId="6EA0EE3D" w14:textId="6B67AC56" w:rsidR="000D610C" w:rsidRPr="00B25C35" w:rsidRDefault="000D610C" w:rsidP="00004E49">
      <w:pPr>
        <w:spacing w:after="120"/>
        <w:jc w:val="both"/>
        <w:rPr>
          <w:rFonts w:ascii="Book Antiqua" w:hAnsi="Book Antiqua"/>
          <w:sz w:val="22"/>
          <w:szCs w:val="22"/>
          <w:lang w:val="sr-Cyrl-RS"/>
        </w:rPr>
      </w:pPr>
      <w:r w:rsidRPr="00B25C35">
        <w:rPr>
          <w:rFonts w:ascii="Book Antiqua" w:hAnsi="Book Antiqua"/>
          <w:sz w:val="22"/>
          <w:szCs w:val="22"/>
          <w:lang w:val="sr-Cyrl-RS"/>
        </w:rPr>
        <w:t xml:space="preserve">Заштитник </w:t>
      </w:r>
      <w:r w:rsidR="001D1879" w:rsidRPr="00B25C35">
        <w:rPr>
          <w:rFonts w:ascii="Book Antiqua" w:hAnsi="Book Antiqua"/>
          <w:sz w:val="22"/>
          <w:szCs w:val="22"/>
          <w:lang w:val="sr-Cyrl-RS"/>
        </w:rPr>
        <w:t xml:space="preserve">грађана је поводом притужбе </w:t>
      </w:r>
      <w:r w:rsidR="00A64E53">
        <w:rPr>
          <w:rFonts w:ascii="Book Antiqua" w:hAnsi="Book Antiqua"/>
          <w:sz w:val="22"/>
          <w:szCs w:val="22"/>
          <w:lang w:val="sr-Cyrl-RS"/>
        </w:rPr>
        <w:t>АА</w:t>
      </w:r>
      <w:r w:rsidRPr="00B25C35">
        <w:rPr>
          <w:rFonts w:ascii="Book Antiqua" w:hAnsi="Book Antiqua"/>
          <w:sz w:val="22"/>
          <w:szCs w:val="22"/>
          <w:lang w:val="sr-Cyrl-RS"/>
        </w:rPr>
        <w:t>, покренуо испитни поступак контроле законитости и правилности рада Министарства за рад, запошљавање, борачка и социјална питања, Министарства за бригу о породици демографију и Градске управе града Суботица, а у току поступка извршен је и непосредни надзор над радом органа.</w:t>
      </w:r>
    </w:p>
    <w:p w14:paraId="2EE09AAA" w14:textId="4D8588F6" w:rsidR="000D610C" w:rsidRPr="00B25C35" w:rsidRDefault="00A37B6C" w:rsidP="00004E49">
      <w:pPr>
        <w:spacing w:after="120"/>
        <w:jc w:val="both"/>
        <w:rPr>
          <w:rFonts w:ascii="Book Antiqua" w:hAnsi="Book Antiqua"/>
          <w:sz w:val="22"/>
          <w:szCs w:val="22"/>
          <w:lang w:val="sr-Cyrl-RS"/>
        </w:rPr>
      </w:pPr>
      <w:r>
        <w:rPr>
          <w:rFonts w:ascii="Book Antiqua" w:hAnsi="Book Antiqua"/>
          <w:sz w:val="22"/>
          <w:szCs w:val="22"/>
          <w:lang w:val="sr-Cyrl-RS"/>
        </w:rPr>
        <w:t xml:space="preserve">У својој притужби </w:t>
      </w:r>
      <w:r w:rsidR="00A64E53">
        <w:rPr>
          <w:rFonts w:ascii="Book Antiqua" w:hAnsi="Book Antiqua"/>
          <w:sz w:val="22"/>
          <w:szCs w:val="22"/>
          <w:lang w:val="sr-Cyrl-RS"/>
        </w:rPr>
        <w:t>АА</w:t>
      </w:r>
      <w:r w:rsidR="000D610C" w:rsidRPr="00B25C35">
        <w:rPr>
          <w:rFonts w:ascii="Book Antiqua" w:hAnsi="Book Antiqua"/>
          <w:sz w:val="22"/>
          <w:szCs w:val="22"/>
          <w:lang w:val="sr-Cyrl-RS"/>
        </w:rPr>
        <w:t xml:space="preserve"> је навела да већ четири месеца не добија родитељски додатак за 3. дете, иако јој је решењем Градске управе града Суботице ово право признато у октобру 2024. године.</w:t>
      </w:r>
    </w:p>
    <w:p w14:paraId="799A3303" w14:textId="77777777" w:rsidR="000D610C" w:rsidRPr="00B25C35" w:rsidRDefault="000D610C" w:rsidP="00004E49">
      <w:pPr>
        <w:spacing w:after="120"/>
        <w:jc w:val="both"/>
        <w:rPr>
          <w:rFonts w:ascii="Book Antiqua" w:hAnsi="Book Antiqua"/>
          <w:sz w:val="22"/>
          <w:szCs w:val="22"/>
          <w:lang w:val="sr-Cyrl-RS"/>
        </w:rPr>
      </w:pPr>
      <w:r w:rsidRPr="00B25C35">
        <w:rPr>
          <w:rFonts w:ascii="Book Antiqua" w:hAnsi="Book Antiqua"/>
          <w:sz w:val="22"/>
          <w:szCs w:val="22"/>
          <w:lang w:val="sr-Cyrl-RS"/>
        </w:rPr>
        <w:t>На основу изјашњења органа, резултата извршеног непосредног надзора и увида у достављену документацију, Заштитник грађана утврдио је следеће:</w:t>
      </w:r>
    </w:p>
    <w:p w14:paraId="2BA3F054" w14:textId="643DF8B9" w:rsidR="000D610C" w:rsidRPr="00B25C35" w:rsidRDefault="000D610C" w:rsidP="00004E49">
      <w:pPr>
        <w:spacing w:after="120"/>
        <w:jc w:val="both"/>
        <w:rPr>
          <w:rFonts w:ascii="Book Antiqua" w:hAnsi="Book Antiqua"/>
          <w:sz w:val="22"/>
          <w:szCs w:val="22"/>
          <w:lang w:val="sr-Cyrl-RS"/>
        </w:rPr>
      </w:pPr>
      <w:r w:rsidRPr="00B25C35">
        <w:rPr>
          <w:rFonts w:ascii="Book Antiqua" w:hAnsi="Book Antiqua"/>
          <w:sz w:val="22"/>
          <w:szCs w:val="22"/>
          <w:lang w:val="sr-Cyrl-RS"/>
        </w:rPr>
        <w:t>-</w:t>
      </w:r>
      <w:r w:rsidR="00A64E53">
        <w:rPr>
          <w:rFonts w:ascii="Book Antiqua" w:hAnsi="Book Antiqua"/>
          <w:sz w:val="22"/>
          <w:szCs w:val="22"/>
          <w:lang w:val="sr-Cyrl-RS"/>
        </w:rPr>
        <w:t>АА</w:t>
      </w:r>
      <w:r w:rsidRPr="00B25C35">
        <w:rPr>
          <w:rFonts w:ascii="Book Antiqua" w:hAnsi="Book Antiqua"/>
          <w:sz w:val="22"/>
          <w:szCs w:val="22"/>
          <w:lang w:val="sr-Cyrl-RS"/>
        </w:rPr>
        <w:t xml:space="preserve"> признато је право на родитељски додатак за треће дете решењем Градске управе града Суботице од 24. 10. 2024. године, којим је предвиђена и динамика исплате износа који је предвиђен за ту врсту финансијске помоћи породици са децом.</w:t>
      </w:r>
    </w:p>
    <w:p w14:paraId="4B479245" w14:textId="77777777" w:rsidR="000D610C" w:rsidRPr="00B25C35" w:rsidRDefault="000D610C" w:rsidP="00004E49">
      <w:pPr>
        <w:spacing w:after="120"/>
        <w:jc w:val="both"/>
        <w:rPr>
          <w:rFonts w:ascii="Book Antiqua" w:hAnsi="Book Antiqua"/>
          <w:sz w:val="22"/>
          <w:szCs w:val="22"/>
          <w:lang w:val="sr-Cyrl-RS"/>
        </w:rPr>
      </w:pPr>
      <w:r w:rsidRPr="00B25C35">
        <w:rPr>
          <w:rFonts w:ascii="Book Antiqua" w:hAnsi="Book Antiqua"/>
          <w:sz w:val="22"/>
          <w:szCs w:val="22"/>
          <w:lang w:val="sr-Cyrl-RS"/>
        </w:rPr>
        <w:t>-Притужиљи је у новембру месецу 2025. године уплаћен износ који је представљао збир три врсте финансијске помоћи породици са децом (родитељски додатак, паушал за набавку дечије опреме и једнократну помоћ за рођење трећег детета).</w:t>
      </w:r>
    </w:p>
    <w:p w14:paraId="13C32D0C" w14:textId="77777777" w:rsidR="000D610C" w:rsidRPr="00B25C35" w:rsidRDefault="000D610C" w:rsidP="00004E49">
      <w:pPr>
        <w:spacing w:after="120"/>
        <w:jc w:val="both"/>
        <w:rPr>
          <w:rFonts w:ascii="Book Antiqua" w:hAnsi="Book Antiqua"/>
          <w:sz w:val="22"/>
          <w:szCs w:val="22"/>
          <w:lang w:val="sr-Cyrl-RS"/>
        </w:rPr>
      </w:pPr>
      <w:r w:rsidRPr="00B25C35">
        <w:rPr>
          <w:rFonts w:ascii="Book Antiqua" w:hAnsi="Book Antiqua"/>
          <w:sz w:val="22"/>
          <w:szCs w:val="22"/>
          <w:lang w:val="sr-Cyrl-RS"/>
        </w:rPr>
        <w:t>-Законом о изменама и допунама Закона о финансијској подршци породици са децом, који је ступио на снагу 1. новембра 2024. године, утврђени су нови износи родитељског додатка, паушала за набавку дечије опреме и износа једнократне помоћи за рођење трећег детета.</w:t>
      </w:r>
    </w:p>
    <w:p w14:paraId="41A3DFE1" w14:textId="77777777" w:rsidR="000D610C" w:rsidRPr="00B25C35" w:rsidRDefault="000D610C" w:rsidP="00004E49">
      <w:pPr>
        <w:spacing w:after="120"/>
        <w:jc w:val="both"/>
        <w:rPr>
          <w:rFonts w:ascii="Book Antiqua" w:hAnsi="Book Antiqua"/>
          <w:sz w:val="22"/>
          <w:szCs w:val="22"/>
          <w:lang w:val="sr-Cyrl-RS"/>
        </w:rPr>
      </w:pPr>
      <w:r w:rsidRPr="00B25C35">
        <w:rPr>
          <w:rFonts w:ascii="Book Antiqua" w:hAnsi="Book Antiqua"/>
          <w:sz w:val="22"/>
          <w:szCs w:val="22"/>
          <w:lang w:val="sr-Cyrl-RS"/>
        </w:rPr>
        <w:t>-Усклађивање и исплата разлике у односу на износе који су исплаћени у новембру месецу 2024. године извршена је у децембру 2024. г</w:t>
      </w:r>
      <w:r w:rsidR="009F1C24" w:rsidRPr="00B25C35">
        <w:rPr>
          <w:rFonts w:ascii="Book Antiqua" w:hAnsi="Book Antiqua"/>
          <w:sz w:val="22"/>
          <w:szCs w:val="22"/>
          <w:lang w:val="sr-Cyrl-RS"/>
        </w:rPr>
        <w:t>одине,</w:t>
      </w:r>
      <w:r w:rsidRPr="00B25C35">
        <w:rPr>
          <w:rFonts w:ascii="Book Antiqua" w:hAnsi="Book Antiqua"/>
          <w:sz w:val="22"/>
          <w:szCs w:val="22"/>
          <w:lang w:val="sr-Cyrl-RS"/>
        </w:rPr>
        <w:t xml:space="preserve"> тако да је и притужиљи требало исплатити разлику у односу на све исплаћене износе финансијске помоћи за треће дете.</w:t>
      </w:r>
    </w:p>
    <w:p w14:paraId="46D08F42" w14:textId="77777777" w:rsidR="000D610C" w:rsidRPr="00B25C35" w:rsidRDefault="000D610C" w:rsidP="00004E49">
      <w:pPr>
        <w:spacing w:after="120"/>
        <w:jc w:val="both"/>
        <w:rPr>
          <w:rFonts w:ascii="Book Antiqua" w:hAnsi="Book Antiqua"/>
          <w:sz w:val="22"/>
          <w:szCs w:val="22"/>
          <w:lang w:val="sr-Cyrl-RS"/>
        </w:rPr>
      </w:pPr>
      <w:r w:rsidRPr="00B25C35">
        <w:rPr>
          <w:rFonts w:ascii="Book Antiqua" w:hAnsi="Book Antiqua"/>
          <w:sz w:val="22"/>
          <w:szCs w:val="22"/>
          <w:lang w:val="sr-Cyrl-RS"/>
        </w:rPr>
        <w:t xml:space="preserve">-проблем у случају притужиље настао </w:t>
      </w:r>
      <w:r w:rsidR="00806313" w:rsidRPr="00B25C35">
        <w:rPr>
          <w:rFonts w:ascii="Book Antiqua" w:hAnsi="Book Antiqua"/>
          <w:sz w:val="22"/>
          <w:szCs w:val="22"/>
          <w:lang w:val="sr-Cyrl-RS"/>
        </w:rPr>
        <w:t xml:space="preserve">је </w:t>
      </w:r>
      <w:r w:rsidRPr="00B25C35">
        <w:rPr>
          <w:rFonts w:ascii="Book Antiqua" w:hAnsi="Book Antiqua"/>
          <w:sz w:val="22"/>
          <w:szCs w:val="22"/>
          <w:lang w:val="sr-Cyrl-RS"/>
        </w:rPr>
        <w:t>када јој је почетком децембра месеца 2024. године на рачун упла</w:t>
      </w:r>
      <w:r w:rsidR="009F1C24" w:rsidRPr="00B25C35">
        <w:rPr>
          <w:rFonts w:ascii="Book Antiqua" w:hAnsi="Book Antiqua"/>
          <w:sz w:val="22"/>
          <w:szCs w:val="22"/>
          <w:lang w:val="sr-Cyrl-RS"/>
        </w:rPr>
        <w:t>ћен већи износ, уместо износа к</w:t>
      </w:r>
      <w:r w:rsidRPr="00B25C35">
        <w:rPr>
          <w:rFonts w:ascii="Book Antiqua" w:hAnsi="Book Antiqua"/>
          <w:sz w:val="22"/>
          <w:szCs w:val="22"/>
          <w:lang w:val="sr-Cyrl-RS"/>
        </w:rPr>
        <w:t>оји представља нивелацију износа за све три врсте помоћи, који јој је исплаћен у новембру месецу 2024. године.</w:t>
      </w:r>
    </w:p>
    <w:p w14:paraId="4A14AC9F" w14:textId="77777777" w:rsidR="009F1C24" w:rsidRPr="00A37B6C" w:rsidRDefault="009F1C24" w:rsidP="00004E49">
      <w:pPr>
        <w:spacing w:after="120"/>
        <w:jc w:val="both"/>
        <w:rPr>
          <w:rFonts w:ascii="Book Antiqua" w:hAnsi="Book Antiqua" w:cs="Arial"/>
          <w:sz w:val="22"/>
          <w:szCs w:val="22"/>
          <w:lang w:val="en-US"/>
        </w:rPr>
      </w:pPr>
      <w:r w:rsidRPr="00B25C35">
        <w:rPr>
          <w:rFonts w:ascii="Book Antiqua" w:hAnsi="Book Antiqua" w:cs="Arial"/>
          <w:sz w:val="22"/>
          <w:szCs w:val="22"/>
          <w:lang w:val="sr-Cyrl-RS"/>
        </w:rPr>
        <w:t>-На основу дугогодишње праксе рада у Министарству</w:t>
      </w:r>
      <w:r w:rsidR="00A37B6C">
        <w:rPr>
          <w:rFonts w:ascii="Book Antiqua" w:hAnsi="Book Antiqua" w:cs="Arial"/>
          <w:sz w:val="22"/>
          <w:szCs w:val="22"/>
          <w:lang w:val="en-US"/>
        </w:rPr>
        <w:t xml:space="preserve"> </w:t>
      </w:r>
      <w:r w:rsidR="00A37B6C" w:rsidRPr="00B25C35">
        <w:rPr>
          <w:rFonts w:ascii="Book Antiqua" w:hAnsi="Book Antiqua"/>
          <w:sz w:val="22"/>
          <w:szCs w:val="22"/>
          <w:lang w:val="sr-Cyrl-RS"/>
        </w:rPr>
        <w:t>за рад, запошљавање, борачка и социјална питања</w:t>
      </w:r>
      <w:r w:rsidRPr="00B25C35">
        <w:rPr>
          <w:rFonts w:ascii="Book Antiqua" w:hAnsi="Book Antiqua" w:cs="Arial"/>
          <w:sz w:val="22"/>
          <w:szCs w:val="22"/>
          <w:lang w:val="sr-Cyrl-RS"/>
        </w:rPr>
        <w:t xml:space="preserve"> и поступања у сличним случајевима, када је утврђена грешка, притужиљи се аутоматски износ преко утврђеног до уплаћеног износа, рачунао као вишак и одбијен је од </w:t>
      </w:r>
      <w:r w:rsidRPr="00B25C35">
        <w:rPr>
          <w:rFonts w:ascii="Book Antiqua" w:hAnsi="Book Antiqua" w:cs="Arial"/>
          <w:sz w:val="22"/>
          <w:szCs w:val="22"/>
          <w:lang w:val="sr-Cyrl-RS"/>
        </w:rPr>
        <w:lastRenderedPageBreak/>
        <w:t>преосталог дела родитељског додатка који би притужиљи требало да буде исплаћен, тако да је исплата месечних рата на име родитељског додатка обустављена до намирења вишка износа који је уплаћен у децембру месецу 2024. године.</w:t>
      </w:r>
      <w:r w:rsidR="00A37B6C">
        <w:rPr>
          <w:rFonts w:ascii="Book Antiqua" w:hAnsi="Book Antiqua" w:cs="Arial"/>
          <w:sz w:val="22"/>
          <w:szCs w:val="22"/>
          <w:lang w:val="en-US"/>
        </w:rPr>
        <w:t xml:space="preserve"> </w:t>
      </w:r>
    </w:p>
    <w:p w14:paraId="162F1AD8" w14:textId="77777777" w:rsidR="009F1C24" w:rsidRPr="00B25C35" w:rsidRDefault="009F1C24"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-Када притужиља није добила износ родитељског додатка за месец јануар 2025. године, затражила је објашњење од Градске управе града Суботице.</w:t>
      </w:r>
    </w:p>
    <w:p w14:paraId="28258419" w14:textId="77777777" w:rsidR="009F1C24" w:rsidRPr="00B25C35" w:rsidRDefault="009F1C24"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-Представница Градске управе града Суботице је контактирала Министарство за рад, запошљавање, борачка и социјална питања и када је утврдила о чему је реч, упознала је притужиљу са свим чињеницама релевантним за њен случај и објаснила због чега јој у наредном периоду неће бити уплаћиване предвиђене месечне рате на име родитељског додатка.</w:t>
      </w:r>
    </w:p>
    <w:p w14:paraId="42496C54" w14:textId="77777777" w:rsidR="009F1C24" w:rsidRPr="00B25C35" w:rsidRDefault="009F1C24"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-Притужиља није желела да прихвати разлоге због којих јој се родитељски додатак неће исплаћивати у наредних неколико месеци према унапред одређеној динамици и захтевала је да јој се износи родитељског додатка и даље уплаћују, јер она није крива за грешку која је учињена, због чега сматра да не треба да враћа вишак који јој је уплаћен.</w:t>
      </w:r>
    </w:p>
    <w:p w14:paraId="15CDA3AA" w14:textId="77777777" w:rsidR="009F1C24" w:rsidRPr="00B25C35" w:rsidRDefault="009F1C24"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-Притужиља је од стране Градске управе упућена да се обрати Омбудсману града Суботице, обезбеђен јој је и преводилац јер слабије говори српски, али исход свих разговора који су обављани са њом је њено обраћање новим институцијама и неприхватање чињенице да је добила знатно већи износ од оног који јој припада, због чега ће у неколико наредних месеци исплата родитељског бити обустављена.</w:t>
      </w:r>
    </w:p>
    <w:p w14:paraId="0D0C7FBC" w14:textId="77777777" w:rsidR="009F1C24" w:rsidRPr="00B25C35" w:rsidRDefault="009F1C24"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-О обустави исплате родитељског додатка притужи</w:t>
      </w:r>
      <w:r w:rsidR="00E17050" w:rsidRPr="00B25C35">
        <w:rPr>
          <w:rFonts w:ascii="Book Antiqua" w:hAnsi="Book Antiqua" w:cs="Arial"/>
          <w:sz w:val="22"/>
          <w:szCs w:val="22"/>
          <w:lang w:val="sr-Cyrl-RS"/>
        </w:rPr>
        <w:t>љ</w:t>
      </w:r>
      <w:r w:rsidRPr="00B25C35">
        <w:rPr>
          <w:rFonts w:ascii="Book Antiqua" w:hAnsi="Book Antiqua" w:cs="Arial"/>
          <w:sz w:val="22"/>
          <w:szCs w:val="22"/>
          <w:lang w:val="sr-Cyrl-RS"/>
        </w:rPr>
        <w:t>а није добила одлуку којом је утврђен</w:t>
      </w:r>
      <w:r w:rsidR="00E17050" w:rsidRPr="00B25C35">
        <w:rPr>
          <w:rFonts w:ascii="Book Antiqua" w:hAnsi="Book Antiqua" w:cs="Arial"/>
          <w:sz w:val="22"/>
          <w:szCs w:val="22"/>
          <w:lang w:val="sr-Cyrl-RS"/>
        </w:rPr>
        <w:t xml:space="preserve"> </w:t>
      </w:r>
      <w:r w:rsidRPr="00B25C35">
        <w:rPr>
          <w:rFonts w:ascii="Book Antiqua" w:hAnsi="Book Antiqua" w:cs="Arial"/>
          <w:sz w:val="22"/>
          <w:szCs w:val="22"/>
          <w:lang w:val="sr-Cyrl-RS"/>
        </w:rPr>
        <w:t>правни основ обуставе, износ који се обуставом исплате намирује, начин</w:t>
      </w:r>
      <w:r w:rsidR="00E17050" w:rsidRPr="00B25C35">
        <w:rPr>
          <w:rFonts w:ascii="Book Antiqua" w:hAnsi="Book Antiqua" w:cs="Arial"/>
          <w:sz w:val="22"/>
          <w:szCs w:val="22"/>
          <w:lang w:val="sr-Cyrl-RS"/>
        </w:rPr>
        <w:t xml:space="preserve"> </w:t>
      </w:r>
      <w:r w:rsidRPr="00B25C35">
        <w:rPr>
          <w:rFonts w:ascii="Book Antiqua" w:hAnsi="Book Antiqua" w:cs="Arial"/>
          <w:sz w:val="22"/>
          <w:szCs w:val="22"/>
          <w:lang w:val="sr-Cyrl-RS"/>
        </w:rPr>
        <w:t>његовог обрачуна и динамика намирења.</w:t>
      </w:r>
    </w:p>
    <w:p w14:paraId="338D1402" w14:textId="77777777" w:rsidR="00E17050" w:rsidRPr="00B25C35" w:rsidRDefault="00E17050" w:rsidP="00004E49">
      <w:pPr>
        <w:spacing w:after="120"/>
        <w:jc w:val="both"/>
        <w:rPr>
          <w:rFonts w:ascii="Book Antiqua" w:hAnsi="Book Antiqua" w:cs="Arial"/>
          <w:sz w:val="22"/>
          <w:szCs w:val="22"/>
          <w:lang w:val="sr-Cyrl-RS"/>
        </w:rPr>
      </w:pPr>
    </w:p>
    <w:p w14:paraId="464559DB" w14:textId="77777777" w:rsidR="00EA47E6" w:rsidRPr="00B25C35" w:rsidRDefault="00EA47E6" w:rsidP="00004E49">
      <w:pPr>
        <w:spacing w:after="120"/>
        <w:jc w:val="both"/>
        <w:rPr>
          <w:rFonts w:ascii="Book Antiqua" w:hAnsi="Book Antiqua" w:cs="Arial"/>
          <w:sz w:val="22"/>
          <w:szCs w:val="22"/>
          <w:lang w:val="sr-Cyrl-RS"/>
        </w:rPr>
      </w:pPr>
    </w:p>
    <w:p w14:paraId="6D950B2F" w14:textId="77777777" w:rsidR="00E17050" w:rsidRPr="00B25C35" w:rsidRDefault="00E17050" w:rsidP="00004E49">
      <w:pPr>
        <w:spacing w:after="120"/>
        <w:jc w:val="center"/>
        <w:rPr>
          <w:rFonts w:ascii="Book Antiqua" w:hAnsi="Book Antiqua" w:cs="Arial"/>
          <w:sz w:val="22"/>
          <w:szCs w:val="22"/>
          <w:lang w:val="sr-Cyrl-RS"/>
        </w:rPr>
      </w:pPr>
      <w:r w:rsidRPr="00B25C35">
        <w:rPr>
          <w:rFonts w:ascii="Book Antiqua" w:hAnsi="Book Antiqua" w:cs="Arial"/>
          <w:sz w:val="22"/>
          <w:szCs w:val="22"/>
          <w:lang w:val="sr-Cyrl-RS"/>
        </w:rPr>
        <w:t>* * *</w:t>
      </w:r>
    </w:p>
    <w:p w14:paraId="09DB081B" w14:textId="77777777" w:rsidR="009F1C24" w:rsidRPr="00B25C35" w:rsidRDefault="009F1C24"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Ратификацијом Конвенције о правима детета</w:t>
      </w:r>
      <w:r w:rsidR="00E17050" w:rsidRPr="00B25C35">
        <w:rPr>
          <w:rStyle w:val="FootnoteReference"/>
          <w:rFonts w:ascii="Book Antiqua" w:hAnsi="Book Antiqua" w:cs="Arial"/>
          <w:sz w:val="22"/>
          <w:szCs w:val="22"/>
          <w:lang w:val="sr-Cyrl-RS"/>
        </w:rPr>
        <w:footnoteReference w:id="1"/>
      </w:r>
      <w:r w:rsidRPr="00B25C35">
        <w:rPr>
          <w:rFonts w:ascii="Book Antiqua" w:hAnsi="Book Antiqua" w:cs="Arial"/>
          <w:sz w:val="22"/>
          <w:szCs w:val="22"/>
          <w:lang w:val="sr-Cyrl-RS"/>
        </w:rPr>
        <w:t>, Република Србија обавезала се да предузима све одговарајуће законодавне, административне и остале мере за остваривање права детета признатих у овој конвенцији, користећи расположива средства, а где је то потребно, у оквиру међународне сарадње</w:t>
      </w:r>
      <w:r w:rsidR="00E17050" w:rsidRPr="00B25C35">
        <w:rPr>
          <w:rStyle w:val="FootnoteReference"/>
          <w:rFonts w:ascii="Book Antiqua" w:hAnsi="Book Antiqua" w:cs="Arial"/>
          <w:sz w:val="22"/>
          <w:szCs w:val="22"/>
          <w:lang w:val="sr-Cyrl-RS"/>
        </w:rPr>
        <w:footnoteReference w:id="2"/>
      </w:r>
      <w:r w:rsidRPr="00B25C35">
        <w:rPr>
          <w:rFonts w:ascii="Book Antiqua" w:hAnsi="Book Antiqua" w:cs="Arial"/>
          <w:sz w:val="22"/>
          <w:szCs w:val="22"/>
          <w:lang w:val="sr-Cyrl-RS"/>
        </w:rPr>
        <w:t>. Ова обавеза обухвата обезбеђивање заштите и бриге за дете која је неопходна за дететову добробит</w:t>
      </w:r>
      <w:r w:rsidR="00E17050" w:rsidRPr="00B25C35">
        <w:rPr>
          <w:rStyle w:val="FootnoteReference"/>
          <w:rFonts w:ascii="Book Antiqua" w:hAnsi="Book Antiqua" w:cs="Arial"/>
          <w:sz w:val="22"/>
          <w:szCs w:val="22"/>
          <w:lang w:val="sr-Cyrl-RS"/>
        </w:rPr>
        <w:footnoteReference w:id="3"/>
      </w:r>
      <w:r w:rsidRPr="00B25C35">
        <w:rPr>
          <w:rFonts w:ascii="Book Antiqua" w:hAnsi="Book Antiqua" w:cs="Arial"/>
          <w:sz w:val="22"/>
          <w:szCs w:val="22"/>
          <w:lang w:val="sr-Cyrl-RS"/>
        </w:rPr>
        <w:t>; руковођење, као примарним принципом, најбољим интересима детета</w:t>
      </w:r>
      <w:r w:rsidR="00E17050" w:rsidRPr="00B25C35">
        <w:rPr>
          <w:rStyle w:val="FootnoteReference"/>
          <w:rFonts w:ascii="Book Antiqua" w:hAnsi="Book Antiqua" w:cs="Arial"/>
          <w:sz w:val="22"/>
          <w:szCs w:val="22"/>
          <w:lang w:val="sr-Cyrl-RS"/>
        </w:rPr>
        <w:footnoteReference w:id="4"/>
      </w:r>
      <w:r w:rsidRPr="00B25C35">
        <w:rPr>
          <w:rFonts w:ascii="Book Antiqua" w:hAnsi="Book Antiqua" w:cs="Arial"/>
          <w:sz w:val="22"/>
          <w:szCs w:val="22"/>
          <w:lang w:val="sr-Cyrl-RS"/>
        </w:rPr>
        <w:t>; пружање родитељима одговарајуће помоћи у обављању дужности неге и васпитања детета</w:t>
      </w:r>
      <w:r w:rsidR="00E17050" w:rsidRPr="00B25C35">
        <w:rPr>
          <w:rStyle w:val="FootnoteReference"/>
          <w:rFonts w:ascii="Book Antiqua" w:hAnsi="Book Antiqua" w:cs="Arial"/>
          <w:sz w:val="22"/>
          <w:szCs w:val="22"/>
          <w:lang w:val="sr-Cyrl-RS"/>
        </w:rPr>
        <w:footnoteReference w:id="5"/>
      </w:r>
      <w:r w:rsidRPr="00B25C35">
        <w:rPr>
          <w:rFonts w:ascii="Book Antiqua" w:hAnsi="Book Antiqua" w:cs="Arial"/>
          <w:sz w:val="22"/>
          <w:szCs w:val="22"/>
          <w:lang w:val="sr-Cyrl-RS"/>
        </w:rPr>
        <w:t>; предузимање мера за помоћ родитељима и другим лицима која се брину о детету ради остваривања права детета на животни стандард примерен физичком, менталном, духовном, моралном и друштвеном развоју д</w:t>
      </w:r>
      <w:r w:rsidR="00E17050" w:rsidRPr="00B25C35">
        <w:rPr>
          <w:rFonts w:ascii="Book Antiqua" w:hAnsi="Book Antiqua" w:cs="Arial"/>
          <w:sz w:val="22"/>
          <w:szCs w:val="22"/>
          <w:lang w:val="sr-Cyrl-RS"/>
        </w:rPr>
        <w:t>е</w:t>
      </w:r>
      <w:r w:rsidRPr="00B25C35">
        <w:rPr>
          <w:rFonts w:ascii="Book Antiqua" w:hAnsi="Book Antiqua" w:cs="Arial"/>
          <w:sz w:val="22"/>
          <w:szCs w:val="22"/>
          <w:lang w:val="sr-Cyrl-RS"/>
        </w:rPr>
        <w:t>тета</w:t>
      </w:r>
      <w:r w:rsidR="00E17050" w:rsidRPr="00B25C35">
        <w:rPr>
          <w:rStyle w:val="FootnoteReference"/>
          <w:rFonts w:ascii="Book Antiqua" w:hAnsi="Book Antiqua" w:cs="Arial"/>
          <w:sz w:val="22"/>
          <w:szCs w:val="22"/>
          <w:lang w:val="sr-Cyrl-RS"/>
        </w:rPr>
        <w:footnoteReference w:id="6"/>
      </w:r>
      <w:r w:rsidRPr="00B25C35">
        <w:rPr>
          <w:rFonts w:ascii="Book Antiqua" w:hAnsi="Book Antiqua" w:cs="Arial"/>
          <w:sz w:val="22"/>
          <w:szCs w:val="22"/>
          <w:lang w:val="sr-Cyrl-RS"/>
        </w:rPr>
        <w:t>.</w:t>
      </w:r>
    </w:p>
    <w:p w14:paraId="32D2BB5E" w14:textId="77777777" w:rsidR="009617D5" w:rsidRPr="00B25C35" w:rsidRDefault="00E17050" w:rsidP="00004E49">
      <w:pPr>
        <w:spacing w:after="120"/>
        <w:jc w:val="both"/>
        <w:rPr>
          <w:rFonts w:ascii="Book Antiqua" w:hAnsi="Book Antiqua"/>
          <w:sz w:val="22"/>
          <w:szCs w:val="22"/>
          <w:lang w:val="sr-Cyrl-RS"/>
        </w:rPr>
      </w:pPr>
      <w:r w:rsidRPr="00B25C35">
        <w:rPr>
          <w:rFonts w:ascii="Book Antiqua" w:hAnsi="Book Antiqua" w:cs="Arial"/>
          <w:sz w:val="22"/>
          <w:szCs w:val="22"/>
          <w:lang w:val="sr-Cyrl-RS"/>
        </w:rPr>
        <w:t>Закон о опш</w:t>
      </w:r>
      <w:r w:rsidR="009F1C24" w:rsidRPr="00B25C35">
        <w:rPr>
          <w:rFonts w:ascii="Book Antiqua" w:hAnsi="Book Antiqua" w:cs="Arial"/>
          <w:sz w:val="22"/>
          <w:szCs w:val="22"/>
          <w:lang w:val="sr-Cyrl-RS"/>
        </w:rPr>
        <w:t xml:space="preserve">тем управном поступку </w:t>
      </w:r>
      <w:r w:rsidR="00EA47E6" w:rsidRPr="00B25C35">
        <w:rPr>
          <w:rFonts w:ascii="Book Antiqua" w:hAnsi="Book Antiqua" w:cs="Arial"/>
          <w:sz w:val="22"/>
          <w:szCs w:val="22"/>
          <w:lang w:val="sr-Cyrl-RS"/>
        </w:rPr>
        <w:t>(</w:t>
      </w:r>
      <w:r w:rsidR="00EA47E6" w:rsidRPr="00B25C35">
        <w:rPr>
          <w:rFonts w:ascii="Book Antiqua" w:hAnsi="Book Antiqua"/>
          <w:sz w:val="22"/>
          <w:szCs w:val="22"/>
          <w:lang w:val="sr-Cyrl-RS"/>
        </w:rPr>
        <w:t>"Сл. гласник РС", бр. 18/2016, 95/2018 - аутентично тумачење и 2/2023 - одлука УС)</w:t>
      </w:r>
      <w:r w:rsidR="00EA47E6" w:rsidRPr="00B25C35">
        <w:rPr>
          <w:rFonts w:ascii="Book Antiqua" w:hAnsi="Book Antiqua" w:cs="Arial"/>
          <w:sz w:val="22"/>
          <w:szCs w:val="22"/>
          <w:lang w:val="sr-Cyrl-RS"/>
        </w:rPr>
        <w:t xml:space="preserve"> </w:t>
      </w:r>
      <w:r w:rsidR="009F1C24" w:rsidRPr="00B25C35">
        <w:rPr>
          <w:rFonts w:ascii="Book Antiqua" w:hAnsi="Book Antiqua" w:cs="Arial"/>
          <w:sz w:val="22"/>
          <w:szCs w:val="22"/>
          <w:lang w:val="sr-Cyrl-RS"/>
        </w:rPr>
        <w:t>прописује следеће: да органи који поступају у управним стварима решавају на основу закона, других прописа и општих аката (члан 5); да је орган дужан да странкама омогући да успешно и целовито остваре и заштите права и правне интересе и да се поступак води без одуговлачења и уз што мање трошкова по странку и другог</w:t>
      </w:r>
      <w:r w:rsidR="00EA47E6" w:rsidRPr="00B25C35">
        <w:rPr>
          <w:rFonts w:ascii="Book Antiqua" w:hAnsi="Book Antiqua" w:cs="Arial"/>
          <w:sz w:val="22"/>
          <w:szCs w:val="22"/>
          <w:lang w:val="sr-Cyrl-RS"/>
        </w:rPr>
        <w:t xml:space="preserve"> </w:t>
      </w:r>
      <w:r w:rsidR="009617D5" w:rsidRPr="00B25C35">
        <w:rPr>
          <w:rFonts w:ascii="Book Antiqua" w:hAnsi="Book Antiqua"/>
          <w:sz w:val="22"/>
          <w:szCs w:val="22"/>
          <w:lang w:val="sr-Cyrl-RS"/>
        </w:rPr>
        <w:t>учесника у поступку, али тако да се изведу сви докази по</w:t>
      </w:r>
      <w:r w:rsidR="00BB3CBB" w:rsidRPr="00B25C35">
        <w:rPr>
          <w:rFonts w:ascii="Book Antiqua" w:hAnsi="Book Antiqua"/>
          <w:sz w:val="22"/>
          <w:szCs w:val="22"/>
          <w:lang w:val="sr-Cyrl-RS"/>
        </w:rPr>
        <w:t>требни за правилно и потпуно ут</w:t>
      </w:r>
      <w:r w:rsidR="009617D5" w:rsidRPr="00B25C35">
        <w:rPr>
          <w:rFonts w:ascii="Book Antiqua" w:hAnsi="Book Antiqua"/>
          <w:sz w:val="22"/>
          <w:szCs w:val="22"/>
          <w:lang w:val="sr-Cyrl-RS"/>
        </w:rPr>
        <w:t>в</w:t>
      </w:r>
      <w:r w:rsidR="00BB3CBB" w:rsidRPr="00B25C35">
        <w:rPr>
          <w:rFonts w:ascii="Book Antiqua" w:hAnsi="Book Antiqua"/>
          <w:sz w:val="22"/>
          <w:szCs w:val="22"/>
          <w:lang w:val="sr-Cyrl-RS"/>
        </w:rPr>
        <w:t>рђ</w:t>
      </w:r>
      <w:r w:rsidR="009617D5" w:rsidRPr="00B25C35">
        <w:rPr>
          <w:rFonts w:ascii="Book Antiqua" w:hAnsi="Book Antiqua"/>
          <w:sz w:val="22"/>
          <w:szCs w:val="22"/>
          <w:lang w:val="sr-Cyrl-RS"/>
        </w:rPr>
        <w:t>ива</w:t>
      </w:r>
      <w:r w:rsidR="00BB3CBB" w:rsidRPr="00B25C35">
        <w:rPr>
          <w:rFonts w:ascii="Book Antiqua" w:hAnsi="Book Antiqua"/>
          <w:sz w:val="22"/>
          <w:szCs w:val="22"/>
          <w:lang w:val="sr-Cyrl-RS"/>
        </w:rPr>
        <w:t>њ</w:t>
      </w:r>
      <w:r w:rsidR="009617D5" w:rsidRPr="00B25C35">
        <w:rPr>
          <w:rFonts w:ascii="Book Antiqua" w:hAnsi="Book Antiqua"/>
          <w:sz w:val="22"/>
          <w:szCs w:val="22"/>
          <w:lang w:val="sr-Cyrl-RS"/>
        </w:rPr>
        <w:t>е чињеничног стања (члан 9.).</w:t>
      </w:r>
    </w:p>
    <w:p w14:paraId="596ACA88" w14:textId="77777777" w:rsidR="009617D5" w:rsidRPr="00B25C35" w:rsidRDefault="009617D5" w:rsidP="00004E49">
      <w:pPr>
        <w:spacing w:after="120"/>
        <w:jc w:val="both"/>
        <w:rPr>
          <w:rFonts w:ascii="Book Antiqua" w:hAnsi="Book Antiqua"/>
          <w:sz w:val="22"/>
          <w:szCs w:val="22"/>
          <w:lang w:val="sr-Cyrl-RS"/>
        </w:rPr>
      </w:pPr>
      <w:r w:rsidRPr="00B25C35">
        <w:rPr>
          <w:rFonts w:ascii="Book Antiqua" w:hAnsi="Book Antiqua"/>
          <w:sz w:val="22"/>
          <w:szCs w:val="22"/>
          <w:lang w:val="sr-Cyrl-RS"/>
        </w:rPr>
        <w:t>Ценећи поступање контролисаних органа из домена својих надлежности</w:t>
      </w:r>
      <w:r w:rsidR="004B4404" w:rsidRPr="00B25C35">
        <w:rPr>
          <w:rFonts w:ascii="Book Antiqua" w:hAnsi="Book Antiqua"/>
          <w:sz w:val="22"/>
          <w:szCs w:val="22"/>
          <w:lang w:val="sr-Cyrl-RS"/>
        </w:rPr>
        <w:t>,</w:t>
      </w:r>
      <w:r w:rsidRPr="00B25C35">
        <w:rPr>
          <w:rFonts w:ascii="Book Antiqua" w:hAnsi="Book Antiqua"/>
          <w:sz w:val="22"/>
          <w:szCs w:val="22"/>
          <w:lang w:val="sr-Cyrl-RS"/>
        </w:rPr>
        <w:t xml:space="preserve"> Заштитник грађана је утврдио да је Министарство за рад, запош</w:t>
      </w:r>
      <w:r w:rsidR="004B4404" w:rsidRPr="00B25C35">
        <w:rPr>
          <w:rFonts w:ascii="Book Antiqua" w:hAnsi="Book Antiqua"/>
          <w:sz w:val="22"/>
          <w:szCs w:val="22"/>
          <w:lang w:val="sr-Cyrl-RS"/>
        </w:rPr>
        <w:t>љавање борачка и социјална питањ</w:t>
      </w:r>
      <w:r w:rsidRPr="00B25C35">
        <w:rPr>
          <w:rFonts w:ascii="Book Antiqua" w:hAnsi="Book Antiqua"/>
          <w:sz w:val="22"/>
          <w:szCs w:val="22"/>
          <w:lang w:val="sr-Cyrl-RS"/>
        </w:rPr>
        <w:t xml:space="preserve">а направило </w:t>
      </w:r>
      <w:r w:rsidRPr="00B25C35">
        <w:rPr>
          <w:rFonts w:ascii="Book Antiqua" w:hAnsi="Book Antiqua"/>
          <w:sz w:val="22"/>
          <w:szCs w:val="22"/>
          <w:lang w:val="sr-Cyrl-RS"/>
        </w:rPr>
        <w:lastRenderedPageBreak/>
        <w:t>пропуст у свом раду на тај начин што одмах по сазнању да је притужиљи у децембру месецу 2024. године неосновано уплаћен већи новчани износ од припадајућег, није упутило обавештење притужиљи и Градској управи града Суботице о висини погрешно уплаћеног износа и начину повраћаја истог, а Градска управа града Суботице што одмах по добијању информација од Министарства за рад, запошљавање борачка и социјална питања није донела одговарајућу одлуку у вези са утврђеним чињеничним стањем и разлозима за привремену обуставу исплате месечних износа родитељског додатка.</w:t>
      </w:r>
    </w:p>
    <w:p w14:paraId="70E8A4E3" w14:textId="77777777" w:rsidR="009617D5" w:rsidRPr="00B25C35" w:rsidRDefault="009617D5" w:rsidP="00004E49">
      <w:pPr>
        <w:spacing w:after="120"/>
        <w:jc w:val="both"/>
        <w:rPr>
          <w:rFonts w:ascii="Book Antiqua" w:hAnsi="Book Antiqua"/>
          <w:sz w:val="22"/>
          <w:szCs w:val="22"/>
          <w:lang w:val="sr-Cyrl-RS"/>
        </w:rPr>
      </w:pPr>
      <w:r w:rsidRPr="00B25C35">
        <w:rPr>
          <w:rFonts w:ascii="Book Antiqua" w:hAnsi="Book Antiqua"/>
          <w:sz w:val="22"/>
          <w:szCs w:val="22"/>
          <w:lang w:val="sr-Cyrl-RS"/>
        </w:rPr>
        <w:t>Стандарди добре управе не дозвољавају нечињење и пасивност, већ траже активан, ангажован став органа управе према обављању послова из свог делокруга и законито вршење тих послова ради остваривања циља због кога су органу дата јавна овлашћења. Невршење послова и радњи из делокруга, односно надлежности органа управе је пропуст који за непосредне и посред</w:t>
      </w:r>
      <w:r w:rsidR="004B4404" w:rsidRPr="00B25C35">
        <w:rPr>
          <w:rFonts w:ascii="Book Antiqua" w:hAnsi="Book Antiqua"/>
          <w:sz w:val="22"/>
          <w:szCs w:val="22"/>
          <w:lang w:val="sr-Cyrl-RS"/>
        </w:rPr>
        <w:t>н</w:t>
      </w:r>
      <w:r w:rsidRPr="00B25C35">
        <w:rPr>
          <w:rFonts w:ascii="Book Antiqua" w:hAnsi="Book Antiqua"/>
          <w:sz w:val="22"/>
          <w:szCs w:val="22"/>
          <w:lang w:val="sr-Cyrl-RS"/>
        </w:rPr>
        <w:t xml:space="preserve">е последице по правилу има, и </w:t>
      </w:r>
      <w:r w:rsidR="004B4404" w:rsidRPr="00B25C35">
        <w:rPr>
          <w:rFonts w:ascii="Book Antiqua" w:hAnsi="Book Antiqua"/>
          <w:sz w:val="22"/>
          <w:szCs w:val="22"/>
          <w:lang w:val="sr-Cyrl-RS"/>
        </w:rPr>
        <w:t>овај пут је имао, стварање правн</w:t>
      </w:r>
      <w:r w:rsidRPr="00B25C35">
        <w:rPr>
          <w:rFonts w:ascii="Book Antiqua" w:hAnsi="Book Antiqua"/>
          <w:sz w:val="22"/>
          <w:szCs w:val="22"/>
          <w:lang w:val="sr-Cyrl-RS"/>
        </w:rPr>
        <w:t>е несигурности, отежава</w:t>
      </w:r>
      <w:r w:rsidR="004B4404" w:rsidRPr="00B25C35">
        <w:rPr>
          <w:rFonts w:ascii="Book Antiqua" w:hAnsi="Book Antiqua"/>
          <w:sz w:val="22"/>
          <w:szCs w:val="22"/>
          <w:lang w:val="sr-Cyrl-RS"/>
        </w:rPr>
        <w:t>њ</w:t>
      </w:r>
      <w:r w:rsidRPr="00B25C35">
        <w:rPr>
          <w:rFonts w:ascii="Book Antiqua" w:hAnsi="Book Antiqua"/>
          <w:sz w:val="22"/>
          <w:szCs w:val="22"/>
          <w:lang w:val="sr-Cyrl-RS"/>
        </w:rPr>
        <w:t>е правног положаја грађана и кршење њихових права.</w:t>
      </w:r>
    </w:p>
    <w:p w14:paraId="280A7E5E" w14:textId="77777777" w:rsidR="009617D5" w:rsidRPr="00B25C35" w:rsidRDefault="009617D5" w:rsidP="00004E49">
      <w:pPr>
        <w:spacing w:after="120"/>
        <w:jc w:val="both"/>
        <w:rPr>
          <w:rFonts w:ascii="Book Antiqua" w:hAnsi="Book Antiqua"/>
          <w:sz w:val="22"/>
          <w:szCs w:val="22"/>
          <w:lang w:val="sr-Cyrl-RS"/>
        </w:rPr>
      </w:pPr>
      <w:r w:rsidRPr="00B25C35">
        <w:rPr>
          <w:rFonts w:ascii="Book Antiqua" w:hAnsi="Book Antiqua"/>
          <w:sz w:val="22"/>
          <w:szCs w:val="22"/>
          <w:lang w:val="sr-Cyrl-RS"/>
        </w:rPr>
        <w:t>Имајући у виду да је притужиља за обуставу износа који је грешком уплаћен у децембру 2024. године сазнала тек у јануару месецу 2025. године од Градске управе града Суботице и то тек након што је сама затражила објашњење надлежних органа за такво поступане и да такво објашњење није добила од Министарства за рад, запошљавање, борачка и социјална питања, то је поступање органа било супротно позитивним прописима и начелима добре управе, као и обавезе органа да увек када се одлучује о правима детета, поступају ефикасно и благовремено.</w:t>
      </w:r>
    </w:p>
    <w:p w14:paraId="359EB730" w14:textId="77777777" w:rsidR="009617D5" w:rsidRPr="00B25C35" w:rsidRDefault="009617D5" w:rsidP="00004E49">
      <w:pPr>
        <w:spacing w:after="120"/>
        <w:jc w:val="both"/>
        <w:rPr>
          <w:rFonts w:ascii="Book Antiqua" w:hAnsi="Book Antiqua"/>
          <w:sz w:val="22"/>
          <w:szCs w:val="22"/>
          <w:lang w:val="sr-Cyrl-RS"/>
        </w:rPr>
      </w:pPr>
      <w:r w:rsidRPr="00B25C35">
        <w:rPr>
          <w:rFonts w:ascii="Book Antiqua" w:hAnsi="Book Antiqua"/>
          <w:sz w:val="22"/>
          <w:szCs w:val="22"/>
          <w:lang w:val="sr-Cyrl-RS"/>
        </w:rPr>
        <w:t>Како се овакви и сли</w:t>
      </w:r>
      <w:r w:rsidR="00004E49" w:rsidRPr="00B25C35">
        <w:rPr>
          <w:rFonts w:ascii="Book Antiqua" w:hAnsi="Book Antiqua"/>
          <w:sz w:val="22"/>
          <w:szCs w:val="22"/>
          <w:lang w:val="sr-Cyrl-RS"/>
        </w:rPr>
        <w:t>ч</w:t>
      </w:r>
      <w:r w:rsidRPr="00B25C35">
        <w:rPr>
          <w:rFonts w:ascii="Book Antiqua" w:hAnsi="Book Antiqua"/>
          <w:sz w:val="22"/>
          <w:szCs w:val="22"/>
          <w:lang w:val="sr-Cyrl-RS"/>
        </w:rPr>
        <w:t xml:space="preserve">ни пропусти не би </w:t>
      </w:r>
      <w:r w:rsidR="00004E49" w:rsidRPr="00B25C35">
        <w:rPr>
          <w:rFonts w:ascii="Book Antiqua" w:hAnsi="Book Antiqua"/>
          <w:sz w:val="22"/>
          <w:szCs w:val="22"/>
          <w:lang w:val="sr-Cyrl-RS"/>
        </w:rPr>
        <w:t>дешавали</w:t>
      </w:r>
      <w:r w:rsidRPr="00B25C35">
        <w:rPr>
          <w:rFonts w:ascii="Book Antiqua" w:hAnsi="Book Antiqua"/>
          <w:sz w:val="22"/>
          <w:szCs w:val="22"/>
          <w:lang w:val="sr-Cyrl-RS"/>
        </w:rPr>
        <w:t xml:space="preserve"> у будућности, Заштитник грађана упућује Министарству за рад, запошљавање, борачка и с</w:t>
      </w:r>
      <w:r w:rsidR="00004E49" w:rsidRPr="00B25C35">
        <w:rPr>
          <w:rFonts w:ascii="Book Antiqua" w:hAnsi="Book Antiqua"/>
          <w:sz w:val="22"/>
          <w:szCs w:val="22"/>
          <w:lang w:val="sr-Cyrl-RS"/>
        </w:rPr>
        <w:t>оцијална питања и Градској управ</w:t>
      </w:r>
      <w:r w:rsidRPr="00B25C35">
        <w:rPr>
          <w:rFonts w:ascii="Book Antiqua" w:hAnsi="Book Antiqua"/>
          <w:sz w:val="22"/>
          <w:szCs w:val="22"/>
          <w:lang w:val="sr-Cyrl-RS"/>
        </w:rPr>
        <w:t>и града Суботице следеће</w:t>
      </w:r>
    </w:p>
    <w:p w14:paraId="24E67A84" w14:textId="77777777" w:rsidR="009617D5" w:rsidRPr="00B25C35" w:rsidRDefault="009617D5" w:rsidP="00004E49">
      <w:pPr>
        <w:spacing w:after="120"/>
        <w:jc w:val="both"/>
        <w:rPr>
          <w:rFonts w:ascii="Book Antiqua" w:hAnsi="Book Antiqua"/>
          <w:sz w:val="22"/>
          <w:szCs w:val="22"/>
          <w:lang w:val="sr-Cyrl-RS"/>
        </w:rPr>
      </w:pPr>
    </w:p>
    <w:p w14:paraId="38F6D7C5" w14:textId="77777777" w:rsidR="009617D5" w:rsidRPr="00B25C35" w:rsidRDefault="009617D5" w:rsidP="00004E49">
      <w:pPr>
        <w:spacing w:after="120"/>
        <w:jc w:val="center"/>
        <w:rPr>
          <w:rFonts w:ascii="Book Antiqua" w:hAnsi="Book Antiqua"/>
          <w:b/>
          <w:sz w:val="22"/>
          <w:szCs w:val="22"/>
          <w:lang w:val="sr-Cyrl-RS"/>
        </w:rPr>
      </w:pPr>
      <w:r w:rsidRPr="00B25C35">
        <w:rPr>
          <w:rFonts w:ascii="Book Antiqua" w:hAnsi="Book Antiqua"/>
          <w:b/>
          <w:sz w:val="22"/>
          <w:szCs w:val="22"/>
          <w:lang w:val="sr-Cyrl-RS"/>
        </w:rPr>
        <w:t>ПРЕПОРУКЕ</w:t>
      </w:r>
    </w:p>
    <w:p w14:paraId="70C074C8" w14:textId="77777777" w:rsidR="00EA47E6" w:rsidRPr="00B25C35" w:rsidRDefault="00EA47E6" w:rsidP="00004E49">
      <w:pPr>
        <w:spacing w:after="120"/>
        <w:jc w:val="center"/>
        <w:rPr>
          <w:rFonts w:ascii="Book Antiqua" w:hAnsi="Book Antiqua"/>
          <w:b/>
          <w:sz w:val="22"/>
          <w:szCs w:val="22"/>
          <w:lang w:val="sr-Cyrl-RS"/>
        </w:rPr>
      </w:pPr>
    </w:p>
    <w:p w14:paraId="224D2328" w14:textId="77777777" w:rsidR="009617D5" w:rsidRPr="00B25C35" w:rsidRDefault="009617D5" w:rsidP="00004E49">
      <w:pPr>
        <w:spacing w:after="120"/>
        <w:jc w:val="center"/>
        <w:rPr>
          <w:rFonts w:ascii="Book Antiqua" w:hAnsi="Book Antiqua"/>
          <w:sz w:val="22"/>
          <w:szCs w:val="22"/>
          <w:lang w:val="sr-Cyrl-RS"/>
        </w:rPr>
      </w:pPr>
      <w:r w:rsidRPr="00B25C35">
        <w:rPr>
          <w:rFonts w:ascii="Book Antiqua" w:hAnsi="Book Antiqua"/>
          <w:sz w:val="22"/>
          <w:szCs w:val="22"/>
          <w:lang w:val="sr-Cyrl-RS"/>
        </w:rPr>
        <w:t>I</w:t>
      </w:r>
    </w:p>
    <w:p w14:paraId="044A6ACF" w14:textId="1D1ED160" w:rsidR="009617D5" w:rsidRPr="00B25C35" w:rsidRDefault="009617D5" w:rsidP="00004E49">
      <w:pPr>
        <w:spacing w:after="120"/>
        <w:jc w:val="both"/>
        <w:rPr>
          <w:rFonts w:ascii="Book Antiqua" w:hAnsi="Book Antiqua"/>
          <w:b/>
          <w:sz w:val="22"/>
          <w:szCs w:val="22"/>
          <w:lang w:val="sr-Cyrl-RS"/>
        </w:rPr>
      </w:pPr>
      <w:r w:rsidRPr="00B25C35">
        <w:rPr>
          <w:rFonts w:ascii="Book Antiqua" w:hAnsi="Book Antiqua"/>
          <w:b/>
          <w:sz w:val="22"/>
          <w:szCs w:val="22"/>
          <w:lang w:val="sr-Cyrl-RS"/>
        </w:rPr>
        <w:t xml:space="preserve">Потребно је да Министарство за рад, запошљавање, борачка и социјална питања без одлагања, уз извињење због кашњења, обавести писаним путем </w:t>
      </w:r>
      <w:proofErr w:type="spellStart"/>
      <w:r w:rsidRPr="00B25C35">
        <w:rPr>
          <w:rFonts w:ascii="Book Antiqua" w:hAnsi="Book Antiqua"/>
          <w:b/>
          <w:sz w:val="22"/>
          <w:szCs w:val="22"/>
          <w:lang w:val="sr-Cyrl-RS"/>
        </w:rPr>
        <w:t>притужиљу</w:t>
      </w:r>
      <w:proofErr w:type="spellEnd"/>
      <w:r w:rsidRPr="00B25C35">
        <w:rPr>
          <w:rFonts w:ascii="Book Antiqua" w:hAnsi="Book Antiqua"/>
          <w:b/>
          <w:sz w:val="22"/>
          <w:szCs w:val="22"/>
          <w:lang w:val="sr-Cyrl-RS"/>
        </w:rPr>
        <w:t xml:space="preserve"> </w:t>
      </w:r>
      <w:r w:rsidR="00A64E53">
        <w:rPr>
          <w:rFonts w:ascii="Book Antiqua" w:hAnsi="Book Antiqua"/>
          <w:b/>
          <w:sz w:val="22"/>
          <w:szCs w:val="22"/>
          <w:lang w:val="sr-Cyrl-RS"/>
        </w:rPr>
        <w:t>АА</w:t>
      </w:r>
      <w:r w:rsidRPr="00B25C35">
        <w:rPr>
          <w:rFonts w:ascii="Book Antiqua" w:hAnsi="Book Antiqua"/>
          <w:b/>
          <w:sz w:val="22"/>
          <w:szCs w:val="22"/>
          <w:lang w:val="sr-Cyrl-RS"/>
        </w:rPr>
        <w:t xml:space="preserve"> да је у децембру месецу 2024. године дошло до грешке у исплати родитељског додатка за треће дете и начину на који ће грешка бити исправљена.</w:t>
      </w:r>
    </w:p>
    <w:p w14:paraId="35F0404C" w14:textId="77777777" w:rsidR="009617D5" w:rsidRPr="00B25C35" w:rsidRDefault="009617D5" w:rsidP="00004E49">
      <w:pPr>
        <w:spacing w:after="120"/>
        <w:jc w:val="center"/>
        <w:rPr>
          <w:rFonts w:ascii="Book Antiqua" w:hAnsi="Book Antiqua"/>
          <w:b/>
          <w:sz w:val="22"/>
          <w:szCs w:val="22"/>
          <w:lang w:val="sr-Cyrl-RS"/>
        </w:rPr>
      </w:pPr>
      <w:r w:rsidRPr="00B25C35">
        <w:rPr>
          <w:rFonts w:ascii="Book Antiqua" w:hAnsi="Book Antiqua"/>
          <w:b/>
          <w:sz w:val="22"/>
          <w:szCs w:val="22"/>
          <w:lang w:val="sr-Cyrl-RS"/>
        </w:rPr>
        <w:t>II</w:t>
      </w:r>
    </w:p>
    <w:p w14:paraId="5CDF66D2" w14:textId="5CAFADA3" w:rsidR="009617D5" w:rsidRPr="00B25C35" w:rsidRDefault="009617D5" w:rsidP="00004E49">
      <w:pPr>
        <w:spacing w:after="120"/>
        <w:jc w:val="both"/>
        <w:rPr>
          <w:rFonts w:ascii="Book Antiqua" w:hAnsi="Book Antiqua"/>
          <w:b/>
          <w:sz w:val="22"/>
          <w:szCs w:val="22"/>
          <w:lang w:val="sr-Cyrl-RS"/>
        </w:rPr>
      </w:pPr>
      <w:r w:rsidRPr="00B25C35">
        <w:rPr>
          <w:rFonts w:ascii="Book Antiqua" w:hAnsi="Book Antiqua"/>
          <w:b/>
          <w:sz w:val="22"/>
          <w:szCs w:val="22"/>
          <w:lang w:val="sr-Cyrl-RS"/>
        </w:rPr>
        <w:t xml:space="preserve">Потребно је да Градска управа града Суботице донесе одговарајућу одлуку за </w:t>
      </w:r>
      <w:proofErr w:type="spellStart"/>
      <w:r w:rsidRPr="00B25C35">
        <w:rPr>
          <w:rFonts w:ascii="Book Antiqua" w:hAnsi="Book Antiqua"/>
          <w:b/>
          <w:sz w:val="22"/>
          <w:szCs w:val="22"/>
          <w:lang w:val="sr-Cyrl-RS"/>
        </w:rPr>
        <w:t>притужиљу</w:t>
      </w:r>
      <w:proofErr w:type="spellEnd"/>
      <w:r w:rsidRPr="00B25C35">
        <w:rPr>
          <w:rFonts w:ascii="Book Antiqua" w:hAnsi="Book Antiqua"/>
          <w:b/>
          <w:sz w:val="22"/>
          <w:szCs w:val="22"/>
          <w:lang w:val="sr-Cyrl-RS"/>
        </w:rPr>
        <w:t xml:space="preserve"> </w:t>
      </w:r>
      <w:r w:rsidR="00A64E53">
        <w:rPr>
          <w:rFonts w:ascii="Book Antiqua" w:hAnsi="Book Antiqua"/>
          <w:b/>
          <w:sz w:val="22"/>
          <w:szCs w:val="22"/>
          <w:lang w:val="sr-Cyrl-RS"/>
        </w:rPr>
        <w:t>АА</w:t>
      </w:r>
      <w:r w:rsidRPr="00B25C35">
        <w:rPr>
          <w:rFonts w:ascii="Book Antiqua" w:hAnsi="Book Antiqua"/>
          <w:b/>
          <w:sz w:val="22"/>
          <w:szCs w:val="22"/>
          <w:lang w:val="sr-Cyrl-RS"/>
        </w:rPr>
        <w:t>, којој је пре</w:t>
      </w:r>
      <w:r w:rsidR="004B4404" w:rsidRPr="00B25C35">
        <w:rPr>
          <w:rFonts w:ascii="Book Antiqua" w:hAnsi="Book Antiqua"/>
          <w:b/>
          <w:sz w:val="22"/>
          <w:szCs w:val="22"/>
          <w:lang w:val="sr-Cyrl-RS"/>
        </w:rPr>
        <w:t>тходно утврђено право на родитељ</w:t>
      </w:r>
      <w:r w:rsidRPr="00B25C35">
        <w:rPr>
          <w:rFonts w:ascii="Book Antiqua" w:hAnsi="Book Antiqua"/>
          <w:b/>
          <w:sz w:val="22"/>
          <w:szCs w:val="22"/>
          <w:lang w:val="sr-Cyrl-RS"/>
        </w:rPr>
        <w:t>ски додатак за треће дете, која ће садржати разлоге због којих је дошло до обуставе исплате родитељског додатка почев од јануара месеца 2025, године, новчани износ који се обуставом исплате намирује и динамика враћања неосновано уплаћеног износа.</w:t>
      </w:r>
    </w:p>
    <w:p w14:paraId="01785D82" w14:textId="77777777" w:rsidR="009617D5" w:rsidRPr="00B25C35" w:rsidRDefault="009617D5" w:rsidP="00004E49">
      <w:pPr>
        <w:spacing w:after="120"/>
        <w:jc w:val="center"/>
        <w:rPr>
          <w:rFonts w:ascii="Book Antiqua" w:hAnsi="Book Antiqua"/>
          <w:b/>
          <w:sz w:val="22"/>
          <w:szCs w:val="22"/>
          <w:lang w:val="sr-Cyrl-RS"/>
        </w:rPr>
      </w:pPr>
      <w:r w:rsidRPr="00B25C35">
        <w:rPr>
          <w:rFonts w:ascii="Book Antiqua" w:hAnsi="Book Antiqua"/>
          <w:b/>
          <w:sz w:val="22"/>
          <w:szCs w:val="22"/>
          <w:lang w:val="sr-Cyrl-RS"/>
        </w:rPr>
        <w:t>III</w:t>
      </w:r>
    </w:p>
    <w:p w14:paraId="01A80831" w14:textId="77777777" w:rsidR="00004E49" w:rsidRPr="00B25C35" w:rsidRDefault="009617D5" w:rsidP="00004E49">
      <w:pPr>
        <w:spacing w:after="120"/>
        <w:jc w:val="both"/>
        <w:rPr>
          <w:rFonts w:ascii="Book Antiqua" w:hAnsi="Book Antiqua" w:cs="Arial"/>
          <w:b/>
          <w:sz w:val="22"/>
          <w:szCs w:val="22"/>
          <w:lang w:val="sr-Cyrl-RS"/>
        </w:rPr>
      </w:pPr>
      <w:r w:rsidRPr="00B25C35">
        <w:rPr>
          <w:rFonts w:ascii="Book Antiqua" w:hAnsi="Book Antiqua"/>
          <w:b/>
          <w:sz w:val="22"/>
          <w:szCs w:val="22"/>
          <w:lang w:val="sr-Cyrl-RS"/>
        </w:rPr>
        <w:t>Потребно је да Министарство за рад, запошљавање, борачка и социјална питања убудуће одмах по сазнању да је кориснику неког облика финансијске подршке породици са децом, неосновано уплаћен већи износ од законом предвиђеног износа, упути обавештење кориснику и првостепеном органу, који је одлучио о праву корисника на ту врст</w:t>
      </w:r>
      <w:r w:rsidR="00004E49" w:rsidRPr="00B25C35">
        <w:rPr>
          <w:rFonts w:ascii="Book Antiqua" w:hAnsi="Book Antiqua"/>
          <w:b/>
          <w:sz w:val="22"/>
          <w:szCs w:val="22"/>
          <w:lang w:val="sr-Cyrl-RS"/>
        </w:rPr>
        <w:t xml:space="preserve">у </w:t>
      </w:r>
      <w:r w:rsidR="00004E49" w:rsidRPr="00B25C35">
        <w:rPr>
          <w:rFonts w:ascii="Book Antiqua" w:hAnsi="Book Antiqua" w:cs="Arial"/>
          <w:b/>
          <w:sz w:val="22"/>
          <w:szCs w:val="22"/>
          <w:lang w:val="sr-Cyrl-RS"/>
        </w:rPr>
        <w:t>финансијске подршке породици са децом, да је дошло до грешке у исплати и да је неопходно донети одлуку о начину враћана новчаног износа који није био намењен том кориснику.</w:t>
      </w:r>
    </w:p>
    <w:p w14:paraId="264EE99D" w14:textId="77777777" w:rsidR="00004E49" w:rsidRPr="00B25C35" w:rsidRDefault="00004E49" w:rsidP="00004E49">
      <w:pPr>
        <w:spacing w:after="120"/>
        <w:jc w:val="center"/>
        <w:rPr>
          <w:rFonts w:ascii="Book Antiqua" w:hAnsi="Book Antiqua" w:cs="Arial"/>
          <w:b/>
          <w:sz w:val="22"/>
          <w:szCs w:val="22"/>
          <w:lang w:val="sr-Cyrl-RS"/>
        </w:rPr>
      </w:pPr>
      <w:r w:rsidRPr="00B25C35">
        <w:rPr>
          <w:rFonts w:ascii="Book Antiqua" w:hAnsi="Book Antiqua" w:cs="Arial"/>
          <w:b/>
          <w:sz w:val="22"/>
          <w:szCs w:val="22"/>
          <w:lang w:val="sr-Cyrl-RS"/>
        </w:rPr>
        <w:t>IV</w:t>
      </w:r>
    </w:p>
    <w:p w14:paraId="3C64F8A6" w14:textId="77777777" w:rsidR="00004E49" w:rsidRPr="00B25C35" w:rsidRDefault="00004E49" w:rsidP="00004E49">
      <w:pPr>
        <w:spacing w:after="120"/>
        <w:jc w:val="both"/>
        <w:rPr>
          <w:rFonts w:ascii="Book Antiqua" w:hAnsi="Book Antiqua" w:cs="Arial"/>
          <w:b/>
          <w:sz w:val="22"/>
          <w:szCs w:val="22"/>
          <w:lang w:val="sr-Cyrl-RS"/>
        </w:rPr>
      </w:pPr>
      <w:r w:rsidRPr="00B25C35">
        <w:rPr>
          <w:rFonts w:ascii="Book Antiqua" w:hAnsi="Book Antiqua" w:cs="Arial"/>
          <w:b/>
          <w:sz w:val="22"/>
          <w:szCs w:val="22"/>
          <w:lang w:val="sr-Cyrl-RS"/>
        </w:rPr>
        <w:t xml:space="preserve">Потребно је да Градска управа града Суботице, као првостепени орган, убудуће, одмах по сазнању да је Министарство за рад, запошљавање борачка и социјална питања кориснику </w:t>
      </w:r>
      <w:r w:rsidRPr="00B25C35">
        <w:rPr>
          <w:rFonts w:ascii="Book Antiqua" w:hAnsi="Book Antiqua" w:cs="Arial"/>
          <w:b/>
          <w:sz w:val="22"/>
          <w:szCs w:val="22"/>
          <w:lang w:val="sr-Cyrl-RS"/>
        </w:rPr>
        <w:lastRenderedPageBreak/>
        <w:t>неког облика финансијске подршке породици са децом привремено обуставило исплату новчаних износа, донесе одговарајућу одлуку којом ће бити утврђен правни основ обуставе, износ који се обуставом исплате намирује и динамика намире</w:t>
      </w:r>
      <w:r w:rsidR="00AE3467" w:rsidRPr="00B25C35">
        <w:rPr>
          <w:rFonts w:ascii="Book Antiqua" w:hAnsi="Book Antiqua" w:cs="Arial"/>
          <w:b/>
          <w:sz w:val="22"/>
          <w:szCs w:val="22"/>
          <w:lang w:val="sr-Cyrl-RS"/>
        </w:rPr>
        <w:t>њ</w:t>
      </w:r>
      <w:r w:rsidRPr="00B25C35">
        <w:rPr>
          <w:rFonts w:ascii="Book Antiqua" w:hAnsi="Book Antiqua" w:cs="Arial"/>
          <w:b/>
          <w:sz w:val="22"/>
          <w:szCs w:val="22"/>
          <w:lang w:val="sr-Cyrl-RS"/>
        </w:rPr>
        <w:t>а.</w:t>
      </w:r>
    </w:p>
    <w:p w14:paraId="08A3C3E0" w14:textId="77777777" w:rsidR="00EA47E6" w:rsidRPr="00B25C35" w:rsidRDefault="00EA47E6" w:rsidP="00004E49">
      <w:pPr>
        <w:spacing w:after="120"/>
        <w:jc w:val="both"/>
        <w:rPr>
          <w:rFonts w:ascii="Book Antiqua" w:hAnsi="Book Antiqua" w:cs="Arial"/>
          <w:sz w:val="22"/>
          <w:szCs w:val="22"/>
          <w:lang w:val="sr-Cyrl-RS"/>
        </w:rPr>
      </w:pPr>
    </w:p>
    <w:p w14:paraId="0D9E0FCA" w14:textId="77777777" w:rsidR="00004E49" w:rsidRPr="00B25C35" w:rsidRDefault="00004E49"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Министарство за рад, запошљаване, борачка и социјална питања и Градска управа града Суботице обавестиће Заштитника грађана о мерама које су предузели ради поступа</w:t>
      </w:r>
      <w:r w:rsidR="00535EB9">
        <w:rPr>
          <w:rFonts w:ascii="Book Antiqua" w:hAnsi="Book Antiqua" w:cs="Arial"/>
          <w:sz w:val="22"/>
          <w:szCs w:val="22"/>
          <w:lang w:val="sr-Cyrl-RS"/>
        </w:rPr>
        <w:t>њ</w:t>
      </w:r>
      <w:r w:rsidR="00A37B6C">
        <w:rPr>
          <w:rFonts w:ascii="Book Antiqua" w:hAnsi="Book Antiqua" w:cs="Arial"/>
          <w:sz w:val="22"/>
          <w:szCs w:val="22"/>
          <w:lang w:val="sr-Cyrl-RS"/>
        </w:rPr>
        <w:t xml:space="preserve">а по препорукама </w:t>
      </w:r>
      <w:r w:rsidRPr="00B25C35">
        <w:rPr>
          <w:rFonts w:ascii="Book Antiqua" w:hAnsi="Book Antiqua" w:cs="Arial"/>
          <w:sz w:val="22"/>
          <w:szCs w:val="22"/>
          <w:lang w:val="sr-Cyrl-RS"/>
        </w:rPr>
        <w:t>у року од 30 дана од дана пријема овог акта уз достављање доказа о предузетим мерама.</w:t>
      </w:r>
    </w:p>
    <w:p w14:paraId="03D080B1" w14:textId="77777777" w:rsidR="00004E49" w:rsidRPr="00B25C35" w:rsidRDefault="00004E49"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Пропусти које су начинили надлежни органи у овом конкретном случају нису откло</w:t>
      </w:r>
      <w:r w:rsidR="00AE3467" w:rsidRPr="00B25C35">
        <w:rPr>
          <w:rFonts w:ascii="Book Antiqua" w:hAnsi="Book Antiqua" w:cs="Arial"/>
          <w:sz w:val="22"/>
          <w:szCs w:val="22"/>
          <w:lang w:val="sr-Cyrl-RS"/>
        </w:rPr>
        <w:t>њ</w:t>
      </w:r>
      <w:r w:rsidRPr="00B25C35">
        <w:rPr>
          <w:rFonts w:ascii="Book Antiqua" w:hAnsi="Book Antiqua" w:cs="Arial"/>
          <w:sz w:val="22"/>
          <w:szCs w:val="22"/>
          <w:lang w:val="sr-Cyrl-RS"/>
        </w:rPr>
        <w:t>иви у потпуности. Међутим, поступањем по препор</w:t>
      </w:r>
      <w:r w:rsidR="00B25C35">
        <w:rPr>
          <w:rFonts w:ascii="Book Antiqua" w:hAnsi="Book Antiqua" w:cs="Arial"/>
          <w:sz w:val="22"/>
          <w:szCs w:val="22"/>
          <w:lang w:val="sr-Cyrl-RS"/>
        </w:rPr>
        <w:t xml:space="preserve">укама Заштитника грађана могуће </w:t>
      </w:r>
      <w:proofErr w:type="spellStart"/>
      <w:r w:rsidRPr="00B25C35">
        <w:rPr>
          <w:rFonts w:ascii="Book Antiqua" w:hAnsi="Book Antiqua" w:cs="Arial"/>
          <w:sz w:val="22"/>
          <w:szCs w:val="22"/>
          <w:lang w:val="sr-Cyrl-RS"/>
        </w:rPr>
        <w:t>je</w:t>
      </w:r>
      <w:proofErr w:type="spellEnd"/>
      <w:r w:rsidRPr="00B25C35">
        <w:rPr>
          <w:rFonts w:ascii="Book Antiqua" w:hAnsi="Book Antiqua" w:cs="Arial"/>
          <w:sz w:val="22"/>
          <w:szCs w:val="22"/>
          <w:lang w:val="sr-Cyrl-RS"/>
        </w:rPr>
        <w:t xml:space="preserve"> спречавање сличних пропуста у будућности. С тога је Заштитник грађана упутио препоруке надлежном органу у циљу отклањања утврђених пропуста у највећој могућој мери и заштите најбољих интереса детета, унапређе</w:t>
      </w:r>
      <w:r w:rsidR="00AE3467" w:rsidRPr="00B25C35">
        <w:rPr>
          <w:rFonts w:ascii="Book Antiqua" w:hAnsi="Book Antiqua" w:cs="Arial"/>
          <w:sz w:val="22"/>
          <w:szCs w:val="22"/>
          <w:lang w:val="sr-Cyrl-RS"/>
        </w:rPr>
        <w:t>њ</w:t>
      </w:r>
      <w:r w:rsidRPr="00B25C35">
        <w:rPr>
          <w:rFonts w:ascii="Book Antiqua" w:hAnsi="Book Antiqua" w:cs="Arial"/>
          <w:sz w:val="22"/>
          <w:szCs w:val="22"/>
          <w:lang w:val="sr-Cyrl-RS"/>
        </w:rPr>
        <w:t>а рада органа управе, поштовања правне сигурности и спречавања сличних пропуста у будућности.</w:t>
      </w:r>
    </w:p>
    <w:p w14:paraId="70E5C4A3" w14:textId="77777777" w:rsidR="00004E49" w:rsidRPr="00B25C35" w:rsidRDefault="00004E49" w:rsidP="00004E49">
      <w:pPr>
        <w:spacing w:after="120"/>
        <w:jc w:val="both"/>
        <w:rPr>
          <w:rFonts w:ascii="Book Antiqua" w:hAnsi="Book Antiqua" w:cs="Arial"/>
          <w:sz w:val="22"/>
          <w:szCs w:val="22"/>
          <w:lang w:val="sr-Cyrl-RS"/>
        </w:rPr>
      </w:pPr>
      <w:r w:rsidRPr="00B25C35">
        <w:rPr>
          <w:rFonts w:ascii="Book Antiqua" w:hAnsi="Book Antiqua" w:cs="Arial"/>
          <w:sz w:val="22"/>
          <w:szCs w:val="22"/>
          <w:lang w:val="sr-Cyrl-RS"/>
        </w:rPr>
        <w:t>Овлашћење и обавеза Заштитника грађана је да када оконча испитни поступак, сачини писмени извештај о случају у коме утврђује да ли је у актима, рад</w:t>
      </w:r>
      <w:r w:rsidR="00AE3467" w:rsidRPr="00B25C35">
        <w:rPr>
          <w:rFonts w:ascii="Book Antiqua" w:hAnsi="Book Antiqua" w:cs="Arial"/>
          <w:sz w:val="22"/>
          <w:szCs w:val="22"/>
          <w:lang w:val="sr-Cyrl-RS"/>
        </w:rPr>
        <w:t>њ</w:t>
      </w:r>
      <w:r w:rsidRPr="00B25C35">
        <w:rPr>
          <w:rFonts w:ascii="Book Antiqua" w:hAnsi="Book Antiqua" w:cs="Arial"/>
          <w:sz w:val="22"/>
          <w:szCs w:val="22"/>
          <w:lang w:val="sr-Cyrl-RS"/>
        </w:rPr>
        <w:t>ама или нечињењу органа управе било</w:t>
      </w:r>
      <w:r w:rsidR="00AE3467" w:rsidRPr="00B25C35">
        <w:rPr>
          <w:rFonts w:ascii="Book Antiqua" w:hAnsi="Book Antiqua" w:cs="Arial"/>
          <w:sz w:val="22"/>
          <w:szCs w:val="22"/>
          <w:lang w:val="sr-Cyrl-RS"/>
        </w:rPr>
        <w:t xml:space="preserve"> незаконитости и неправилности к</w:t>
      </w:r>
      <w:r w:rsidRPr="00B25C35">
        <w:rPr>
          <w:rFonts w:ascii="Book Antiqua" w:hAnsi="Book Antiqua" w:cs="Arial"/>
          <w:sz w:val="22"/>
          <w:szCs w:val="22"/>
          <w:lang w:val="sr-Cyrl-RS"/>
        </w:rPr>
        <w:t>ојима је повређено</w:t>
      </w:r>
      <w:r w:rsidR="00AE3467" w:rsidRPr="00B25C35">
        <w:rPr>
          <w:rFonts w:ascii="Book Antiqua" w:hAnsi="Book Antiqua" w:cs="Arial"/>
          <w:sz w:val="22"/>
          <w:szCs w:val="22"/>
          <w:lang w:val="sr-Cyrl-RS"/>
        </w:rPr>
        <w:t xml:space="preserve"> људско</w:t>
      </w:r>
      <w:r w:rsidRPr="00B25C35">
        <w:rPr>
          <w:rFonts w:ascii="Book Antiqua" w:hAnsi="Book Antiqua" w:cs="Arial"/>
          <w:sz w:val="22"/>
          <w:szCs w:val="22"/>
          <w:lang w:val="sr-Cyrl-RS"/>
        </w:rPr>
        <w:t xml:space="preserve"> или мањинско право и слобода грађана. Ако утврди неправилности и незаконитости у раду органа управе, Заштитник грађана у извештај о случају уноси препоруку о начину на који би неправилности и незаконит</w:t>
      </w:r>
      <w:r w:rsidR="007F35DE" w:rsidRPr="00B25C35">
        <w:rPr>
          <w:rFonts w:ascii="Book Antiqua" w:hAnsi="Book Antiqua" w:cs="Arial"/>
          <w:sz w:val="22"/>
          <w:szCs w:val="22"/>
          <w:lang w:val="sr-Cyrl-RS"/>
        </w:rPr>
        <w:t xml:space="preserve">ости у раду требало отклонити, </w:t>
      </w:r>
      <w:r w:rsidRPr="00B25C35">
        <w:rPr>
          <w:rFonts w:ascii="Book Antiqua" w:hAnsi="Book Antiqua" w:cs="Arial"/>
          <w:sz w:val="22"/>
          <w:szCs w:val="22"/>
          <w:lang w:val="sr-Cyrl-RS"/>
        </w:rPr>
        <w:t>односно начину унапређења рада органа (члан 37. став 3. Закона о Заштитнику грађана). Ове препоруке дате су на основу тог овлашћења и дужности.</w:t>
      </w:r>
    </w:p>
    <w:p w14:paraId="39B5A637" w14:textId="77777777" w:rsidR="000D610C" w:rsidRPr="00B25C35" w:rsidRDefault="000D610C" w:rsidP="000D610C">
      <w:pPr>
        <w:rPr>
          <w:rFonts w:ascii="Book Antiqua" w:hAnsi="Book Antiqua" w:cs="Arial"/>
          <w:b/>
          <w:sz w:val="22"/>
          <w:szCs w:val="22"/>
          <w:lang w:val="sr-Cyrl-RS"/>
        </w:rPr>
      </w:pPr>
    </w:p>
    <w:p w14:paraId="08B64F58" w14:textId="77777777" w:rsidR="000D610C" w:rsidRPr="00B25C35" w:rsidRDefault="000D610C" w:rsidP="000D610C">
      <w:pPr>
        <w:rPr>
          <w:rFonts w:ascii="Book Antiqua" w:hAnsi="Book Antiqua" w:cs="Arial"/>
          <w:b/>
          <w:sz w:val="22"/>
          <w:szCs w:val="22"/>
          <w:lang w:val="sr-Cyrl-RS"/>
        </w:rPr>
      </w:pPr>
    </w:p>
    <w:p w14:paraId="550EA1C2" w14:textId="77777777" w:rsidR="000D610C" w:rsidRPr="00B25C35" w:rsidRDefault="000D610C" w:rsidP="000D610C">
      <w:pPr>
        <w:jc w:val="both"/>
        <w:rPr>
          <w:rFonts w:ascii="Book Antiqua" w:hAnsi="Book Antiqua"/>
          <w:b/>
          <w:sz w:val="22"/>
          <w:szCs w:val="22"/>
          <w:lang w:val="sr-Cyrl-RS"/>
        </w:rPr>
      </w:pPr>
    </w:p>
    <w:p w14:paraId="2D60718F" w14:textId="77777777" w:rsidR="000D610C" w:rsidRPr="00B25C35" w:rsidRDefault="000D610C" w:rsidP="000D610C">
      <w:pPr>
        <w:spacing w:after="120"/>
        <w:ind w:left="3600" w:firstLine="720"/>
        <w:jc w:val="both"/>
        <w:rPr>
          <w:rFonts w:ascii="Book Antiqua" w:hAnsi="Book Antiqua"/>
          <w:b/>
          <w:sz w:val="22"/>
          <w:szCs w:val="22"/>
          <w:lang w:val="sr-Cyrl-RS"/>
        </w:rPr>
      </w:pPr>
      <w:r w:rsidRPr="00B25C35">
        <w:rPr>
          <w:rFonts w:ascii="Book Antiqua" w:hAnsi="Book Antiqua"/>
          <w:b/>
          <w:sz w:val="22"/>
          <w:szCs w:val="22"/>
          <w:lang w:val="sr-Cyrl-RS"/>
        </w:rPr>
        <w:t>В.Д. ПОМОЋНИКА ЗАШТИТНИКА ГРАЂАНА</w:t>
      </w:r>
    </w:p>
    <w:p w14:paraId="67F14BDF" w14:textId="77777777" w:rsidR="000D610C" w:rsidRPr="00B25C35" w:rsidRDefault="000D610C" w:rsidP="000D610C">
      <w:pPr>
        <w:spacing w:after="120"/>
        <w:jc w:val="both"/>
        <w:rPr>
          <w:rFonts w:ascii="Book Antiqua" w:hAnsi="Book Antiqua"/>
          <w:b/>
          <w:sz w:val="22"/>
          <w:szCs w:val="22"/>
          <w:lang w:val="sr-Cyrl-RS"/>
        </w:rPr>
      </w:pPr>
    </w:p>
    <w:p w14:paraId="2EF88A72" w14:textId="77777777" w:rsidR="000D610C" w:rsidRPr="00B25C35" w:rsidRDefault="000D610C" w:rsidP="000D610C">
      <w:pPr>
        <w:spacing w:after="120"/>
        <w:ind w:left="5040" w:firstLine="720"/>
        <w:jc w:val="both"/>
        <w:rPr>
          <w:rFonts w:ascii="Book Antiqua" w:hAnsi="Book Antiqua"/>
          <w:b/>
          <w:sz w:val="22"/>
          <w:szCs w:val="22"/>
          <w:lang w:val="sr-Cyrl-RS"/>
        </w:rPr>
      </w:pPr>
      <w:r w:rsidRPr="00B25C35">
        <w:rPr>
          <w:rFonts w:ascii="Book Antiqua" w:hAnsi="Book Antiqua"/>
          <w:b/>
          <w:sz w:val="22"/>
          <w:szCs w:val="22"/>
          <w:lang w:val="sr-Cyrl-RS"/>
        </w:rPr>
        <w:t>Данијела Радојевић</w:t>
      </w:r>
    </w:p>
    <w:p w14:paraId="0FE4087D" w14:textId="77777777" w:rsidR="000D610C" w:rsidRPr="00B25C35" w:rsidRDefault="000D610C" w:rsidP="000D610C">
      <w:pPr>
        <w:jc w:val="both"/>
        <w:rPr>
          <w:rFonts w:ascii="Book Antiqua" w:hAnsi="Book Antiqua"/>
          <w:i/>
          <w:sz w:val="22"/>
          <w:szCs w:val="22"/>
          <w:lang w:val="sr-Cyrl-RS"/>
        </w:rPr>
      </w:pPr>
    </w:p>
    <w:p w14:paraId="3A266B6B" w14:textId="77777777" w:rsidR="000D610C" w:rsidRPr="00B25C35" w:rsidRDefault="000D610C" w:rsidP="000D610C">
      <w:pPr>
        <w:jc w:val="both"/>
        <w:rPr>
          <w:rFonts w:ascii="Book Antiqua" w:hAnsi="Book Antiqua"/>
          <w:i/>
          <w:sz w:val="22"/>
          <w:szCs w:val="22"/>
          <w:lang w:val="sr-Cyrl-RS"/>
        </w:rPr>
      </w:pPr>
    </w:p>
    <w:p w14:paraId="6EF3B0B3" w14:textId="77777777" w:rsidR="000D610C" w:rsidRPr="00B25C35" w:rsidRDefault="000D610C" w:rsidP="000D610C">
      <w:pPr>
        <w:jc w:val="both"/>
        <w:rPr>
          <w:rFonts w:ascii="Book Antiqua" w:hAnsi="Book Antiqua"/>
          <w:i/>
          <w:sz w:val="22"/>
          <w:szCs w:val="22"/>
          <w:lang w:val="sr-Cyrl-RS"/>
        </w:rPr>
      </w:pPr>
    </w:p>
    <w:p w14:paraId="15CEB226" w14:textId="77777777" w:rsidR="000D610C" w:rsidRPr="00B25C35" w:rsidRDefault="000D610C" w:rsidP="000D610C">
      <w:pPr>
        <w:jc w:val="both"/>
        <w:rPr>
          <w:rFonts w:ascii="Book Antiqua" w:hAnsi="Book Antiqua"/>
          <w:i/>
          <w:sz w:val="22"/>
          <w:szCs w:val="22"/>
          <w:lang w:val="sr-Cyrl-RS"/>
        </w:rPr>
      </w:pPr>
    </w:p>
    <w:p w14:paraId="35951DAB" w14:textId="77777777" w:rsidR="000D610C" w:rsidRPr="00B25C35" w:rsidRDefault="000D610C" w:rsidP="000D610C">
      <w:pPr>
        <w:jc w:val="both"/>
        <w:rPr>
          <w:rFonts w:ascii="Book Antiqua" w:hAnsi="Book Antiqua"/>
          <w:i/>
          <w:sz w:val="22"/>
          <w:szCs w:val="22"/>
          <w:lang w:val="sr-Cyrl-RS"/>
        </w:rPr>
      </w:pPr>
      <w:r w:rsidRPr="00B25C35">
        <w:rPr>
          <w:rFonts w:ascii="Book Antiqua" w:hAnsi="Book Antiqua"/>
          <w:i/>
          <w:sz w:val="22"/>
          <w:szCs w:val="22"/>
          <w:lang w:val="sr-Cyrl-RS"/>
        </w:rPr>
        <w:t>Доставити:</w:t>
      </w:r>
    </w:p>
    <w:p w14:paraId="349FF600" w14:textId="77777777" w:rsidR="00560667" w:rsidRPr="00B25C35" w:rsidRDefault="00560667" w:rsidP="000D610C">
      <w:pPr>
        <w:jc w:val="both"/>
        <w:rPr>
          <w:rFonts w:ascii="Book Antiqua" w:hAnsi="Book Antiqua"/>
          <w:i/>
          <w:sz w:val="22"/>
          <w:szCs w:val="22"/>
          <w:lang w:val="sr-Cyrl-RS"/>
        </w:rPr>
      </w:pPr>
    </w:p>
    <w:p w14:paraId="77AD1F69" w14:textId="758E229C" w:rsidR="000D610C" w:rsidRPr="00B25C35" w:rsidRDefault="000467CB" w:rsidP="000D610C">
      <w:pPr>
        <w:jc w:val="both"/>
        <w:rPr>
          <w:i/>
          <w:lang w:val="sr-Cyrl-RS"/>
        </w:rPr>
      </w:pPr>
      <w:r w:rsidRPr="00B25C35">
        <w:rPr>
          <w:i/>
          <w:lang w:val="sr-Cyrl-RS"/>
        </w:rPr>
        <w:t>-Министарству за рад, запошљавање, борачка и социјална питања,</w:t>
      </w:r>
    </w:p>
    <w:p w14:paraId="479AEEF0" w14:textId="113432A6" w:rsidR="00560667" w:rsidRPr="00B25C35" w:rsidRDefault="00560667" w:rsidP="00560667">
      <w:pPr>
        <w:rPr>
          <w:rFonts w:ascii="Book Antiqua" w:hAnsi="Book Antiqua"/>
          <w:i/>
          <w:sz w:val="22"/>
          <w:szCs w:val="22"/>
          <w:lang w:val="sr-Cyrl-RS"/>
        </w:rPr>
      </w:pPr>
      <w:r w:rsidRPr="00B25C35">
        <w:rPr>
          <w:i/>
          <w:lang w:val="sr-Cyrl-RS"/>
        </w:rPr>
        <w:t>-</w:t>
      </w:r>
      <w:r w:rsidRPr="00B25C35">
        <w:rPr>
          <w:rFonts w:ascii="Book Antiqua" w:hAnsi="Book Antiqua"/>
          <w:i/>
          <w:sz w:val="22"/>
          <w:szCs w:val="22"/>
          <w:lang w:val="sr-Cyrl-RS"/>
        </w:rPr>
        <w:t>Министарству за бригу о породици и демографију,</w:t>
      </w:r>
    </w:p>
    <w:p w14:paraId="1DCD4754" w14:textId="37B253B9" w:rsidR="000467CB" w:rsidRPr="00B25C35" w:rsidRDefault="000467CB" w:rsidP="000467CB">
      <w:pPr>
        <w:rPr>
          <w:rStyle w:val="Hyperlink"/>
          <w:rFonts w:ascii="Book Antiqua" w:hAnsi="Book Antiqua"/>
          <w:i/>
          <w:sz w:val="22"/>
          <w:szCs w:val="22"/>
          <w:lang w:val="sr-Cyrl-RS"/>
        </w:rPr>
      </w:pPr>
      <w:r w:rsidRPr="00B25C35">
        <w:rPr>
          <w:rFonts w:ascii="Book Antiqua" w:hAnsi="Book Antiqua"/>
          <w:i/>
          <w:sz w:val="22"/>
          <w:szCs w:val="22"/>
          <w:lang w:val="sr-Cyrl-RS"/>
        </w:rPr>
        <w:t>-Градској управи града Суботице,</w:t>
      </w:r>
    </w:p>
    <w:p w14:paraId="673628B2" w14:textId="5720EFE8" w:rsidR="00560667" w:rsidRPr="00B25C35" w:rsidRDefault="00560667" w:rsidP="000467CB">
      <w:pPr>
        <w:rPr>
          <w:rFonts w:ascii="Book Antiqua" w:hAnsi="Book Antiqua"/>
          <w:i/>
          <w:sz w:val="22"/>
          <w:szCs w:val="22"/>
          <w:lang w:val="sr-Cyrl-RS"/>
        </w:rPr>
      </w:pPr>
      <w:r w:rsidRPr="00B25C35">
        <w:rPr>
          <w:i/>
          <w:lang w:val="sr-Cyrl-RS"/>
        </w:rPr>
        <w:t>-</w:t>
      </w:r>
      <w:proofErr w:type="spellStart"/>
      <w:r w:rsidRPr="00B25C35">
        <w:rPr>
          <w:i/>
          <w:lang w:val="sr-Cyrl-RS"/>
        </w:rPr>
        <w:t>притужиљи</w:t>
      </w:r>
      <w:proofErr w:type="spellEnd"/>
      <w:r w:rsidR="00A64E53">
        <w:rPr>
          <w:i/>
          <w:lang w:val="sr-Cyrl-RS"/>
        </w:rPr>
        <w:t>,</w:t>
      </w:r>
    </w:p>
    <w:p w14:paraId="23C423EF" w14:textId="77777777" w:rsidR="000467CB" w:rsidRPr="00B25C35" w:rsidRDefault="00535EB9" w:rsidP="000467CB">
      <w:pPr>
        <w:jc w:val="both"/>
        <w:rPr>
          <w:rFonts w:ascii="Book Antiqua" w:hAnsi="Book Antiqua"/>
          <w:i/>
          <w:sz w:val="22"/>
          <w:szCs w:val="22"/>
          <w:lang w:val="sr-Cyrl-RS"/>
        </w:rPr>
      </w:pPr>
      <w:r>
        <w:rPr>
          <w:rFonts w:ascii="Book Antiqua" w:hAnsi="Book Antiqua"/>
          <w:i/>
          <w:sz w:val="22"/>
          <w:szCs w:val="22"/>
          <w:lang w:val="sr-Cyrl-RS"/>
        </w:rPr>
        <w:t>-у</w:t>
      </w:r>
      <w:r w:rsidR="000467CB" w:rsidRPr="00B25C35">
        <w:rPr>
          <w:rFonts w:ascii="Book Antiqua" w:hAnsi="Book Antiqua"/>
          <w:i/>
          <w:sz w:val="22"/>
          <w:szCs w:val="22"/>
          <w:lang w:val="sr-Cyrl-RS"/>
        </w:rPr>
        <w:t xml:space="preserve"> списе предмета</w:t>
      </w:r>
    </w:p>
    <w:p w14:paraId="36A3578C" w14:textId="77777777" w:rsidR="00560667" w:rsidRPr="00B25C35" w:rsidRDefault="00560667" w:rsidP="000467CB">
      <w:pPr>
        <w:jc w:val="both"/>
        <w:rPr>
          <w:rFonts w:ascii="Book Antiqua" w:hAnsi="Book Antiqua"/>
          <w:i/>
          <w:sz w:val="22"/>
          <w:szCs w:val="22"/>
          <w:lang w:val="sr-Cyrl-RS"/>
        </w:rPr>
      </w:pPr>
    </w:p>
    <w:p w14:paraId="336279E4" w14:textId="77777777" w:rsidR="000D610C" w:rsidRPr="00B25C35" w:rsidRDefault="000D610C" w:rsidP="000D610C">
      <w:pPr>
        <w:rPr>
          <w:rFonts w:ascii="Book Antiqua" w:hAnsi="Book Antiqua"/>
          <w:sz w:val="22"/>
          <w:szCs w:val="22"/>
          <w:lang w:val="sr-Cyrl-RS"/>
        </w:rPr>
      </w:pPr>
    </w:p>
    <w:p w14:paraId="63EAE61C" w14:textId="77777777" w:rsidR="00062391" w:rsidRPr="00B25C35" w:rsidRDefault="00062391">
      <w:pPr>
        <w:rPr>
          <w:rFonts w:ascii="Book Antiqua" w:hAnsi="Book Antiqua"/>
          <w:sz w:val="22"/>
          <w:szCs w:val="22"/>
          <w:lang w:val="sr-Cyrl-RS"/>
        </w:rPr>
      </w:pPr>
    </w:p>
    <w:sectPr w:rsidR="00062391" w:rsidRPr="00B25C35" w:rsidSect="000C6940">
      <w:headerReference w:type="default" r:id="rId7"/>
      <w:footerReference w:type="default" r:id="rId8"/>
      <w:headerReference w:type="first" r:id="rId9"/>
      <w:footerReference w:type="first" r:id="rId10"/>
      <w:pgSz w:w="11909" w:h="16834" w:code="9"/>
      <w:pgMar w:top="720" w:right="1199" w:bottom="720" w:left="1080" w:header="533"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2899" w14:textId="77777777" w:rsidR="002406DA" w:rsidRDefault="002406DA" w:rsidP="000D610C">
      <w:r>
        <w:separator/>
      </w:r>
    </w:p>
  </w:endnote>
  <w:endnote w:type="continuationSeparator" w:id="0">
    <w:p w14:paraId="74E4B710" w14:textId="77777777" w:rsidR="002406DA" w:rsidRDefault="002406DA" w:rsidP="000D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FFD3" w14:textId="77777777" w:rsidR="00000000" w:rsidRPr="006E1454" w:rsidRDefault="00436CE1" w:rsidP="000C6940">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5F4D029D" w14:textId="77777777" w:rsidR="00000000" w:rsidRPr="009804E6" w:rsidRDefault="00436CE1" w:rsidP="000C6940">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D70C" w14:textId="77777777" w:rsidR="00000000" w:rsidRPr="006E1454" w:rsidRDefault="00436CE1" w:rsidP="000C6940">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14:paraId="6515AB18" w14:textId="77777777" w:rsidR="00000000" w:rsidRPr="000063C9" w:rsidRDefault="00436CE1" w:rsidP="000C6940">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r>
      <w:rPr>
        <w:rFonts w:ascii="Arial" w:hAnsi="Arial" w:cs="Arial"/>
        <w:color w:val="4D4D4D"/>
        <w:sz w:val="20"/>
        <w:szCs w:val="20"/>
        <w:lang w:val="en-US"/>
      </w:rPr>
      <w:t>ombudsman</w:t>
    </w:r>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E3EB" w14:textId="77777777" w:rsidR="002406DA" w:rsidRDefault="002406DA" w:rsidP="000D610C">
      <w:r>
        <w:separator/>
      </w:r>
    </w:p>
  </w:footnote>
  <w:footnote w:type="continuationSeparator" w:id="0">
    <w:p w14:paraId="72001616" w14:textId="77777777" w:rsidR="002406DA" w:rsidRDefault="002406DA" w:rsidP="000D610C">
      <w:r>
        <w:continuationSeparator/>
      </w:r>
    </w:p>
  </w:footnote>
  <w:footnote w:id="1">
    <w:p w14:paraId="6681E8A9" w14:textId="77777777" w:rsidR="00E17050" w:rsidRPr="009617D5" w:rsidRDefault="00E17050" w:rsidP="00E17050">
      <w:pPr>
        <w:rPr>
          <w:rFonts w:ascii="Book Antiqua" w:hAnsi="Book Antiqua"/>
          <w:sz w:val="18"/>
          <w:szCs w:val="18"/>
          <w:lang w:val="sr-Cyrl-RS"/>
        </w:rPr>
      </w:pPr>
      <w:r w:rsidRPr="009617D5">
        <w:rPr>
          <w:rStyle w:val="FootnoteReference"/>
          <w:rFonts w:ascii="Book Antiqua" w:hAnsi="Book Antiqua"/>
          <w:sz w:val="18"/>
          <w:szCs w:val="18"/>
        </w:rPr>
        <w:footnoteRef/>
      </w:r>
      <w:r w:rsidRPr="009617D5">
        <w:rPr>
          <w:rFonts w:ascii="Book Antiqua" w:hAnsi="Book Antiqua"/>
          <w:sz w:val="18"/>
          <w:szCs w:val="18"/>
        </w:rPr>
        <w:t xml:space="preserve"> </w:t>
      </w:r>
      <w:r w:rsidRPr="009617D5">
        <w:rPr>
          <w:rFonts w:ascii="Book Antiqua" w:eastAsia="Calibri" w:hAnsi="Book Antiqua"/>
          <w:sz w:val="18"/>
          <w:szCs w:val="18"/>
          <w:lang w:val="sr-Latn-CS"/>
        </w:rPr>
        <w:t>"</w:t>
      </w:r>
      <w:proofErr w:type="spellStart"/>
      <w:r w:rsidRPr="009617D5">
        <w:rPr>
          <w:rFonts w:ascii="Book Antiqua" w:eastAsia="Calibri" w:hAnsi="Book Antiqua"/>
          <w:sz w:val="18"/>
          <w:szCs w:val="18"/>
          <w:lang w:val="sr-Latn-CS"/>
        </w:rPr>
        <w:t>Сл</w:t>
      </w:r>
      <w:proofErr w:type="spellEnd"/>
      <w:r w:rsidRPr="009617D5">
        <w:rPr>
          <w:rFonts w:ascii="Book Antiqua" w:eastAsia="Calibri" w:hAnsi="Book Antiqua"/>
          <w:sz w:val="18"/>
          <w:szCs w:val="18"/>
          <w:lang w:val="sr-Latn-CS"/>
        </w:rPr>
        <w:t xml:space="preserve">. </w:t>
      </w:r>
      <w:proofErr w:type="spellStart"/>
      <w:r w:rsidRPr="009617D5">
        <w:rPr>
          <w:rFonts w:ascii="Book Antiqua" w:eastAsia="Calibri" w:hAnsi="Book Antiqua"/>
          <w:sz w:val="18"/>
          <w:szCs w:val="18"/>
          <w:lang w:val="sr-Latn-CS"/>
        </w:rPr>
        <w:t>лист</w:t>
      </w:r>
      <w:proofErr w:type="spellEnd"/>
      <w:r w:rsidRPr="009617D5">
        <w:rPr>
          <w:rFonts w:ascii="Book Antiqua" w:eastAsia="Calibri" w:hAnsi="Book Antiqua"/>
          <w:sz w:val="18"/>
          <w:szCs w:val="18"/>
          <w:lang w:val="sr-Latn-CS"/>
        </w:rPr>
        <w:t xml:space="preserve"> СФРЈ - </w:t>
      </w:r>
      <w:proofErr w:type="spellStart"/>
      <w:r w:rsidRPr="009617D5">
        <w:rPr>
          <w:rFonts w:ascii="Book Antiqua" w:eastAsia="Calibri" w:hAnsi="Book Antiqua"/>
          <w:sz w:val="18"/>
          <w:szCs w:val="18"/>
          <w:lang w:val="sr-Latn-CS"/>
        </w:rPr>
        <w:t>Међународни</w:t>
      </w:r>
      <w:proofErr w:type="spellEnd"/>
      <w:r w:rsidRPr="009617D5">
        <w:rPr>
          <w:rFonts w:ascii="Book Antiqua" w:eastAsia="Calibri" w:hAnsi="Book Antiqua"/>
          <w:sz w:val="18"/>
          <w:szCs w:val="18"/>
          <w:lang w:val="sr-Latn-CS"/>
        </w:rPr>
        <w:t xml:space="preserve"> </w:t>
      </w:r>
      <w:proofErr w:type="spellStart"/>
      <w:r w:rsidRPr="009617D5">
        <w:rPr>
          <w:rFonts w:ascii="Book Antiqua" w:eastAsia="Calibri" w:hAnsi="Book Antiqua"/>
          <w:sz w:val="18"/>
          <w:szCs w:val="18"/>
          <w:lang w:val="sr-Latn-CS"/>
        </w:rPr>
        <w:t>уговори</w:t>
      </w:r>
      <w:proofErr w:type="spellEnd"/>
      <w:r w:rsidRPr="009617D5">
        <w:rPr>
          <w:rFonts w:ascii="Book Antiqua" w:eastAsia="Calibri" w:hAnsi="Book Antiqua"/>
          <w:sz w:val="18"/>
          <w:szCs w:val="18"/>
          <w:lang w:val="sr-Latn-CS"/>
        </w:rPr>
        <w:t xml:space="preserve">", </w:t>
      </w:r>
      <w:proofErr w:type="spellStart"/>
      <w:r w:rsidRPr="009617D5">
        <w:rPr>
          <w:rFonts w:ascii="Book Antiqua" w:eastAsia="Calibri" w:hAnsi="Book Antiqua"/>
          <w:sz w:val="18"/>
          <w:szCs w:val="18"/>
          <w:lang w:val="sr-Latn-CS"/>
        </w:rPr>
        <w:t>бр</w:t>
      </w:r>
      <w:proofErr w:type="spellEnd"/>
      <w:r w:rsidRPr="009617D5">
        <w:rPr>
          <w:rFonts w:ascii="Book Antiqua" w:eastAsia="Calibri" w:hAnsi="Book Antiqua"/>
          <w:sz w:val="18"/>
          <w:szCs w:val="18"/>
          <w:lang w:val="sr-Latn-CS"/>
        </w:rPr>
        <w:t>. 15/90 и "</w:t>
      </w:r>
      <w:proofErr w:type="spellStart"/>
      <w:r w:rsidRPr="009617D5">
        <w:rPr>
          <w:rFonts w:ascii="Book Antiqua" w:eastAsia="Calibri" w:hAnsi="Book Antiqua"/>
          <w:sz w:val="18"/>
          <w:szCs w:val="18"/>
          <w:lang w:val="sr-Latn-CS"/>
        </w:rPr>
        <w:t>Сл</w:t>
      </w:r>
      <w:proofErr w:type="spellEnd"/>
      <w:r w:rsidRPr="009617D5">
        <w:rPr>
          <w:rFonts w:ascii="Book Antiqua" w:eastAsia="Calibri" w:hAnsi="Book Antiqua"/>
          <w:sz w:val="18"/>
          <w:szCs w:val="18"/>
          <w:lang w:val="sr-Latn-CS"/>
        </w:rPr>
        <w:t xml:space="preserve">. </w:t>
      </w:r>
      <w:proofErr w:type="spellStart"/>
      <w:r w:rsidRPr="009617D5">
        <w:rPr>
          <w:rFonts w:ascii="Book Antiqua" w:eastAsia="Calibri" w:hAnsi="Book Antiqua"/>
          <w:sz w:val="18"/>
          <w:szCs w:val="18"/>
          <w:lang w:val="sr-Latn-CS"/>
        </w:rPr>
        <w:t>лист</w:t>
      </w:r>
      <w:proofErr w:type="spellEnd"/>
      <w:r w:rsidRPr="009617D5">
        <w:rPr>
          <w:rFonts w:ascii="Book Antiqua" w:eastAsia="Calibri" w:hAnsi="Book Antiqua"/>
          <w:sz w:val="18"/>
          <w:szCs w:val="18"/>
          <w:lang w:val="sr-Latn-CS"/>
        </w:rPr>
        <w:t xml:space="preserve"> СРЈ - </w:t>
      </w:r>
      <w:proofErr w:type="spellStart"/>
      <w:r w:rsidRPr="009617D5">
        <w:rPr>
          <w:rFonts w:ascii="Book Antiqua" w:eastAsia="Calibri" w:hAnsi="Book Antiqua"/>
          <w:sz w:val="18"/>
          <w:szCs w:val="18"/>
          <w:lang w:val="sr-Latn-CS"/>
        </w:rPr>
        <w:t>Међународни</w:t>
      </w:r>
      <w:proofErr w:type="spellEnd"/>
      <w:r w:rsidRPr="009617D5">
        <w:rPr>
          <w:rFonts w:ascii="Book Antiqua" w:eastAsia="Calibri" w:hAnsi="Book Antiqua"/>
          <w:sz w:val="18"/>
          <w:szCs w:val="18"/>
          <w:lang w:val="sr-Latn-CS"/>
        </w:rPr>
        <w:t xml:space="preserve"> </w:t>
      </w:r>
      <w:proofErr w:type="spellStart"/>
      <w:r w:rsidRPr="009617D5">
        <w:rPr>
          <w:rFonts w:ascii="Book Antiqua" w:eastAsia="Calibri" w:hAnsi="Book Antiqua"/>
          <w:sz w:val="18"/>
          <w:szCs w:val="18"/>
          <w:lang w:val="sr-Latn-CS"/>
        </w:rPr>
        <w:t>уговори</w:t>
      </w:r>
      <w:proofErr w:type="spellEnd"/>
      <w:r w:rsidRPr="009617D5">
        <w:rPr>
          <w:rFonts w:ascii="Book Antiqua" w:eastAsia="Calibri" w:hAnsi="Book Antiqua"/>
          <w:sz w:val="18"/>
          <w:szCs w:val="18"/>
          <w:lang w:val="sr-Latn-CS"/>
        </w:rPr>
        <w:t xml:space="preserve">, </w:t>
      </w:r>
      <w:proofErr w:type="spellStart"/>
      <w:r w:rsidRPr="009617D5">
        <w:rPr>
          <w:rFonts w:ascii="Book Antiqua" w:eastAsia="Calibri" w:hAnsi="Book Antiqua"/>
          <w:sz w:val="18"/>
          <w:szCs w:val="18"/>
          <w:lang w:val="sr-Latn-CS"/>
        </w:rPr>
        <w:t>бр</w:t>
      </w:r>
      <w:proofErr w:type="spellEnd"/>
      <w:r w:rsidRPr="009617D5">
        <w:rPr>
          <w:rFonts w:ascii="Book Antiqua" w:eastAsia="Calibri" w:hAnsi="Book Antiqua"/>
          <w:sz w:val="18"/>
          <w:szCs w:val="18"/>
          <w:lang w:val="sr-Latn-CS"/>
        </w:rPr>
        <w:t>. 4/96 и 2/97</w:t>
      </w:r>
    </w:p>
  </w:footnote>
  <w:footnote w:id="2">
    <w:p w14:paraId="20C77F47" w14:textId="77777777" w:rsidR="00E17050" w:rsidRPr="009617D5" w:rsidRDefault="00E17050" w:rsidP="00E17050">
      <w:pPr>
        <w:rPr>
          <w:rFonts w:ascii="Book Antiqua" w:hAnsi="Book Antiqua"/>
          <w:sz w:val="18"/>
          <w:szCs w:val="18"/>
          <w:lang w:val="sr-Cyrl-RS"/>
        </w:rPr>
      </w:pPr>
      <w:r w:rsidRPr="009617D5">
        <w:rPr>
          <w:rStyle w:val="FootnoteReference"/>
          <w:rFonts w:ascii="Book Antiqua" w:hAnsi="Book Antiqua"/>
          <w:sz w:val="18"/>
          <w:szCs w:val="18"/>
        </w:rPr>
        <w:footnoteRef/>
      </w:r>
      <w:r w:rsidRPr="009617D5">
        <w:rPr>
          <w:rFonts w:ascii="Book Antiqua" w:hAnsi="Book Antiqua"/>
          <w:sz w:val="18"/>
          <w:szCs w:val="18"/>
        </w:rPr>
        <w:t xml:space="preserve"> </w:t>
      </w:r>
      <w:proofErr w:type="spellStart"/>
      <w:r w:rsidRPr="009617D5">
        <w:rPr>
          <w:rFonts w:ascii="Book Antiqua" w:eastAsia="Calibri" w:hAnsi="Book Antiqua"/>
          <w:sz w:val="18"/>
          <w:szCs w:val="18"/>
          <w:lang w:val="en-US"/>
        </w:rPr>
        <w:t>чл</w:t>
      </w:r>
      <w:proofErr w:type="spellEnd"/>
      <w:r w:rsidRPr="009617D5">
        <w:rPr>
          <w:rFonts w:ascii="Book Antiqua" w:eastAsia="Calibri" w:hAnsi="Book Antiqua"/>
          <w:sz w:val="18"/>
          <w:szCs w:val="18"/>
          <w:lang w:val="en-US"/>
        </w:rPr>
        <w:t xml:space="preserve">. 4. </w:t>
      </w:r>
      <w:proofErr w:type="spellStart"/>
      <w:r w:rsidRPr="009617D5">
        <w:rPr>
          <w:rFonts w:ascii="Book Antiqua" w:eastAsia="Calibri" w:hAnsi="Book Antiqua"/>
          <w:sz w:val="18"/>
          <w:szCs w:val="18"/>
          <w:lang w:val="en-US"/>
        </w:rPr>
        <w:t>Конвенције</w:t>
      </w:r>
      <w:proofErr w:type="spellEnd"/>
    </w:p>
  </w:footnote>
  <w:footnote w:id="3">
    <w:p w14:paraId="206A7F24" w14:textId="77777777" w:rsidR="00E17050" w:rsidRPr="009617D5" w:rsidRDefault="00E17050">
      <w:pPr>
        <w:pStyle w:val="FootnoteText"/>
        <w:rPr>
          <w:rFonts w:ascii="Book Antiqua" w:hAnsi="Book Antiqua"/>
          <w:sz w:val="18"/>
          <w:szCs w:val="18"/>
          <w:lang w:val="sr-Cyrl-RS"/>
        </w:rPr>
      </w:pPr>
      <w:r w:rsidRPr="009617D5">
        <w:rPr>
          <w:rStyle w:val="FootnoteReference"/>
          <w:rFonts w:ascii="Book Antiqua" w:hAnsi="Book Antiqua"/>
          <w:sz w:val="18"/>
          <w:szCs w:val="18"/>
        </w:rPr>
        <w:footnoteRef/>
      </w:r>
      <w:r w:rsidRPr="009617D5">
        <w:rPr>
          <w:rFonts w:ascii="Book Antiqua" w:hAnsi="Book Antiqua"/>
          <w:sz w:val="18"/>
          <w:szCs w:val="18"/>
        </w:rPr>
        <w:t xml:space="preserve"> </w:t>
      </w:r>
      <w:r w:rsidRPr="009617D5">
        <w:rPr>
          <w:rFonts w:ascii="Book Antiqua" w:eastAsia="Times New Roman" w:hAnsi="Book Antiqua"/>
          <w:sz w:val="18"/>
          <w:szCs w:val="18"/>
          <w:lang w:val="sr-Cyrl-CS"/>
        </w:rPr>
        <w:t>чл. 3. Конвенције</w:t>
      </w:r>
    </w:p>
  </w:footnote>
  <w:footnote w:id="4">
    <w:p w14:paraId="309C5255" w14:textId="77777777" w:rsidR="00E17050" w:rsidRPr="009617D5" w:rsidRDefault="00E17050">
      <w:pPr>
        <w:pStyle w:val="FootnoteText"/>
        <w:rPr>
          <w:rFonts w:ascii="Book Antiqua" w:hAnsi="Book Antiqua"/>
          <w:sz w:val="18"/>
          <w:szCs w:val="18"/>
          <w:lang w:val="sr-Cyrl-RS"/>
        </w:rPr>
      </w:pPr>
      <w:r w:rsidRPr="009617D5">
        <w:rPr>
          <w:rStyle w:val="FootnoteReference"/>
          <w:rFonts w:ascii="Book Antiqua" w:hAnsi="Book Antiqua"/>
          <w:sz w:val="18"/>
          <w:szCs w:val="18"/>
        </w:rPr>
        <w:footnoteRef/>
      </w:r>
      <w:r w:rsidRPr="009617D5">
        <w:rPr>
          <w:rFonts w:ascii="Book Antiqua" w:hAnsi="Book Antiqua"/>
          <w:sz w:val="18"/>
          <w:szCs w:val="18"/>
        </w:rPr>
        <w:t xml:space="preserve"> </w:t>
      </w:r>
      <w:proofErr w:type="spellStart"/>
      <w:r w:rsidRPr="009617D5">
        <w:rPr>
          <w:rFonts w:ascii="Book Antiqua" w:hAnsi="Book Antiqua"/>
          <w:sz w:val="18"/>
          <w:szCs w:val="18"/>
        </w:rPr>
        <w:t>чл</w:t>
      </w:r>
      <w:proofErr w:type="spellEnd"/>
      <w:r w:rsidRPr="009617D5">
        <w:rPr>
          <w:rFonts w:ascii="Book Antiqua" w:hAnsi="Book Antiqua"/>
          <w:sz w:val="18"/>
          <w:szCs w:val="18"/>
        </w:rPr>
        <w:t xml:space="preserve">. 3. </w:t>
      </w:r>
      <w:proofErr w:type="spellStart"/>
      <w:r w:rsidRPr="009617D5">
        <w:rPr>
          <w:rFonts w:ascii="Book Antiqua" w:hAnsi="Book Antiqua"/>
          <w:sz w:val="18"/>
          <w:szCs w:val="18"/>
        </w:rPr>
        <w:t>Конвенције</w:t>
      </w:r>
      <w:proofErr w:type="spellEnd"/>
    </w:p>
  </w:footnote>
  <w:footnote w:id="5">
    <w:p w14:paraId="780F60F1" w14:textId="77777777" w:rsidR="00E17050" w:rsidRPr="009617D5" w:rsidRDefault="00E17050">
      <w:pPr>
        <w:pStyle w:val="FootnoteText"/>
        <w:rPr>
          <w:rFonts w:ascii="Book Antiqua" w:hAnsi="Book Antiqua"/>
          <w:sz w:val="18"/>
          <w:szCs w:val="18"/>
          <w:lang w:val="sr-Cyrl-RS"/>
        </w:rPr>
      </w:pPr>
      <w:r w:rsidRPr="009617D5">
        <w:rPr>
          <w:rStyle w:val="FootnoteReference"/>
          <w:rFonts w:ascii="Book Antiqua" w:hAnsi="Book Antiqua"/>
          <w:sz w:val="18"/>
          <w:szCs w:val="18"/>
        </w:rPr>
        <w:footnoteRef/>
      </w:r>
      <w:r w:rsidRPr="009617D5">
        <w:rPr>
          <w:rFonts w:ascii="Book Antiqua" w:hAnsi="Book Antiqua"/>
          <w:sz w:val="18"/>
          <w:szCs w:val="18"/>
        </w:rPr>
        <w:t xml:space="preserve"> </w:t>
      </w:r>
      <w:proofErr w:type="spellStart"/>
      <w:r w:rsidRPr="009617D5">
        <w:rPr>
          <w:rFonts w:ascii="Book Antiqua" w:hAnsi="Book Antiqua"/>
          <w:sz w:val="18"/>
          <w:szCs w:val="18"/>
        </w:rPr>
        <w:t>чл</w:t>
      </w:r>
      <w:proofErr w:type="spellEnd"/>
      <w:r w:rsidRPr="009617D5">
        <w:rPr>
          <w:rFonts w:ascii="Book Antiqua" w:hAnsi="Book Antiqua"/>
          <w:sz w:val="18"/>
          <w:szCs w:val="18"/>
        </w:rPr>
        <w:t xml:space="preserve">. 18. </w:t>
      </w:r>
      <w:proofErr w:type="spellStart"/>
      <w:r w:rsidRPr="009617D5">
        <w:rPr>
          <w:rFonts w:ascii="Book Antiqua" w:hAnsi="Book Antiqua"/>
          <w:sz w:val="18"/>
          <w:szCs w:val="18"/>
        </w:rPr>
        <w:t>Конвенције</w:t>
      </w:r>
      <w:proofErr w:type="spellEnd"/>
    </w:p>
  </w:footnote>
  <w:footnote w:id="6">
    <w:p w14:paraId="0106E422" w14:textId="77777777" w:rsidR="00E17050" w:rsidRPr="009617D5" w:rsidRDefault="00E17050">
      <w:pPr>
        <w:pStyle w:val="FootnoteText"/>
        <w:rPr>
          <w:rFonts w:ascii="Book Antiqua" w:hAnsi="Book Antiqua"/>
          <w:sz w:val="18"/>
          <w:szCs w:val="18"/>
          <w:lang w:val="sr-Cyrl-RS"/>
        </w:rPr>
      </w:pPr>
      <w:r w:rsidRPr="009617D5">
        <w:rPr>
          <w:rStyle w:val="FootnoteReference"/>
          <w:rFonts w:ascii="Book Antiqua" w:hAnsi="Book Antiqua"/>
          <w:sz w:val="18"/>
          <w:szCs w:val="18"/>
        </w:rPr>
        <w:footnoteRef/>
      </w:r>
      <w:r w:rsidRPr="009617D5">
        <w:rPr>
          <w:rFonts w:ascii="Book Antiqua" w:hAnsi="Book Antiqua"/>
          <w:sz w:val="18"/>
          <w:szCs w:val="18"/>
        </w:rPr>
        <w:t xml:space="preserve"> </w:t>
      </w:r>
      <w:proofErr w:type="spellStart"/>
      <w:r w:rsidRPr="009617D5">
        <w:rPr>
          <w:rFonts w:ascii="Book Antiqua" w:hAnsi="Book Antiqua"/>
          <w:sz w:val="18"/>
          <w:szCs w:val="18"/>
        </w:rPr>
        <w:t>чл</w:t>
      </w:r>
      <w:proofErr w:type="spellEnd"/>
      <w:r w:rsidRPr="009617D5">
        <w:rPr>
          <w:rFonts w:ascii="Book Antiqua" w:hAnsi="Book Antiqua"/>
          <w:sz w:val="18"/>
          <w:szCs w:val="18"/>
        </w:rPr>
        <w:t xml:space="preserve">. 27. </w:t>
      </w:r>
      <w:proofErr w:type="spellStart"/>
      <w:r w:rsidRPr="009617D5">
        <w:rPr>
          <w:rFonts w:ascii="Book Antiqua" w:hAnsi="Book Antiqua"/>
          <w:sz w:val="18"/>
          <w:szCs w:val="18"/>
        </w:rPr>
        <w:t>Конвенције</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0486" w14:textId="77777777" w:rsidR="00000000" w:rsidRDefault="00436CE1" w:rsidP="000C6940">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535EB9">
      <w:rPr>
        <w:rStyle w:val="PageNumber"/>
        <w:noProof/>
      </w:rPr>
      <w:t>2</w:t>
    </w:r>
    <w:r>
      <w:rPr>
        <w:rStyle w:val="PageNumber"/>
      </w:rPr>
      <w:fldChar w:fldCharType="end"/>
    </w:r>
  </w:p>
  <w:p w14:paraId="096E6F2F" w14:textId="77777777" w:rsidR="00000000" w:rsidRPr="00AA62CD" w:rsidRDefault="00436CE1">
    <w:pPr>
      <w:pStyle w:val="Header"/>
      <w:rPr>
        <w:lang w:val="en-US"/>
      </w:rPr>
    </w:pPr>
    <w:r>
      <w:rPr>
        <w:lang w:val="en-US"/>
      </w:rPr>
      <w:t>____________________________________________________________________________</w:t>
    </w:r>
    <w:r>
      <w:rPr>
        <w:lang w:val="sr-Cyrl-RS"/>
      </w:rPr>
      <w:t>__</w:t>
    </w:r>
    <w:r>
      <w:rPr>
        <w:lang w:val="en-US"/>
      </w:rPr>
      <w:t>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0A0" w:firstRow="1" w:lastRow="0" w:firstColumn="1" w:lastColumn="0" w:noHBand="0" w:noVBand="0"/>
    </w:tblPr>
    <w:tblGrid>
      <w:gridCol w:w="3600"/>
      <w:gridCol w:w="2520"/>
      <w:gridCol w:w="3240"/>
    </w:tblGrid>
    <w:tr w:rsidR="000C6940" w:rsidRPr="00A0248D" w14:paraId="5AAD9F83" w14:textId="77777777">
      <w:tc>
        <w:tcPr>
          <w:tcW w:w="3600" w:type="dxa"/>
        </w:tcPr>
        <w:p w14:paraId="0C5BD51B" w14:textId="77777777" w:rsidR="00000000" w:rsidRPr="00A0248D" w:rsidRDefault="00436CE1" w:rsidP="000C6940">
          <w:pPr>
            <w:pStyle w:val="BodyTextIndent"/>
            <w:tabs>
              <w:tab w:val="left" w:pos="552"/>
              <w:tab w:val="center" w:pos="1368"/>
            </w:tabs>
            <w:ind w:firstLine="0"/>
            <w:jc w:val="center"/>
            <w:rPr>
              <w:rFonts w:ascii="Book Antiqua" w:hAnsi="Book Antiqua"/>
              <w:spacing w:val="6"/>
              <w:sz w:val="22"/>
              <w:szCs w:val="22"/>
            </w:rPr>
          </w:pP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fldChar w:fldCharType="begin"/>
          </w:r>
          <w:r>
            <w:instrText xml:space="preserve"> INCLUDEPICTURE  "http://we2.cekos.com/ce/faces/servlet/gifimage?07797801-06.gif" \* MERGEFORMATINET </w:instrText>
          </w:r>
          <w:r>
            <w:fldChar w:fldCharType="separate"/>
          </w:r>
          <w:r w:rsidR="00424E30">
            <w:fldChar w:fldCharType="begin"/>
          </w:r>
          <w:r w:rsidR="00424E30">
            <w:instrText xml:space="preserve"> INCLUDEPICTURE  "http://we2.cekos.com/ce/faces/servlet/gifimage?07797801-06.gif" \* MERGEFORMATINET </w:instrText>
          </w:r>
          <w:r w:rsidR="00424E30">
            <w:fldChar w:fldCharType="separate"/>
          </w:r>
          <w:r w:rsidR="00000000">
            <w:fldChar w:fldCharType="begin"/>
          </w:r>
          <w:r w:rsidR="00000000">
            <w:instrText xml:space="preserve"> INCLUDEPICTURE  "http://we2.cekos.com/ce/faces/servlet/gifimage?07797801-06.gif" \* MERGEFORMATINET </w:instrText>
          </w:r>
          <w:r w:rsidR="00000000">
            <w:fldChar w:fldCharType="separate"/>
          </w:r>
          <w:r w:rsidR="00A64E53">
            <w:pict w14:anchorId="22A26D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lika" style="width:37.5pt;height:74.25pt">
                <v:imagedata r:id="rId1" r:href="rId2"/>
              </v:shape>
            </w:pict>
          </w:r>
          <w:r w:rsidR="00000000">
            <w:fldChar w:fldCharType="end"/>
          </w:r>
          <w:r w:rsidR="00424E30">
            <w:fldChar w:fldCharType="end"/>
          </w:r>
          <w:r>
            <w:fldChar w:fldCharType="end"/>
          </w:r>
          <w:r>
            <w:fldChar w:fldCharType="end"/>
          </w:r>
          <w:r>
            <w:fldChar w:fldCharType="end"/>
          </w:r>
          <w:r>
            <w:fldChar w:fldCharType="end"/>
          </w:r>
          <w:r>
            <w:fldChar w:fldCharType="end"/>
          </w:r>
          <w:r>
            <w:fldChar w:fldCharType="end"/>
          </w:r>
          <w:r>
            <w:fldChar w:fldCharType="end"/>
          </w:r>
        </w:p>
      </w:tc>
      <w:tc>
        <w:tcPr>
          <w:tcW w:w="2520" w:type="dxa"/>
        </w:tcPr>
        <w:p w14:paraId="3A0B31BE" w14:textId="77777777" w:rsidR="00000000" w:rsidRPr="00A0248D" w:rsidRDefault="00000000" w:rsidP="000C6940">
          <w:pPr>
            <w:pStyle w:val="BodyTextIndent"/>
            <w:ind w:firstLine="0"/>
            <w:jc w:val="left"/>
            <w:rPr>
              <w:rFonts w:ascii="Book Antiqua" w:hAnsi="Book Antiqua"/>
              <w:spacing w:val="6"/>
              <w:sz w:val="22"/>
              <w:szCs w:val="22"/>
            </w:rPr>
          </w:pPr>
        </w:p>
      </w:tc>
      <w:tc>
        <w:tcPr>
          <w:tcW w:w="3240" w:type="dxa"/>
          <w:vMerge w:val="restart"/>
        </w:tcPr>
        <w:p w14:paraId="5A80240F" w14:textId="77777777" w:rsidR="00000000" w:rsidRPr="00A0248D" w:rsidRDefault="00000000" w:rsidP="000C6940">
          <w:pPr>
            <w:pStyle w:val="BodyTextIndent"/>
            <w:ind w:firstLine="0"/>
            <w:jc w:val="center"/>
            <w:rPr>
              <w:rFonts w:ascii="Book Antiqua" w:hAnsi="Book Antiqua"/>
              <w:spacing w:val="6"/>
              <w:sz w:val="22"/>
              <w:szCs w:val="22"/>
              <w:lang w:val="sr-Latn-CS"/>
            </w:rPr>
          </w:pPr>
        </w:p>
        <w:p w14:paraId="00F42BB8" w14:textId="77777777" w:rsidR="00000000" w:rsidRPr="00A0248D" w:rsidRDefault="00000000" w:rsidP="000C6940">
          <w:pPr>
            <w:pStyle w:val="BodyTextIndent"/>
            <w:ind w:firstLine="0"/>
            <w:jc w:val="center"/>
            <w:rPr>
              <w:rFonts w:ascii="Book Antiqua" w:hAnsi="Book Antiqua"/>
              <w:spacing w:val="6"/>
              <w:sz w:val="22"/>
              <w:szCs w:val="22"/>
              <w:lang w:val="sr-Latn-CS"/>
            </w:rPr>
          </w:pPr>
        </w:p>
        <w:p w14:paraId="323DE446" w14:textId="77777777" w:rsidR="00000000" w:rsidRPr="00A0248D" w:rsidRDefault="00436CE1" w:rsidP="000C6940">
          <w:pPr>
            <w:pStyle w:val="BodyTextIndent"/>
            <w:tabs>
              <w:tab w:val="left" w:pos="348"/>
              <w:tab w:val="center" w:pos="1584"/>
            </w:tabs>
            <w:ind w:firstLine="0"/>
            <w:jc w:val="left"/>
            <w:rPr>
              <w:rFonts w:ascii="Book Antiqua" w:hAnsi="Book Antiqua"/>
              <w:spacing w:val="6"/>
              <w:sz w:val="22"/>
              <w:szCs w:val="22"/>
            </w:rPr>
          </w:pPr>
          <w:r w:rsidRPr="00A0248D">
            <w:rPr>
              <w:rFonts w:ascii="Book Antiqua" w:hAnsi="Book Antiqua"/>
              <w:spacing w:val="6"/>
              <w:sz w:val="22"/>
              <w:szCs w:val="22"/>
            </w:rPr>
            <w:tab/>
          </w:r>
          <w:r w:rsidRPr="00A0248D">
            <w:rPr>
              <w:rFonts w:ascii="Book Antiqua" w:hAnsi="Book Antiqua"/>
              <w:spacing w:val="6"/>
              <w:sz w:val="22"/>
              <w:szCs w:val="22"/>
            </w:rPr>
            <w:tab/>
          </w:r>
          <w:r w:rsidRPr="00A0248D">
            <w:rPr>
              <w:rFonts w:ascii="Book Antiqua" w:hAnsi="Book Antiqua"/>
              <w:noProof/>
              <w:spacing w:val="6"/>
              <w:sz w:val="22"/>
              <w:szCs w:val="22"/>
              <w:lang w:val="en-US"/>
            </w:rPr>
            <w:drawing>
              <wp:inline distT="0" distB="0" distL="0" distR="0" wp14:anchorId="4C5A607B" wp14:editId="42342BD2">
                <wp:extent cx="1419225" cy="1076325"/>
                <wp:effectExtent l="0" t="0" r="9525" b="9525"/>
                <wp:docPr id="1" name="Picture 1"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9225" cy="1076325"/>
                        </a:xfrm>
                        <a:prstGeom prst="rect">
                          <a:avLst/>
                        </a:prstGeom>
                        <a:noFill/>
                        <a:ln>
                          <a:noFill/>
                        </a:ln>
                      </pic:spPr>
                    </pic:pic>
                  </a:graphicData>
                </a:graphic>
              </wp:inline>
            </w:drawing>
          </w:r>
        </w:p>
        <w:p w14:paraId="0B6B0E47" w14:textId="77777777" w:rsidR="00000000" w:rsidRPr="00A0248D" w:rsidRDefault="00000000" w:rsidP="000C6940">
          <w:pPr>
            <w:pStyle w:val="BodyTextIndent"/>
            <w:ind w:firstLine="0"/>
            <w:jc w:val="center"/>
            <w:rPr>
              <w:rFonts w:ascii="Book Antiqua" w:hAnsi="Book Antiqua"/>
              <w:spacing w:val="6"/>
              <w:sz w:val="22"/>
              <w:szCs w:val="22"/>
            </w:rPr>
          </w:pPr>
        </w:p>
        <w:p w14:paraId="250F654A" w14:textId="77777777" w:rsidR="00000000" w:rsidRPr="00A0248D" w:rsidRDefault="00000000" w:rsidP="000C6940">
          <w:pPr>
            <w:pStyle w:val="BodyTextIndent"/>
            <w:ind w:firstLine="0"/>
            <w:jc w:val="center"/>
            <w:rPr>
              <w:rFonts w:ascii="Book Antiqua" w:hAnsi="Book Antiqua"/>
              <w:spacing w:val="6"/>
              <w:sz w:val="22"/>
              <w:szCs w:val="22"/>
            </w:rPr>
          </w:pPr>
        </w:p>
      </w:tc>
    </w:tr>
    <w:tr w:rsidR="000C6940" w:rsidRPr="00A0248D" w14:paraId="68A6B090" w14:textId="77777777">
      <w:tc>
        <w:tcPr>
          <w:tcW w:w="3600" w:type="dxa"/>
          <w:tcBorders>
            <w:bottom w:val="single" w:sz="4" w:space="0" w:color="auto"/>
          </w:tcBorders>
        </w:tcPr>
        <w:p w14:paraId="51CD3BB1" w14:textId="77777777" w:rsidR="00000000" w:rsidRPr="00A0248D" w:rsidRDefault="00000000" w:rsidP="000C6940">
          <w:pPr>
            <w:pStyle w:val="BodyTextIndent"/>
            <w:ind w:firstLine="0"/>
            <w:jc w:val="center"/>
            <w:rPr>
              <w:rFonts w:ascii="Georgia" w:eastAsia="Arial Unicode MS" w:hAnsi="Georgia" w:cs="Arial Unicode MS"/>
              <w:b/>
              <w:bCs/>
              <w:sz w:val="22"/>
              <w:szCs w:val="22"/>
              <w:lang w:val="sr-Latn-CS"/>
            </w:rPr>
          </w:pPr>
        </w:p>
        <w:p w14:paraId="4977E864" w14:textId="77777777" w:rsidR="00000000" w:rsidRDefault="00436CE1" w:rsidP="000C6940">
          <w:pPr>
            <w:pStyle w:val="BodyTextIndent"/>
            <w:ind w:firstLine="0"/>
            <w:jc w:val="center"/>
            <w:rPr>
              <w:rFonts w:ascii="Georgia" w:eastAsia="Arial Unicode MS" w:hAnsi="Georgia" w:cs="Arial Unicode MS"/>
              <w:b/>
              <w:bCs/>
              <w:sz w:val="22"/>
              <w:szCs w:val="22"/>
              <w:lang w:val="sr-Cyrl-BA"/>
            </w:rPr>
          </w:pPr>
          <w:r w:rsidRPr="00A0248D">
            <w:rPr>
              <w:rFonts w:ascii="Georgia" w:eastAsia="Arial Unicode MS" w:hAnsi="Georgia" w:cs="Arial Unicode MS"/>
              <w:b/>
              <w:bCs/>
              <w:sz w:val="22"/>
              <w:szCs w:val="22"/>
              <w:lang w:val="sr-Cyrl-BA"/>
            </w:rPr>
            <w:t>РЕПУБЛИКА СРБИЈА</w:t>
          </w:r>
        </w:p>
        <w:p w14:paraId="181B1E2B" w14:textId="77777777" w:rsidR="00004E49" w:rsidRPr="00A0248D" w:rsidRDefault="00004E49" w:rsidP="000C6940">
          <w:pPr>
            <w:pStyle w:val="BodyTextIndent"/>
            <w:ind w:firstLine="0"/>
            <w:jc w:val="center"/>
            <w:rPr>
              <w:rFonts w:ascii="Georgia" w:eastAsia="Arial Unicode MS" w:hAnsi="Georgia" w:cs="Arial Unicode MS"/>
              <w:b/>
              <w:bCs/>
              <w:sz w:val="22"/>
              <w:szCs w:val="22"/>
              <w:lang w:val="ru-RU"/>
            </w:rPr>
          </w:pPr>
        </w:p>
        <w:p w14:paraId="6361294B" w14:textId="77777777" w:rsidR="00000000" w:rsidRDefault="00436CE1" w:rsidP="000C6940">
          <w:pPr>
            <w:pStyle w:val="BodyTextIndent"/>
            <w:ind w:firstLine="0"/>
            <w:jc w:val="center"/>
            <w:rPr>
              <w:rFonts w:ascii="Georgia" w:eastAsia="Arial Unicode MS" w:hAnsi="Georgia" w:cs="Arial Unicode MS"/>
              <w:b/>
              <w:bCs/>
              <w:sz w:val="22"/>
              <w:szCs w:val="22"/>
              <w:lang w:val="sr-Cyrl-BA"/>
            </w:rPr>
          </w:pPr>
          <w:r w:rsidRPr="00A0248D">
            <w:rPr>
              <w:rFonts w:ascii="Georgia" w:eastAsia="Arial Unicode MS" w:hAnsi="Georgia" w:cs="Arial Unicode MS"/>
              <w:b/>
              <w:bCs/>
              <w:sz w:val="22"/>
              <w:szCs w:val="22"/>
              <w:lang w:val="sr-Cyrl-BA"/>
            </w:rPr>
            <w:t>ЗАШТИТНИК ГРАЂАНА</w:t>
          </w:r>
        </w:p>
        <w:p w14:paraId="2179FBA3" w14:textId="77777777" w:rsidR="00004E49" w:rsidRDefault="00004E49" w:rsidP="000C6940">
          <w:pPr>
            <w:pStyle w:val="BodyTextIndent"/>
            <w:ind w:firstLine="0"/>
            <w:jc w:val="center"/>
            <w:rPr>
              <w:rFonts w:ascii="Georgia" w:eastAsia="Arial Unicode MS" w:hAnsi="Georgia" w:cs="Arial Unicode MS"/>
              <w:b/>
              <w:bCs/>
              <w:sz w:val="22"/>
              <w:szCs w:val="22"/>
              <w:lang w:val="sr-Cyrl-BA"/>
            </w:rPr>
          </w:pPr>
        </w:p>
        <w:p w14:paraId="5FB76A70" w14:textId="77777777" w:rsidR="00000000" w:rsidRDefault="00436CE1" w:rsidP="000C6940">
          <w:pPr>
            <w:pStyle w:val="BodyTextIndent"/>
            <w:ind w:firstLine="0"/>
            <w:jc w:val="center"/>
            <w:rPr>
              <w:rFonts w:ascii="Georgia" w:eastAsia="Arial Unicode MS" w:hAnsi="Georgia" w:cs="Arial Unicode MS"/>
              <w:bCs/>
              <w:sz w:val="22"/>
              <w:szCs w:val="22"/>
              <w:lang w:val="sr-Latn-RS"/>
            </w:rPr>
          </w:pPr>
          <w:r>
            <w:rPr>
              <w:rFonts w:ascii="Georgia" w:eastAsia="Arial Unicode MS" w:hAnsi="Georgia" w:cs="Arial Unicode MS"/>
              <w:bCs/>
              <w:sz w:val="22"/>
              <w:szCs w:val="22"/>
              <w:lang w:val="sr-Cyrl-RS"/>
            </w:rPr>
            <w:t>321–</w:t>
          </w:r>
          <w:r w:rsidR="000D610C">
            <w:rPr>
              <w:rFonts w:ascii="Georgia" w:eastAsia="Arial Unicode MS" w:hAnsi="Georgia" w:cs="Arial Unicode MS"/>
              <w:bCs/>
              <w:sz w:val="22"/>
              <w:szCs w:val="22"/>
              <w:lang w:val="sr-Cyrl-RS"/>
            </w:rPr>
            <w:t>117</w:t>
          </w:r>
          <w:r w:rsidRPr="002075F7">
            <w:rPr>
              <w:rFonts w:ascii="Georgia" w:eastAsia="Arial Unicode MS" w:hAnsi="Georgia" w:cs="Arial Unicode MS"/>
              <w:bCs/>
              <w:sz w:val="22"/>
              <w:szCs w:val="22"/>
              <w:lang w:val="sr-Cyrl-RS"/>
            </w:rPr>
            <w:t>/</w:t>
          </w:r>
          <w:r>
            <w:rPr>
              <w:rFonts w:ascii="Georgia" w:eastAsia="Arial Unicode MS" w:hAnsi="Georgia" w:cs="Arial Unicode MS"/>
              <w:bCs/>
              <w:sz w:val="22"/>
              <w:szCs w:val="22"/>
              <w:lang w:val="en-US"/>
            </w:rPr>
            <w:t>20</w:t>
          </w:r>
          <w:r>
            <w:rPr>
              <w:rFonts w:ascii="Georgia" w:eastAsia="Arial Unicode MS" w:hAnsi="Georgia" w:cs="Arial Unicode MS"/>
              <w:bCs/>
              <w:sz w:val="22"/>
              <w:szCs w:val="22"/>
              <w:lang w:val="sr-Cyrl-RS"/>
            </w:rPr>
            <w:t>2</w:t>
          </w:r>
          <w:r>
            <w:rPr>
              <w:rFonts w:ascii="Georgia" w:eastAsia="Arial Unicode MS" w:hAnsi="Georgia" w:cs="Arial Unicode MS"/>
              <w:bCs/>
              <w:sz w:val="22"/>
              <w:szCs w:val="22"/>
              <w:lang w:val="sr-Latn-RS"/>
            </w:rPr>
            <w:t>5</w:t>
          </w:r>
        </w:p>
        <w:p w14:paraId="1A7B3CCE" w14:textId="77777777" w:rsidR="00004E49" w:rsidRDefault="00004E49" w:rsidP="000C6940">
          <w:pPr>
            <w:pStyle w:val="BodyTextIndent"/>
            <w:ind w:firstLine="0"/>
            <w:jc w:val="center"/>
            <w:rPr>
              <w:rFonts w:ascii="Georgia" w:eastAsia="Arial Unicode MS" w:hAnsi="Georgia" w:cs="Arial Unicode MS"/>
              <w:bCs/>
              <w:sz w:val="22"/>
              <w:szCs w:val="22"/>
              <w:lang w:val="sr-Latn-RS"/>
            </w:rPr>
          </w:pPr>
        </w:p>
        <w:p w14:paraId="04D876D1" w14:textId="77777777" w:rsidR="00004E49" w:rsidRDefault="00004E49" w:rsidP="000C6940">
          <w:pPr>
            <w:pStyle w:val="BodyTextIndent"/>
            <w:ind w:firstLine="0"/>
            <w:jc w:val="center"/>
            <w:rPr>
              <w:rFonts w:ascii="Georgia" w:eastAsia="Arial Unicode MS" w:hAnsi="Georgia" w:cs="Arial Unicode MS"/>
              <w:bCs/>
              <w:sz w:val="22"/>
              <w:szCs w:val="22"/>
              <w:lang w:val="sr-Cyrl-RS"/>
            </w:rPr>
          </w:pPr>
          <w:r>
            <w:rPr>
              <w:rFonts w:ascii="Georgia" w:eastAsia="Arial Unicode MS" w:hAnsi="Georgia" w:cs="Arial Unicode MS"/>
              <w:bCs/>
              <w:sz w:val="22"/>
              <w:szCs w:val="22"/>
              <w:lang w:val="sr-Cyrl-RS"/>
            </w:rPr>
            <w:t>Б е о г р а д</w:t>
          </w:r>
        </w:p>
        <w:p w14:paraId="7F52EA71" w14:textId="77777777" w:rsidR="00004E49" w:rsidRDefault="00004E49" w:rsidP="000C6940">
          <w:pPr>
            <w:pStyle w:val="BodyTextIndent"/>
            <w:ind w:firstLine="0"/>
            <w:jc w:val="center"/>
            <w:rPr>
              <w:rFonts w:ascii="Georgia" w:eastAsia="Arial Unicode MS" w:hAnsi="Georgia" w:cs="Arial Unicode MS"/>
              <w:bCs/>
              <w:sz w:val="22"/>
              <w:szCs w:val="22"/>
              <w:lang w:val="sr-Cyrl-RS"/>
            </w:rPr>
          </w:pPr>
        </w:p>
        <w:p w14:paraId="2A800578" w14:textId="77777777" w:rsidR="00000000" w:rsidRPr="00FF2DBB" w:rsidRDefault="00000000" w:rsidP="000C6940">
          <w:pPr>
            <w:pStyle w:val="BodyTextIndent"/>
            <w:ind w:firstLine="0"/>
            <w:jc w:val="center"/>
            <w:rPr>
              <w:rFonts w:ascii="Book Antiqua" w:hAnsi="Book Antiqua"/>
              <w:spacing w:val="6"/>
              <w:sz w:val="22"/>
              <w:szCs w:val="22"/>
              <w:lang w:val="sr-Cyrl-RS"/>
            </w:rPr>
          </w:pPr>
        </w:p>
      </w:tc>
      <w:tc>
        <w:tcPr>
          <w:tcW w:w="2520" w:type="dxa"/>
          <w:tcBorders>
            <w:bottom w:val="single" w:sz="4" w:space="0" w:color="auto"/>
          </w:tcBorders>
        </w:tcPr>
        <w:p w14:paraId="0C5E97AD" w14:textId="77777777" w:rsidR="00000000" w:rsidRPr="00A0248D" w:rsidRDefault="00000000" w:rsidP="000C6940">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14:paraId="23ED7B7A" w14:textId="77777777" w:rsidR="00000000" w:rsidRPr="00A0248D" w:rsidRDefault="00000000" w:rsidP="000C6940">
          <w:pPr>
            <w:pStyle w:val="BodyTextIndent"/>
            <w:ind w:firstLine="0"/>
            <w:jc w:val="left"/>
            <w:rPr>
              <w:rFonts w:ascii="Book Antiqua" w:hAnsi="Book Antiqua"/>
              <w:spacing w:val="6"/>
              <w:sz w:val="22"/>
              <w:szCs w:val="22"/>
            </w:rPr>
          </w:pPr>
        </w:p>
      </w:tc>
    </w:tr>
    <w:tr w:rsidR="000C6940" w:rsidRPr="00A0248D" w14:paraId="4E8003A9" w14:textId="77777777">
      <w:tc>
        <w:tcPr>
          <w:tcW w:w="3600" w:type="dxa"/>
          <w:tcBorders>
            <w:top w:val="single" w:sz="4" w:space="0" w:color="auto"/>
          </w:tcBorders>
        </w:tcPr>
        <w:p w14:paraId="5DD07BD2" w14:textId="77777777" w:rsidR="00000000" w:rsidRPr="00A0248D" w:rsidRDefault="00000000" w:rsidP="000C6940">
          <w:pPr>
            <w:pStyle w:val="BodyTextIndent"/>
            <w:ind w:firstLine="0"/>
            <w:jc w:val="left"/>
            <w:rPr>
              <w:rFonts w:ascii="Georgia" w:hAnsi="Georgia"/>
              <w:sz w:val="22"/>
              <w:szCs w:val="22"/>
            </w:rPr>
          </w:pPr>
        </w:p>
        <w:p w14:paraId="222B1CA1" w14:textId="77777777" w:rsidR="00000000" w:rsidRPr="00A0248D" w:rsidRDefault="00436CE1" w:rsidP="000C6940">
          <w:pPr>
            <w:pStyle w:val="BodyTextIndent"/>
            <w:ind w:firstLine="0"/>
            <w:jc w:val="left"/>
            <w:rPr>
              <w:rFonts w:ascii="Georgia" w:eastAsia="Arial Unicode MS" w:hAnsi="Georgia" w:cs="Arial Unicode MS"/>
              <w:b/>
              <w:bCs/>
              <w:sz w:val="22"/>
              <w:szCs w:val="22"/>
              <w:lang w:val="sr-Latn-CS"/>
            </w:rPr>
          </w:pPr>
          <w:proofErr w:type="spellStart"/>
          <w:r w:rsidRPr="00A0248D">
            <w:rPr>
              <w:rFonts w:ascii="Georgia" w:hAnsi="Georgia"/>
              <w:sz w:val="22"/>
              <w:szCs w:val="22"/>
            </w:rPr>
            <w:t>дел</w:t>
          </w:r>
          <w:proofErr w:type="spellEnd"/>
          <w:r w:rsidRPr="00A0248D">
            <w:rPr>
              <w:rFonts w:ascii="Georgia" w:hAnsi="Georgia"/>
              <w:sz w:val="22"/>
              <w:szCs w:val="22"/>
            </w:rPr>
            <w:t>.</w:t>
          </w:r>
          <w:r w:rsidR="00B25C35">
            <w:rPr>
              <w:rFonts w:ascii="Georgia" w:hAnsi="Georgia"/>
              <w:sz w:val="22"/>
              <w:szCs w:val="22"/>
              <w:lang w:val="en-US"/>
            </w:rPr>
            <w:t xml:space="preserve"> </w:t>
          </w:r>
          <w:r w:rsidRPr="00A0248D">
            <w:rPr>
              <w:rFonts w:ascii="Georgia" w:hAnsi="Georgia"/>
              <w:sz w:val="22"/>
              <w:szCs w:val="22"/>
            </w:rPr>
            <w:t>бр.                  датум</w:t>
          </w:r>
        </w:p>
      </w:tc>
      <w:tc>
        <w:tcPr>
          <w:tcW w:w="2520" w:type="dxa"/>
          <w:tcBorders>
            <w:top w:val="single" w:sz="4" w:space="0" w:color="auto"/>
          </w:tcBorders>
        </w:tcPr>
        <w:p w14:paraId="6AF61132" w14:textId="77777777" w:rsidR="00000000" w:rsidRPr="00A0248D" w:rsidRDefault="00000000" w:rsidP="000C6940">
          <w:pPr>
            <w:pStyle w:val="BodyTextIndent"/>
            <w:ind w:firstLine="0"/>
            <w:jc w:val="left"/>
            <w:rPr>
              <w:rFonts w:ascii="Book Antiqua" w:hAnsi="Book Antiqua"/>
              <w:spacing w:val="6"/>
              <w:sz w:val="22"/>
              <w:szCs w:val="22"/>
            </w:rPr>
          </w:pPr>
        </w:p>
      </w:tc>
      <w:tc>
        <w:tcPr>
          <w:tcW w:w="3240" w:type="dxa"/>
          <w:tcBorders>
            <w:top w:val="single" w:sz="4" w:space="0" w:color="auto"/>
          </w:tcBorders>
        </w:tcPr>
        <w:p w14:paraId="7CFE9AA7" w14:textId="77777777" w:rsidR="00000000" w:rsidRPr="00A0248D" w:rsidRDefault="00000000" w:rsidP="000C6940">
          <w:pPr>
            <w:pStyle w:val="BodyTextIndent"/>
            <w:ind w:firstLine="0"/>
            <w:jc w:val="left"/>
            <w:rPr>
              <w:rFonts w:ascii="Book Antiqua" w:hAnsi="Book Antiqua"/>
              <w:spacing w:val="6"/>
              <w:sz w:val="22"/>
              <w:szCs w:val="22"/>
            </w:rPr>
          </w:pPr>
        </w:p>
      </w:tc>
    </w:tr>
  </w:tbl>
  <w:p w14:paraId="20194223"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10C"/>
    <w:rsid w:val="00004E49"/>
    <w:rsid w:val="000467CB"/>
    <w:rsid w:val="00062391"/>
    <w:rsid w:val="000D610C"/>
    <w:rsid w:val="001D1879"/>
    <w:rsid w:val="002406DA"/>
    <w:rsid w:val="003A1127"/>
    <w:rsid w:val="00412B9A"/>
    <w:rsid w:val="00424E30"/>
    <w:rsid w:val="00436CE1"/>
    <w:rsid w:val="00486120"/>
    <w:rsid w:val="004B4404"/>
    <w:rsid w:val="00535EB9"/>
    <w:rsid w:val="00560667"/>
    <w:rsid w:val="006B0535"/>
    <w:rsid w:val="007F35DE"/>
    <w:rsid w:val="00806313"/>
    <w:rsid w:val="009617D5"/>
    <w:rsid w:val="009F1C24"/>
    <w:rsid w:val="00A37B6C"/>
    <w:rsid w:val="00A501B1"/>
    <w:rsid w:val="00A64E53"/>
    <w:rsid w:val="00AE3467"/>
    <w:rsid w:val="00B25C35"/>
    <w:rsid w:val="00B64613"/>
    <w:rsid w:val="00BB3CBB"/>
    <w:rsid w:val="00D72372"/>
    <w:rsid w:val="00E17050"/>
    <w:rsid w:val="00E5325F"/>
    <w:rsid w:val="00EA47E6"/>
    <w:rsid w:val="00FC2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5486B"/>
  <w15:chartTrackingRefBased/>
  <w15:docId w15:val="{0C946E34-1B18-4751-BEED-4D7AC4E3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0C"/>
    <w:pPr>
      <w:spacing w:after="0" w:line="240" w:lineRule="auto"/>
    </w:pPr>
    <w:rPr>
      <w:rFonts w:ascii="Times New Roman" w:eastAsia="Times New Roman" w:hAnsi="Times New Roman" w:cs="Times New Roman"/>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610C"/>
    <w:pPr>
      <w:tabs>
        <w:tab w:val="center" w:pos="4320"/>
        <w:tab w:val="right" w:pos="8640"/>
      </w:tabs>
    </w:pPr>
  </w:style>
  <w:style w:type="character" w:customStyle="1" w:styleId="HeaderChar">
    <w:name w:val="Header Char"/>
    <w:basedOn w:val="DefaultParagraphFont"/>
    <w:link w:val="Header"/>
    <w:rsid w:val="000D610C"/>
    <w:rPr>
      <w:rFonts w:ascii="Times New Roman" w:eastAsia="Times New Roman" w:hAnsi="Times New Roman" w:cs="Times New Roman"/>
      <w:sz w:val="24"/>
      <w:szCs w:val="24"/>
      <w:lang w:val="sr-Cyrl-CS"/>
    </w:rPr>
  </w:style>
  <w:style w:type="paragraph" w:styleId="Footer">
    <w:name w:val="footer"/>
    <w:basedOn w:val="Normal"/>
    <w:link w:val="FooterChar"/>
    <w:rsid w:val="000D610C"/>
    <w:pPr>
      <w:tabs>
        <w:tab w:val="center" w:pos="4320"/>
        <w:tab w:val="right" w:pos="8640"/>
      </w:tabs>
    </w:pPr>
  </w:style>
  <w:style w:type="character" w:customStyle="1" w:styleId="FooterChar">
    <w:name w:val="Footer Char"/>
    <w:basedOn w:val="DefaultParagraphFont"/>
    <w:link w:val="Footer"/>
    <w:rsid w:val="000D610C"/>
    <w:rPr>
      <w:rFonts w:ascii="Times New Roman" w:eastAsia="Times New Roman" w:hAnsi="Times New Roman" w:cs="Times New Roman"/>
      <w:sz w:val="24"/>
      <w:szCs w:val="24"/>
      <w:lang w:val="sr-Cyrl-CS"/>
    </w:rPr>
  </w:style>
  <w:style w:type="paragraph" w:styleId="BodyTextIndent">
    <w:name w:val="Body Text Indent"/>
    <w:basedOn w:val="Normal"/>
    <w:link w:val="BodyTextIndentChar"/>
    <w:rsid w:val="000D610C"/>
    <w:pPr>
      <w:ind w:firstLine="720"/>
      <w:jc w:val="both"/>
    </w:pPr>
    <w:rPr>
      <w:rFonts w:ascii="Verdana" w:hAnsi="Verdana"/>
    </w:rPr>
  </w:style>
  <w:style w:type="character" w:customStyle="1" w:styleId="BodyTextIndentChar">
    <w:name w:val="Body Text Indent Char"/>
    <w:basedOn w:val="DefaultParagraphFont"/>
    <w:link w:val="BodyTextIndent"/>
    <w:rsid w:val="000D610C"/>
    <w:rPr>
      <w:rFonts w:ascii="Verdana" w:eastAsia="Times New Roman" w:hAnsi="Verdana" w:cs="Times New Roman"/>
      <w:sz w:val="24"/>
      <w:szCs w:val="24"/>
      <w:lang w:val="sr-Cyrl-CS"/>
    </w:rPr>
  </w:style>
  <w:style w:type="character" w:styleId="PageNumber">
    <w:name w:val="page number"/>
    <w:basedOn w:val="DefaultParagraphFont"/>
    <w:rsid w:val="000D610C"/>
  </w:style>
  <w:style w:type="paragraph" w:styleId="FootnoteText">
    <w:name w:val="footnote text"/>
    <w:basedOn w:val="Normal"/>
    <w:link w:val="FootnoteTextChar"/>
    <w:unhideWhenUsed/>
    <w:rsid w:val="000D610C"/>
    <w:rPr>
      <w:rFonts w:ascii="Calibri" w:eastAsia="Calibri" w:hAnsi="Calibri"/>
      <w:sz w:val="20"/>
      <w:szCs w:val="20"/>
      <w:lang w:val="sr-Latn-CS"/>
    </w:rPr>
  </w:style>
  <w:style w:type="character" w:customStyle="1" w:styleId="FootnoteTextChar">
    <w:name w:val="Footnote Text Char"/>
    <w:basedOn w:val="DefaultParagraphFont"/>
    <w:link w:val="FootnoteText"/>
    <w:rsid w:val="000D610C"/>
    <w:rPr>
      <w:rFonts w:ascii="Calibri" w:eastAsia="Calibri" w:hAnsi="Calibri" w:cs="Times New Roman"/>
      <w:sz w:val="20"/>
      <w:szCs w:val="20"/>
      <w:lang w:val="sr-Latn-CS"/>
    </w:rPr>
  </w:style>
  <w:style w:type="character" w:styleId="FootnoteReference">
    <w:name w:val="footnote reference"/>
    <w:aliases w:val="4_G Char,Footnotes refss Char,ftref Char,BVI fnr Char,BVI fnr Car Car Char,BVI fnr Car Char,BVI fnr Car Car Car Car Char,BVI fnr Char Car Car Car Char,BVI fnr Char Car Car Car Char Char,BVI fnr Car Car Car Car Char Char Char,ftref Cha"/>
    <w:link w:val="4G"/>
    <w:uiPriority w:val="99"/>
    <w:qFormat/>
    <w:rsid w:val="000D610C"/>
    <w:rPr>
      <w:vertAlign w:val="superscript"/>
    </w:rPr>
  </w:style>
  <w:style w:type="paragraph" w:customStyle="1" w:styleId="4G">
    <w:name w:val="4_G"/>
    <w:aliases w:val="Footnotes refss,ftref,BVI fnr,BVI fnr Car Car,BVI fnr Car,BVI fnr Car Car Car Car,BVI fnr Char Car Car Car,BVI fnr Car Car Car Car Char Char,BVI fnr Car Car Car Car Char Char Char Char Char,16 Point,Superscript 6 Point,Footnote Reference Number,снос"/>
    <w:basedOn w:val="Normal"/>
    <w:link w:val="FootnoteReference"/>
    <w:uiPriority w:val="99"/>
    <w:rsid w:val="000D610C"/>
    <w:pPr>
      <w:spacing w:after="160" w:line="240" w:lineRule="exact"/>
      <w:jc w:val="both"/>
    </w:pPr>
    <w:rPr>
      <w:rFonts w:asciiTheme="minorHAnsi" w:eastAsiaTheme="minorHAnsi" w:hAnsiTheme="minorHAnsi" w:cstheme="minorBidi"/>
      <w:sz w:val="22"/>
      <w:szCs w:val="22"/>
      <w:vertAlign w:val="superscript"/>
      <w:lang w:val="en-US"/>
    </w:rPr>
  </w:style>
  <w:style w:type="paragraph" w:styleId="PlainText">
    <w:name w:val="Plain Text"/>
    <w:basedOn w:val="Normal"/>
    <w:link w:val="PlainTextChar"/>
    <w:uiPriority w:val="99"/>
    <w:unhideWhenUsed/>
    <w:rsid w:val="000D610C"/>
    <w:rPr>
      <w:rFonts w:ascii="Calibri" w:eastAsiaTheme="minorHAnsi" w:hAnsi="Calibri" w:cstheme="minorBidi"/>
      <w:sz w:val="22"/>
      <w:szCs w:val="21"/>
      <w:lang w:val="sr-Cyrl-RS"/>
    </w:rPr>
  </w:style>
  <w:style w:type="character" w:customStyle="1" w:styleId="PlainTextChar">
    <w:name w:val="Plain Text Char"/>
    <w:basedOn w:val="DefaultParagraphFont"/>
    <w:link w:val="PlainText"/>
    <w:uiPriority w:val="99"/>
    <w:rsid w:val="000D610C"/>
    <w:rPr>
      <w:rFonts w:ascii="Calibri" w:hAnsi="Calibri"/>
      <w:szCs w:val="21"/>
      <w:lang w:val="sr-Cyrl-RS"/>
    </w:rPr>
  </w:style>
  <w:style w:type="paragraph" w:styleId="ListParagraph">
    <w:name w:val="List Paragraph"/>
    <w:basedOn w:val="Normal"/>
    <w:uiPriority w:val="34"/>
    <w:qFormat/>
    <w:rsid w:val="00E17050"/>
    <w:pPr>
      <w:ind w:left="720"/>
      <w:contextualSpacing/>
    </w:pPr>
  </w:style>
  <w:style w:type="character" w:styleId="Hyperlink">
    <w:name w:val="Hyperlink"/>
    <w:basedOn w:val="DefaultParagraphFont"/>
    <w:uiPriority w:val="99"/>
    <w:unhideWhenUsed/>
    <w:rsid w:val="000467CB"/>
    <w:rPr>
      <w:color w:val="0563C1" w:themeColor="hyperlink"/>
      <w:u w:val="single"/>
    </w:rPr>
  </w:style>
  <w:style w:type="paragraph" w:styleId="BalloonText">
    <w:name w:val="Balloon Text"/>
    <w:basedOn w:val="Normal"/>
    <w:link w:val="BalloonTextChar"/>
    <w:uiPriority w:val="99"/>
    <w:semiHidden/>
    <w:unhideWhenUsed/>
    <w:rsid w:val="003A11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27"/>
    <w:rPr>
      <w:rFonts w:ascii="Segoe UI" w:eastAsia="Times New Roman" w:hAnsi="Segoe UI" w:cs="Segoe UI"/>
      <w:sz w:val="18"/>
      <w:szCs w:val="18"/>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90114">
      <w:bodyDiv w:val="1"/>
      <w:marLeft w:val="0"/>
      <w:marRight w:val="0"/>
      <w:marTop w:val="0"/>
      <w:marBottom w:val="0"/>
      <w:divBdr>
        <w:top w:val="none" w:sz="0" w:space="0" w:color="auto"/>
        <w:left w:val="none" w:sz="0" w:space="0" w:color="auto"/>
        <w:bottom w:val="none" w:sz="0" w:space="0" w:color="auto"/>
        <w:right w:val="none" w:sz="0" w:space="0" w:color="auto"/>
      </w:divBdr>
    </w:div>
    <w:div w:id="538517200">
      <w:bodyDiv w:val="1"/>
      <w:marLeft w:val="0"/>
      <w:marRight w:val="0"/>
      <w:marTop w:val="0"/>
      <w:marBottom w:val="0"/>
      <w:divBdr>
        <w:top w:val="none" w:sz="0" w:space="0" w:color="auto"/>
        <w:left w:val="none" w:sz="0" w:space="0" w:color="auto"/>
        <w:bottom w:val="none" w:sz="0" w:space="0" w:color="auto"/>
        <w:right w:val="none" w:sz="0" w:space="0" w:color="auto"/>
      </w:divBdr>
    </w:div>
    <w:div w:id="859196603">
      <w:bodyDiv w:val="1"/>
      <w:marLeft w:val="0"/>
      <w:marRight w:val="0"/>
      <w:marTop w:val="0"/>
      <w:marBottom w:val="0"/>
      <w:divBdr>
        <w:top w:val="none" w:sz="0" w:space="0" w:color="auto"/>
        <w:left w:val="none" w:sz="0" w:space="0" w:color="auto"/>
        <w:bottom w:val="none" w:sz="0" w:space="0" w:color="auto"/>
        <w:right w:val="none" w:sz="0" w:space="0" w:color="auto"/>
      </w:divBdr>
    </w:div>
    <w:div w:id="152197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e2.cekos.com/ce/faces/servlet/gifimage?07797801-06.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26AA2-B406-4794-A352-F32A7E50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Ilić</dc:creator>
  <cp:keywords/>
  <dc:description/>
  <cp:lastModifiedBy>Ivana Cvetković Lađević</cp:lastModifiedBy>
  <cp:revision>2</cp:revision>
  <cp:lastPrinted>2025-06-26T10:46:00Z</cp:lastPrinted>
  <dcterms:created xsi:type="dcterms:W3CDTF">2026-01-27T13:08:00Z</dcterms:created>
  <dcterms:modified xsi:type="dcterms:W3CDTF">2026-01-27T13:08:00Z</dcterms:modified>
</cp:coreProperties>
</file>